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6.xml" ContentType="application/vnd.openxmlformats-officedocument.wordprocessingml.header+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36433F" w:rsidTr="0088395E">
        <w:tc>
          <w:tcPr>
            <w:tcW w:w="4513" w:type="dxa"/>
            <w:tcBorders>
              <w:bottom w:val="single" w:sz="4" w:space="0" w:color="auto"/>
            </w:tcBorders>
            <w:tcMar>
              <w:bottom w:w="170" w:type="dxa"/>
            </w:tcMar>
          </w:tcPr>
          <w:p w:rsidR="00E504E5" w:rsidRPr="0036433F" w:rsidRDefault="00E504E5" w:rsidP="00AB613D"/>
        </w:tc>
        <w:tc>
          <w:tcPr>
            <w:tcW w:w="4337" w:type="dxa"/>
            <w:tcBorders>
              <w:bottom w:val="single" w:sz="4" w:space="0" w:color="auto"/>
            </w:tcBorders>
            <w:tcMar>
              <w:left w:w="0" w:type="dxa"/>
              <w:right w:w="0" w:type="dxa"/>
            </w:tcMar>
          </w:tcPr>
          <w:p w:rsidR="00E504E5" w:rsidRPr="0036433F" w:rsidRDefault="00202EAE" w:rsidP="00AB613D">
            <w:r w:rsidRPr="0036433F">
              <w:rPr>
                <w:noProof/>
                <w:lang w:val="en-US" w:eastAsia="en-US"/>
              </w:rPr>
              <w:drawing>
                <wp:inline distT="0" distB="0" distL="0" distR="0" wp14:anchorId="666EC27D" wp14:editId="422812FF">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36433F" w:rsidRDefault="00E504E5" w:rsidP="00AB613D">
            <w:pPr>
              <w:jc w:val="right"/>
            </w:pPr>
            <w:r w:rsidRPr="0036433F">
              <w:rPr>
                <w:b/>
                <w:sz w:val="40"/>
                <w:szCs w:val="40"/>
              </w:rPr>
              <w:t>S</w:t>
            </w:r>
          </w:p>
        </w:tc>
      </w:tr>
      <w:tr w:rsidR="008B2CC1" w:rsidRPr="0036433F"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36433F" w:rsidRDefault="00B613BB" w:rsidP="00AB613D">
            <w:pPr>
              <w:jc w:val="right"/>
              <w:rPr>
                <w:rFonts w:ascii="Arial Black" w:hAnsi="Arial Black"/>
                <w:caps/>
                <w:sz w:val="15"/>
              </w:rPr>
            </w:pPr>
            <w:r w:rsidRPr="0036433F">
              <w:rPr>
                <w:rFonts w:ascii="Arial Black" w:hAnsi="Arial Black"/>
                <w:caps/>
                <w:sz w:val="15"/>
              </w:rPr>
              <w:t>A/55/</w:t>
            </w:r>
            <w:bookmarkStart w:id="0" w:name="Code"/>
            <w:bookmarkEnd w:id="0"/>
            <w:r w:rsidR="004901E0" w:rsidRPr="0036433F">
              <w:rPr>
                <w:rFonts w:ascii="Arial Black" w:hAnsi="Arial Black"/>
                <w:caps/>
                <w:sz w:val="15"/>
              </w:rPr>
              <w:t>5</w:t>
            </w:r>
            <w:r w:rsidR="004E38D6">
              <w:rPr>
                <w:rFonts w:ascii="Arial Black" w:hAnsi="Arial Black"/>
                <w:caps/>
                <w:sz w:val="15"/>
              </w:rPr>
              <w:t xml:space="preserve"> rEV.</w:t>
            </w:r>
          </w:p>
        </w:tc>
      </w:tr>
      <w:tr w:rsidR="008B2CC1" w:rsidRPr="0036433F" w:rsidTr="00AB613D">
        <w:trPr>
          <w:trHeight w:hRule="exact" w:val="170"/>
        </w:trPr>
        <w:tc>
          <w:tcPr>
            <w:tcW w:w="9356" w:type="dxa"/>
            <w:gridSpan w:val="3"/>
            <w:noWrap/>
            <w:tcMar>
              <w:left w:w="0" w:type="dxa"/>
              <w:right w:w="0" w:type="dxa"/>
            </w:tcMar>
            <w:vAlign w:val="bottom"/>
          </w:tcPr>
          <w:p w:rsidR="008B2CC1" w:rsidRPr="0036433F" w:rsidRDefault="008B2CC1" w:rsidP="00AB613D">
            <w:pPr>
              <w:jc w:val="right"/>
              <w:rPr>
                <w:rFonts w:ascii="Arial Black" w:hAnsi="Arial Black"/>
                <w:caps/>
                <w:sz w:val="15"/>
              </w:rPr>
            </w:pPr>
            <w:r w:rsidRPr="0036433F">
              <w:rPr>
                <w:rFonts w:ascii="Arial Black" w:hAnsi="Arial Black"/>
                <w:caps/>
                <w:sz w:val="15"/>
              </w:rPr>
              <w:t>ORIGINAL:</w:t>
            </w:r>
            <w:r w:rsidR="00F84474" w:rsidRPr="0036433F">
              <w:rPr>
                <w:rFonts w:ascii="Arial Black" w:hAnsi="Arial Black"/>
                <w:caps/>
                <w:sz w:val="15"/>
              </w:rPr>
              <w:t xml:space="preserve"> </w:t>
            </w:r>
            <w:r w:rsidRPr="0036433F">
              <w:rPr>
                <w:rFonts w:ascii="Arial Black" w:hAnsi="Arial Black"/>
                <w:caps/>
                <w:sz w:val="15"/>
              </w:rPr>
              <w:t xml:space="preserve"> </w:t>
            </w:r>
            <w:bookmarkStart w:id="1" w:name="Original"/>
            <w:bookmarkEnd w:id="1"/>
            <w:r w:rsidR="004901E0" w:rsidRPr="0036433F">
              <w:rPr>
                <w:rFonts w:ascii="Arial Black" w:hAnsi="Arial Black"/>
                <w:caps/>
                <w:sz w:val="15"/>
              </w:rPr>
              <w:t>INGLÉS</w:t>
            </w:r>
          </w:p>
        </w:tc>
      </w:tr>
      <w:tr w:rsidR="008B2CC1" w:rsidRPr="0036433F" w:rsidTr="00AB613D">
        <w:trPr>
          <w:trHeight w:hRule="exact" w:val="198"/>
        </w:trPr>
        <w:tc>
          <w:tcPr>
            <w:tcW w:w="9356" w:type="dxa"/>
            <w:gridSpan w:val="3"/>
            <w:tcMar>
              <w:left w:w="0" w:type="dxa"/>
              <w:right w:w="0" w:type="dxa"/>
            </w:tcMar>
            <w:vAlign w:val="bottom"/>
          </w:tcPr>
          <w:p w:rsidR="008B2CC1" w:rsidRPr="0036433F" w:rsidRDefault="00675021" w:rsidP="004E38D6">
            <w:pPr>
              <w:jc w:val="right"/>
              <w:rPr>
                <w:rFonts w:ascii="Arial Black" w:hAnsi="Arial Black"/>
                <w:caps/>
                <w:sz w:val="15"/>
              </w:rPr>
            </w:pPr>
            <w:r w:rsidRPr="0036433F">
              <w:rPr>
                <w:rFonts w:ascii="Arial Black" w:hAnsi="Arial Black"/>
                <w:caps/>
                <w:sz w:val="15"/>
              </w:rPr>
              <w:t>fecha</w:t>
            </w:r>
            <w:r w:rsidR="008B2CC1" w:rsidRPr="0036433F">
              <w:rPr>
                <w:rFonts w:ascii="Arial Black" w:hAnsi="Arial Black"/>
                <w:caps/>
                <w:sz w:val="15"/>
              </w:rPr>
              <w:t>:</w:t>
            </w:r>
            <w:r w:rsidR="00F84474" w:rsidRPr="0036433F">
              <w:rPr>
                <w:rFonts w:ascii="Arial Black" w:hAnsi="Arial Black"/>
                <w:caps/>
                <w:sz w:val="15"/>
              </w:rPr>
              <w:t xml:space="preserve"> </w:t>
            </w:r>
            <w:r w:rsidR="008B2CC1" w:rsidRPr="0036433F">
              <w:rPr>
                <w:rFonts w:ascii="Arial Black" w:hAnsi="Arial Black"/>
                <w:caps/>
                <w:sz w:val="15"/>
              </w:rPr>
              <w:t xml:space="preserve"> </w:t>
            </w:r>
            <w:bookmarkStart w:id="2" w:name="Date"/>
            <w:bookmarkEnd w:id="2"/>
            <w:r w:rsidR="00F01912">
              <w:rPr>
                <w:rFonts w:ascii="Arial Black" w:hAnsi="Arial Black"/>
                <w:caps/>
                <w:sz w:val="15"/>
              </w:rPr>
              <w:t>2</w:t>
            </w:r>
            <w:r w:rsidR="004901E0" w:rsidRPr="0036433F">
              <w:rPr>
                <w:rFonts w:ascii="Arial Black" w:hAnsi="Arial Black"/>
                <w:caps/>
                <w:sz w:val="15"/>
              </w:rPr>
              <w:t xml:space="preserve"> </w:t>
            </w:r>
            <w:r w:rsidR="004E38D6">
              <w:rPr>
                <w:rFonts w:ascii="Arial Black" w:hAnsi="Arial Black"/>
                <w:caps/>
                <w:sz w:val="15"/>
              </w:rPr>
              <w:t>OCTUBRE</w:t>
            </w:r>
            <w:r w:rsidR="004901E0" w:rsidRPr="0036433F">
              <w:rPr>
                <w:rFonts w:ascii="Arial Black" w:hAnsi="Arial Black"/>
                <w:caps/>
                <w:sz w:val="15"/>
              </w:rPr>
              <w:t xml:space="preserve"> DE 2015</w:t>
            </w:r>
          </w:p>
        </w:tc>
      </w:tr>
    </w:tbl>
    <w:p w:rsidR="008B2CC1" w:rsidRPr="0036433F" w:rsidRDefault="008B2CC1" w:rsidP="008B2CC1"/>
    <w:p w:rsidR="008B2CC1" w:rsidRPr="0036433F" w:rsidRDefault="008B2CC1" w:rsidP="008B2CC1"/>
    <w:p w:rsidR="008B2CC1" w:rsidRPr="0036433F" w:rsidRDefault="008B2CC1" w:rsidP="008B2CC1"/>
    <w:p w:rsidR="008B2CC1" w:rsidRPr="0036433F" w:rsidRDefault="008B2CC1" w:rsidP="008B2CC1"/>
    <w:p w:rsidR="008B2CC1" w:rsidRPr="0036433F" w:rsidRDefault="008B2CC1" w:rsidP="008B2CC1"/>
    <w:p w:rsidR="003845C1" w:rsidRPr="0036433F" w:rsidRDefault="00B613BB" w:rsidP="003845C1">
      <w:r w:rsidRPr="0036433F">
        <w:rPr>
          <w:b/>
          <w:sz w:val="28"/>
          <w:szCs w:val="28"/>
        </w:rPr>
        <w:t>Asambleas de los Estados miembros de l</w:t>
      </w:r>
      <w:bookmarkStart w:id="3" w:name="_GoBack"/>
      <w:bookmarkEnd w:id="3"/>
      <w:r w:rsidRPr="0036433F">
        <w:rPr>
          <w:b/>
          <w:sz w:val="28"/>
          <w:szCs w:val="28"/>
        </w:rPr>
        <w:t>a OMPI</w:t>
      </w:r>
    </w:p>
    <w:p w:rsidR="003845C1" w:rsidRPr="0036433F" w:rsidRDefault="003845C1" w:rsidP="003845C1"/>
    <w:p w:rsidR="00B613BB" w:rsidRPr="0036433F" w:rsidRDefault="00B613BB" w:rsidP="003845C1"/>
    <w:p w:rsidR="00B613BB" w:rsidRPr="0036433F" w:rsidRDefault="00B613BB" w:rsidP="00B613BB">
      <w:pPr>
        <w:rPr>
          <w:b/>
          <w:sz w:val="24"/>
          <w:szCs w:val="24"/>
        </w:rPr>
      </w:pPr>
      <w:r w:rsidRPr="0036433F">
        <w:rPr>
          <w:b/>
          <w:sz w:val="24"/>
          <w:szCs w:val="24"/>
        </w:rPr>
        <w:t>Quincuagésima quinta serie de reuniones</w:t>
      </w:r>
    </w:p>
    <w:p w:rsidR="008B2CC1" w:rsidRPr="0036433F" w:rsidRDefault="00B613BB" w:rsidP="00B613BB">
      <w:r w:rsidRPr="0036433F">
        <w:rPr>
          <w:b/>
          <w:sz w:val="24"/>
          <w:szCs w:val="24"/>
        </w:rPr>
        <w:t>Ginebra, 5 a 14 de octubre de 2015</w:t>
      </w:r>
    </w:p>
    <w:p w:rsidR="008B2CC1" w:rsidRPr="0036433F" w:rsidRDefault="008B2CC1" w:rsidP="008B2CC1"/>
    <w:p w:rsidR="008B2CC1" w:rsidRPr="0036433F" w:rsidRDefault="008B2CC1" w:rsidP="008B2CC1"/>
    <w:p w:rsidR="004901E0" w:rsidRPr="0036433F" w:rsidRDefault="004901E0" w:rsidP="004901E0">
      <w:pPr>
        <w:rPr>
          <w:caps/>
          <w:sz w:val="24"/>
        </w:rPr>
      </w:pPr>
      <w:bookmarkStart w:id="4" w:name="TitleOfDoc"/>
      <w:bookmarkEnd w:id="4"/>
      <w:r w:rsidRPr="0036433F">
        <w:rPr>
          <w:caps/>
          <w:sz w:val="24"/>
        </w:rPr>
        <w:t>PROP</w:t>
      </w:r>
      <w:r w:rsidR="00EF0CB8" w:rsidRPr="0036433F">
        <w:rPr>
          <w:caps/>
          <w:sz w:val="24"/>
        </w:rPr>
        <w:t>UESTA DE PRESUPUESTO POR PROGRAMAS PARA EL BIENIO</w:t>
      </w:r>
      <w:r w:rsidR="004E38D6">
        <w:rPr>
          <w:caps/>
          <w:sz w:val="24"/>
        </w:rPr>
        <w:t> </w:t>
      </w:r>
      <w:r w:rsidRPr="0036433F">
        <w:rPr>
          <w:caps/>
          <w:sz w:val="24"/>
        </w:rPr>
        <w:t>2016/17</w:t>
      </w:r>
    </w:p>
    <w:p w:rsidR="004901E0" w:rsidRPr="0036433F" w:rsidRDefault="004901E0" w:rsidP="004901E0"/>
    <w:p w:rsidR="004901E0" w:rsidRPr="0036433F" w:rsidRDefault="0036433F" w:rsidP="004901E0">
      <w:pPr>
        <w:rPr>
          <w:i/>
        </w:rPr>
      </w:pPr>
      <w:bookmarkStart w:id="5" w:name="Prepared"/>
      <w:bookmarkEnd w:id="5"/>
      <w:r w:rsidRPr="0036433F">
        <w:rPr>
          <w:i/>
        </w:rPr>
        <w:t xml:space="preserve">Documento </w:t>
      </w:r>
      <w:r w:rsidR="004901E0" w:rsidRPr="0036433F">
        <w:rPr>
          <w:i/>
        </w:rPr>
        <w:t>prepar</w:t>
      </w:r>
      <w:r w:rsidR="00EF0CB8" w:rsidRPr="0036433F">
        <w:rPr>
          <w:i/>
        </w:rPr>
        <w:t>ado por la Secretaría</w:t>
      </w:r>
    </w:p>
    <w:p w:rsidR="004901E0" w:rsidRPr="0036433F" w:rsidRDefault="004901E0" w:rsidP="004901E0"/>
    <w:p w:rsidR="004901E0" w:rsidRPr="0036433F" w:rsidRDefault="004901E0" w:rsidP="004901E0"/>
    <w:p w:rsidR="004901E0" w:rsidRPr="0036433F" w:rsidRDefault="004901E0" w:rsidP="004901E0"/>
    <w:p w:rsidR="004901E0" w:rsidRPr="0036433F" w:rsidRDefault="004901E0" w:rsidP="004901E0"/>
    <w:p w:rsidR="004901E0" w:rsidRPr="0036433F" w:rsidRDefault="004901E0" w:rsidP="004901E0"/>
    <w:p w:rsidR="004901E0" w:rsidRPr="0036433F" w:rsidRDefault="004E38D6" w:rsidP="0036433F">
      <w:pPr>
        <w:pStyle w:val="ONUME"/>
      </w:pPr>
      <w:r>
        <w:t>La presente propues</w:t>
      </w:r>
      <w:r w:rsidR="0036433F" w:rsidRPr="0036433F">
        <w:t>ta</w:t>
      </w:r>
      <w:r>
        <w:t xml:space="preserve"> revisada</w:t>
      </w:r>
      <w:r w:rsidR="0036433F" w:rsidRPr="0036433F">
        <w:t xml:space="preserve"> de presupuesto por programas para el bienio</w:t>
      </w:r>
      <w:r>
        <w:t> 2016/17</w:t>
      </w:r>
      <w:r w:rsidR="004901E0" w:rsidRPr="0036433F">
        <w:t xml:space="preserve"> </w:t>
      </w:r>
      <w:r>
        <w:t>contiene las modificaciones acordadas en la vigesimocuarta sesión de</w:t>
      </w:r>
      <w:r w:rsidR="0036433F" w:rsidRPr="0036433F">
        <w:t>l Comité de</w:t>
      </w:r>
      <w:r>
        <w:t>l</w:t>
      </w:r>
      <w:r w:rsidR="0036433F" w:rsidRPr="0036433F">
        <w:t xml:space="preserve"> Programa y Presupuesto</w:t>
      </w:r>
      <w:r>
        <w:t xml:space="preserve"> </w:t>
      </w:r>
      <w:r w:rsidR="004901E0" w:rsidRPr="0036433F">
        <w:t>(</w:t>
      </w:r>
      <w:r w:rsidR="0036433F" w:rsidRPr="0036433F">
        <w:t>14 a 18 de septiembre de</w:t>
      </w:r>
      <w:r w:rsidR="004901E0" w:rsidRPr="0036433F">
        <w:t xml:space="preserve"> 2015)</w:t>
      </w:r>
      <w:r>
        <w:t xml:space="preserve"> (véase el documento A/55/4, “Decisiones adoptadas por el Comité del Programa y Presupuesto)</w:t>
      </w:r>
      <w:r w:rsidR="004901E0" w:rsidRPr="0036433F">
        <w:t>.</w:t>
      </w:r>
    </w:p>
    <w:p w:rsidR="004901E0" w:rsidRPr="004E38D6" w:rsidRDefault="004E38D6" w:rsidP="004E38D6">
      <w:pPr>
        <w:pStyle w:val="ONUME"/>
        <w:tabs>
          <w:tab w:val="left" w:pos="5954"/>
        </w:tabs>
        <w:ind w:left="5529"/>
        <w:rPr>
          <w:i/>
          <w:shd w:val="clear" w:color="auto" w:fill="FFFF00"/>
        </w:rPr>
      </w:pPr>
      <w:r>
        <w:rPr>
          <w:i/>
          <w:szCs w:val="22"/>
        </w:rPr>
        <w:t>Se invita a las Asambleas de los Estados miembros de la OMPI y de las Uniones, en lo que a cada una concierna, a que aprueben el presupuesto por programas del bienio 2016/17 (</w:t>
      </w:r>
      <w:r w:rsidR="004901E0" w:rsidRPr="004E38D6">
        <w:rPr>
          <w:i/>
          <w:szCs w:val="22"/>
        </w:rPr>
        <w:t>document</w:t>
      </w:r>
      <w:r w:rsidR="00FD257E" w:rsidRPr="004E38D6">
        <w:rPr>
          <w:i/>
          <w:szCs w:val="22"/>
        </w:rPr>
        <w:t>o</w:t>
      </w:r>
      <w:r w:rsidR="004901E0" w:rsidRPr="004E38D6">
        <w:rPr>
          <w:i/>
          <w:szCs w:val="22"/>
        </w:rPr>
        <w:t xml:space="preserve"> A/55/</w:t>
      </w:r>
      <w:r>
        <w:rPr>
          <w:i/>
          <w:szCs w:val="22"/>
        </w:rPr>
        <w:t>5 Rev.</w:t>
      </w:r>
      <w:r w:rsidR="004901E0" w:rsidRPr="004E38D6">
        <w:rPr>
          <w:i/>
          <w:szCs w:val="22"/>
        </w:rPr>
        <w:t>).</w:t>
      </w:r>
    </w:p>
    <w:p w:rsidR="004901E0" w:rsidRPr="0036433F" w:rsidRDefault="004901E0" w:rsidP="004901E0">
      <w:pPr>
        <w:pStyle w:val="ONUME"/>
        <w:numPr>
          <w:ilvl w:val="0"/>
          <w:numId w:val="0"/>
        </w:numPr>
        <w:rPr>
          <w:szCs w:val="22"/>
        </w:rPr>
      </w:pPr>
    </w:p>
    <w:p w:rsidR="004901E0" w:rsidRPr="0036433F" w:rsidRDefault="004901E0" w:rsidP="004901E0">
      <w:pPr>
        <w:pStyle w:val="ONUME"/>
        <w:numPr>
          <w:ilvl w:val="0"/>
          <w:numId w:val="0"/>
        </w:numPr>
        <w:rPr>
          <w:szCs w:val="22"/>
        </w:rPr>
      </w:pPr>
    </w:p>
    <w:p w:rsidR="00152CEA" w:rsidRPr="0036433F" w:rsidRDefault="004901E0" w:rsidP="004901E0">
      <w:pPr>
        <w:pStyle w:val="Endofdocument-Annex"/>
        <w:rPr>
          <w:lang w:val="es-ES"/>
        </w:rPr>
      </w:pPr>
      <w:r w:rsidRPr="0036433F">
        <w:rPr>
          <w:lang w:val="es-ES"/>
        </w:rPr>
        <w:t>[</w:t>
      </w:r>
      <w:r w:rsidR="00FD257E">
        <w:rPr>
          <w:lang w:val="es-ES"/>
        </w:rPr>
        <w:t xml:space="preserve">Sigue </w:t>
      </w:r>
      <w:r w:rsidR="004E38D6">
        <w:rPr>
          <w:lang w:val="es-ES"/>
        </w:rPr>
        <w:t>la propuesta de presupuesto por programas para el bienio 2016/17</w:t>
      </w:r>
      <w:r w:rsidRPr="0036433F">
        <w:rPr>
          <w:lang w:val="es-ES"/>
        </w:rPr>
        <w:t>]</w:t>
      </w:r>
    </w:p>
    <w:p w:rsidR="004901E0" w:rsidRPr="0036433F" w:rsidRDefault="004901E0" w:rsidP="004901E0">
      <w:pPr>
        <w:pStyle w:val="Endofdocument-Annex"/>
        <w:ind w:left="0"/>
        <w:rPr>
          <w:lang w:val="es-ES"/>
        </w:rPr>
      </w:pPr>
    </w:p>
    <w:p w:rsidR="004901E0" w:rsidRPr="0036433F" w:rsidRDefault="004901E0" w:rsidP="004901E0">
      <w:pPr>
        <w:pStyle w:val="Endofdocument-Annex"/>
        <w:ind w:left="0"/>
        <w:rPr>
          <w:lang w:val="es-ES"/>
        </w:rPr>
      </w:pPr>
    </w:p>
    <w:p w:rsidR="004901E0" w:rsidRPr="0036433F" w:rsidRDefault="004901E0">
      <w:r w:rsidRPr="0036433F">
        <w:br w:type="page"/>
      </w:r>
    </w:p>
    <w:p w:rsidR="004901E0" w:rsidRPr="0036433F" w:rsidRDefault="004901E0" w:rsidP="004901E0">
      <w:pPr>
        <w:pStyle w:val="Endofdocument-Annex"/>
        <w:ind w:left="0"/>
        <w:rPr>
          <w:lang w:val="es-ES"/>
        </w:rPr>
      </w:pPr>
    </w:p>
    <w:p w:rsidR="004901E0" w:rsidRPr="0036433F" w:rsidRDefault="004901E0" w:rsidP="004901E0">
      <w:pPr>
        <w:pStyle w:val="Endofdocument-Annex"/>
        <w:ind w:left="0"/>
        <w:rPr>
          <w:lang w:val="es-ES"/>
        </w:rPr>
      </w:pPr>
    </w:p>
    <w:p w:rsidR="004901E0" w:rsidRPr="0036433F" w:rsidRDefault="004E38D6" w:rsidP="004901E0">
      <w:pPr>
        <w:pStyle w:val="Endofdocument-Annex"/>
        <w:ind w:left="0"/>
        <w:rPr>
          <w:lang w:val="es-ES"/>
        </w:rPr>
      </w:pPr>
      <w:r>
        <w:rPr>
          <w:lang w:val="es-ES"/>
        </w:rPr>
        <w:t>[Página en blanco]</w:t>
      </w:r>
    </w:p>
    <w:p w:rsidR="004901E0" w:rsidRPr="0036433F" w:rsidRDefault="004901E0" w:rsidP="004901E0">
      <w:pPr>
        <w:pStyle w:val="Endofdocument-Annex"/>
        <w:ind w:left="0"/>
        <w:rPr>
          <w:lang w:val="es-ES"/>
        </w:rPr>
      </w:pPr>
    </w:p>
    <w:p w:rsidR="004901E0" w:rsidRPr="0036433F" w:rsidRDefault="004901E0" w:rsidP="004901E0">
      <w:pPr>
        <w:sectPr w:rsidR="004901E0" w:rsidRPr="0036433F" w:rsidSect="004901E0">
          <w:headerReference w:type="default" r:id="rId9"/>
          <w:pgSz w:w="11907" w:h="16840" w:code="9"/>
          <w:pgMar w:top="567" w:right="1134" w:bottom="1418" w:left="1418" w:header="510" w:footer="1021" w:gutter="0"/>
          <w:cols w:space="720"/>
          <w:titlePg/>
          <w:docGrid w:linePitch="299"/>
        </w:sectPr>
      </w:pPr>
    </w:p>
    <w:p w:rsidR="00236E18" w:rsidRPr="002E3E28" w:rsidRDefault="00236E18" w:rsidP="00236E18">
      <w:pPr>
        <w:jc w:val="center"/>
        <w:rPr>
          <w:b/>
          <w:lang w:val="es-ES_tradnl"/>
        </w:rPr>
      </w:pPr>
    </w:p>
    <w:p w:rsidR="00236E18" w:rsidRPr="002E3E28" w:rsidRDefault="00236E18" w:rsidP="00236E18">
      <w:pPr>
        <w:jc w:val="center"/>
        <w:rPr>
          <w:b/>
          <w:lang w:val="es-ES_tradnl"/>
        </w:rPr>
      </w:pPr>
    </w:p>
    <w:p w:rsidR="00236E18" w:rsidRPr="002E3E28" w:rsidRDefault="00236E18" w:rsidP="00236E18">
      <w:pPr>
        <w:jc w:val="center"/>
        <w:rPr>
          <w:b/>
          <w:lang w:val="es-ES_tradnl"/>
        </w:rPr>
      </w:pPr>
    </w:p>
    <w:p w:rsidR="00236E18" w:rsidRPr="002E3E28" w:rsidRDefault="00236E18" w:rsidP="00236E18">
      <w:pPr>
        <w:jc w:val="center"/>
        <w:rPr>
          <w:b/>
          <w:lang w:val="es-ES_tradnl"/>
        </w:rPr>
      </w:pPr>
    </w:p>
    <w:p w:rsidR="00236E18" w:rsidRPr="002E3E28" w:rsidRDefault="00236E18" w:rsidP="00236E18">
      <w:pPr>
        <w:jc w:val="center"/>
        <w:rPr>
          <w:b/>
          <w:lang w:val="es-ES_tradnl"/>
        </w:rPr>
      </w:pPr>
    </w:p>
    <w:p w:rsidR="00236E18" w:rsidRPr="002E3E28" w:rsidRDefault="00236E18" w:rsidP="00236E18">
      <w:pPr>
        <w:jc w:val="center"/>
        <w:rPr>
          <w:b/>
          <w:lang w:val="es-ES_tradnl"/>
        </w:rPr>
      </w:pPr>
    </w:p>
    <w:p w:rsidR="00236E18" w:rsidRPr="002E3E28" w:rsidRDefault="00236E18" w:rsidP="00236E18">
      <w:pPr>
        <w:jc w:val="center"/>
        <w:rPr>
          <w:b/>
          <w:lang w:val="es-ES_tradnl"/>
        </w:rPr>
      </w:pPr>
    </w:p>
    <w:p w:rsidR="00236E18" w:rsidRPr="002E3E28" w:rsidRDefault="00236E18" w:rsidP="00236E18">
      <w:pPr>
        <w:jc w:val="center"/>
        <w:rPr>
          <w:b/>
          <w:lang w:val="es-ES_tradnl"/>
        </w:rPr>
      </w:pPr>
    </w:p>
    <w:p w:rsidR="00236E18" w:rsidRPr="00372D5D" w:rsidRDefault="00236E18" w:rsidP="00236E18">
      <w:pPr>
        <w:jc w:val="center"/>
        <w:rPr>
          <w:b/>
          <w:sz w:val="24"/>
          <w:szCs w:val="24"/>
          <w:lang w:val="es-ES_tradnl"/>
        </w:rPr>
      </w:pPr>
      <w:r w:rsidRPr="00372D5D">
        <w:rPr>
          <w:b/>
          <w:sz w:val="24"/>
          <w:szCs w:val="24"/>
          <w:lang w:val="es-ES_tradnl"/>
        </w:rPr>
        <w:t>ORGANIZACIÓN MUNDIAL DE LA PROPIEDAD INTELECTUAL</w:t>
      </w:r>
    </w:p>
    <w:p w:rsidR="00236E18" w:rsidRPr="00372D5D" w:rsidRDefault="00236E18" w:rsidP="00236E18">
      <w:pPr>
        <w:jc w:val="center"/>
        <w:rPr>
          <w:b/>
          <w:sz w:val="24"/>
          <w:szCs w:val="24"/>
          <w:lang w:val="es-ES_tradnl"/>
        </w:rPr>
      </w:pPr>
    </w:p>
    <w:p w:rsidR="00236E18" w:rsidRPr="00372D5D" w:rsidRDefault="00236E18" w:rsidP="00236E18">
      <w:pPr>
        <w:jc w:val="center"/>
        <w:rPr>
          <w:b/>
          <w:sz w:val="24"/>
          <w:szCs w:val="24"/>
          <w:lang w:val="es-ES_tradnl"/>
        </w:rPr>
      </w:pPr>
    </w:p>
    <w:p w:rsidR="00236E18" w:rsidRPr="00372D5D" w:rsidRDefault="00236E18" w:rsidP="00236E18">
      <w:pPr>
        <w:jc w:val="center"/>
        <w:rPr>
          <w:b/>
          <w:sz w:val="24"/>
          <w:szCs w:val="24"/>
          <w:lang w:val="es-ES_tradnl"/>
        </w:rPr>
      </w:pPr>
    </w:p>
    <w:p w:rsidR="00236E18" w:rsidRPr="00372D5D" w:rsidRDefault="00236E18" w:rsidP="00236E18">
      <w:pPr>
        <w:jc w:val="center"/>
        <w:rPr>
          <w:b/>
          <w:sz w:val="24"/>
          <w:szCs w:val="24"/>
          <w:lang w:val="es-ES_tradnl"/>
        </w:rPr>
      </w:pPr>
    </w:p>
    <w:p w:rsidR="00236E18" w:rsidRPr="00372D5D" w:rsidRDefault="00236E18" w:rsidP="00236E18">
      <w:pPr>
        <w:jc w:val="center"/>
        <w:rPr>
          <w:b/>
          <w:sz w:val="24"/>
          <w:szCs w:val="24"/>
          <w:lang w:val="es-ES_tradnl"/>
        </w:rPr>
      </w:pPr>
    </w:p>
    <w:p w:rsidR="00236E18" w:rsidRPr="00810B44" w:rsidRDefault="00236E18" w:rsidP="00236E18">
      <w:pPr>
        <w:jc w:val="center"/>
        <w:rPr>
          <w:b/>
          <w:sz w:val="24"/>
          <w:szCs w:val="24"/>
        </w:rPr>
      </w:pPr>
      <w:r w:rsidRPr="00372D5D">
        <w:rPr>
          <w:b/>
          <w:sz w:val="24"/>
          <w:szCs w:val="24"/>
        </w:rPr>
        <w:t xml:space="preserve">PROPUESTA DE PRESUPUESTO POR PROGRAMAS </w:t>
      </w:r>
      <w:r>
        <w:rPr>
          <w:b/>
          <w:sz w:val="24"/>
          <w:szCs w:val="24"/>
        </w:rPr>
        <w:br/>
      </w:r>
      <w:r w:rsidRPr="00372D5D">
        <w:rPr>
          <w:b/>
          <w:sz w:val="24"/>
          <w:szCs w:val="24"/>
        </w:rPr>
        <w:t>PARA </w:t>
      </w:r>
      <w:r>
        <w:rPr>
          <w:b/>
          <w:sz w:val="24"/>
          <w:szCs w:val="24"/>
        </w:rPr>
        <w:t xml:space="preserve">EL BIENIO </w:t>
      </w:r>
      <w:r w:rsidRPr="00372D5D">
        <w:rPr>
          <w:b/>
          <w:sz w:val="24"/>
          <w:szCs w:val="24"/>
        </w:rPr>
        <w:t>2016/17</w:t>
      </w:r>
    </w:p>
    <w:p w:rsidR="00236E18" w:rsidRDefault="00236E18" w:rsidP="00236E18">
      <w:pPr>
        <w:jc w:val="center"/>
        <w:rPr>
          <w:sz w:val="24"/>
          <w:szCs w:val="24"/>
        </w:rPr>
      </w:pPr>
    </w:p>
    <w:p w:rsidR="00236E18" w:rsidRDefault="00236E18" w:rsidP="00236E18">
      <w:pPr>
        <w:rPr>
          <w:sz w:val="24"/>
          <w:szCs w:val="24"/>
        </w:rPr>
      </w:pPr>
    </w:p>
    <w:p w:rsidR="00236E18" w:rsidRDefault="00236E18" w:rsidP="00236E18">
      <w:pPr>
        <w:rPr>
          <w:sz w:val="24"/>
          <w:szCs w:val="24"/>
        </w:rPr>
      </w:pPr>
      <w:r>
        <w:rPr>
          <w:sz w:val="24"/>
          <w:szCs w:val="24"/>
        </w:rPr>
        <w:br w:type="page"/>
      </w: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pPr>
    </w:p>
    <w:p w:rsidR="00236E18" w:rsidRDefault="00236E18" w:rsidP="00236E18">
      <w:pPr>
        <w:rPr>
          <w:lang w:val="es-ES_tradnl"/>
        </w:rPr>
        <w:sectPr w:rsidR="00236E18" w:rsidSect="00080272">
          <w:headerReference w:type="default" r:id="rId10"/>
          <w:footerReference w:type="even" r:id="rId11"/>
          <w:footerReference w:type="default" r:id="rId12"/>
          <w:pgSz w:w="11907" w:h="16840" w:code="9"/>
          <w:pgMar w:top="567" w:right="1134" w:bottom="1134" w:left="1418" w:header="510" w:footer="1021" w:gutter="0"/>
          <w:pgNumType w:start="1"/>
          <w:cols w:space="720"/>
          <w:titlePg/>
          <w:docGrid w:linePitch="299"/>
        </w:sectPr>
      </w:pPr>
    </w:p>
    <w:p w:rsidR="00236E18" w:rsidRPr="004D723D" w:rsidRDefault="00236E18" w:rsidP="00236E18">
      <w:pPr>
        <w:jc w:val="center"/>
        <w:rPr>
          <w:b/>
        </w:rPr>
      </w:pPr>
      <w:r>
        <w:rPr>
          <w:b/>
        </w:rPr>
        <w:lastRenderedPageBreak/>
        <w:t>ÍNDICE</w:t>
      </w:r>
    </w:p>
    <w:p w:rsidR="00236E18" w:rsidRPr="00A94E7D" w:rsidRDefault="00236E18" w:rsidP="00236E18"/>
    <w:p w:rsidR="00236E18" w:rsidRPr="001F382E" w:rsidRDefault="00236E18" w:rsidP="00236E18">
      <w:pPr>
        <w:pStyle w:val="TOC1"/>
        <w:rPr>
          <w:rFonts w:asciiTheme="minorHAnsi" w:eastAsiaTheme="minorEastAsia" w:hAnsiTheme="minorHAnsi" w:cstheme="minorBidi"/>
          <w:b w:val="0"/>
          <w:sz w:val="20"/>
          <w:szCs w:val="20"/>
          <w:lang w:val="en-US" w:eastAsia="en-US"/>
        </w:rPr>
      </w:pPr>
      <w:r w:rsidRPr="001F382E">
        <w:rPr>
          <w:sz w:val="20"/>
          <w:szCs w:val="20"/>
        </w:rPr>
        <w:fldChar w:fldCharType="begin"/>
      </w:r>
      <w:r w:rsidRPr="001F382E">
        <w:rPr>
          <w:sz w:val="20"/>
          <w:szCs w:val="20"/>
        </w:rPr>
        <w:instrText xml:space="preserve"> TOC \o "1-3" \h \z \u </w:instrText>
      </w:r>
      <w:r w:rsidRPr="001F382E">
        <w:rPr>
          <w:sz w:val="20"/>
          <w:szCs w:val="20"/>
        </w:rPr>
        <w:fldChar w:fldCharType="separate"/>
      </w:r>
      <w:hyperlink w:anchor="_Toc431573931" w:history="1">
        <w:r w:rsidRPr="001F382E">
          <w:rPr>
            <w:rStyle w:val="Hyperlink"/>
            <w:sz w:val="20"/>
            <w:szCs w:val="20"/>
            <w:lang w:eastAsia="en-US"/>
          </w:rPr>
          <w:t>PRÓLOGO DEL DIRECTOR GENERAL</w:t>
        </w:r>
        <w:r w:rsidRPr="001F382E">
          <w:rPr>
            <w:webHidden/>
            <w:sz w:val="20"/>
            <w:szCs w:val="20"/>
          </w:rPr>
          <w:tab/>
        </w:r>
        <w:r w:rsidRPr="001F382E">
          <w:rPr>
            <w:webHidden/>
            <w:sz w:val="20"/>
            <w:szCs w:val="20"/>
          </w:rPr>
          <w:fldChar w:fldCharType="begin"/>
        </w:r>
        <w:r w:rsidRPr="001F382E">
          <w:rPr>
            <w:webHidden/>
            <w:sz w:val="20"/>
            <w:szCs w:val="20"/>
          </w:rPr>
          <w:instrText xml:space="preserve"> PAGEREF _Toc431573931 \h </w:instrText>
        </w:r>
        <w:r w:rsidRPr="001F382E">
          <w:rPr>
            <w:webHidden/>
            <w:sz w:val="20"/>
            <w:szCs w:val="20"/>
          </w:rPr>
        </w:r>
        <w:r w:rsidRPr="001F382E">
          <w:rPr>
            <w:webHidden/>
            <w:sz w:val="20"/>
            <w:szCs w:val="20"/>
          </w:rPr>
          <w:fldChar w:fldCharType="separate"/>
        </w:r>
        <w:r w:rsidR="001F0B8C">
          <w:rPr>
            <w:webHidden/>
            <w:sz w:val="20"/>
            <w:szCs w:val="20"/>
          </w:rPr>
          <w:t>7</w:t>
        </w:r>
        <w:r w:rsidRPr="001F382E">
          <w:rPr>
            <w:webHidden/>
            <w:sz w:val="20"/>
            <w:szCs w:val="20"/>
          </w:rPr>
          <w:fldChar w:fldCharType="end"/>
        </w:r>
      </w:hyperlink>
    </w:p>
    <w:p w:rsidR="00236E18" w:rsidRPr="001F382E" w:rsidRDefault="00236E18" w:rsidP="00236E18">
      <w:pPr>
        <w:pStyle w:val="TOC1"/>
        <w:rPr>
          <w:rFonts w:asciiTheme="minorHAnsi" w:eastAsiaTheme="minorEastAsia" w:hAnsiTheme="minorHAnsi" w:cstheme="minorBidi"/>
          <w:b w:val="0"/>
          <w:sz w:val="20"/>
          <w:szCs w:val="20"/>
          <w:lang w:val="en-US" w:eastAsia="en-US"/>
        </w:rPr>
      </w:pPr>
      <w:hyperlink w:anchor="_Toc431573932" w:history="1">
        <w:r w:rsidRPr="001F382E">
          <w:rPr>
            <w:rStyle w:val="Hyperlink"/>
            <w:sz w:val="20"/>
            <w:szCs w:val="20"/>
          </w:rPr>
          <w:t>I.</w:t>
        </w:r>
        <w:r w:rsidRPr="001F382E">
          <w:rPr>
            <w:rFonts w:asciiTheme="minorHAnsi" w:eastAsiaTheme="minorEastAsia" w:hAnsiTheme="minorHAnsi" w:cstheme="minorBidi"/>
            <w:b w:val="0"/>
            <w:sz w:val="20"/>
            <w:szCs w:val="20"/>
            <w:lang w:val="en-US" w:eastAsia="en-US"/>
          </w:rPr>
          <w:tab/>
        </w:r>
        <w:r w:rsidRPr="001F382E">
          <w:rPr>
            <w:rStyle w:val="Hyperlink"/>
            <w:sz w:val="20"/>
            <w:szCs w:val="20"/>
          </w:rPr>
          <w:t>PANORAMA FINANCIERO Y DE RESULTADOS</w:t>
        </w:r>
        <w:r w:rsidRPr="001F382E">
          <w:rPr>
            <w:webHidden/>
            <w:sz w:val="20"/>
            <w:szCs w:val="20"/>
          </w:rPr>
          <w:tab/>
        </w:r>
        <w:r w:rsidRPr="001F382E">
          <w:rPr>
            <w:webHidden/>
            <w:sz w:val="20"/>
            <w:szCs w:val="20"/>
          </w:rPr>
          <w:fldChar w:fldCharType="begin"/>
        </w:r>
        <w:r w:rsidRPr="001F382E">
          <w:rPr>
            <w:webHidden/>
            <w:sz w:val="20"/>
            <w:szCs w:val="20"/>
          </w:rPr>
          <w:instrText xml:space="preserve"> PAGEREF _Toc431573932 \h </w:instrText>
        </w:r>
        <w:r w:rsidRPr="001F382E">
          <w:rPr>
            <w:webHidden/>
            <w:sz w:val="20"/>
            <w:szCs w:val="20"/>
          </w:rPr>
        </w:r>
        <w:r w:rsidRPr="001F382E">
          <w:rPr>
            <w:webHidden/>
            <w:sz w:val="20"/>
            <w:szCs w:val="20"/>
          </w:rPr>
          <w:fldChar w:fldCharType="separate"/>
        </w:r>
        <w:r w:rsidR="001F0B8C">
          <w:rPr>
            <w:webHidden/>
            <w:sz w:val="20"/>
            <w:szCs w:val="20"/>
          </w:rPr>
          <w:t>9</w:t>
        </w:r>
        <w:r w:rsidRPr="001F382E">
          <w:rPr>
            <w:webHidden/>
            <w:sz w:val="20"/>
            <w:szCs w:val="20"/>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33" w:history="1">
        <w:r w:rsidRPr="001F382E">
          <w:rPr>
            <w:rStyle w:val="Hyperlink"/>
            <w:sz w:val="20"/>
            <w:szCs w:val="20"/>
            <w:lang w:val="es-ES"/>
          </w:rPr>
          <w:t>INGRESOS</w:t>
        </w:r>
        <w:r w:rsidRPr="001F382E">
          <w:rPr>
            <w:webHidden/>
          </w:rPr>
          <w:tab/>
        </w:r>
        <w:r w:rsidRPr="001F382E">
          <w:rPr>
            <w:webHidden/>
          </w:rPr>
          <w:tab/>
        </w:r>
        <w:r w:rsidRPr="001F382E">
          <w:rPr>
            <w:webHidden/>
          </w:rPr>
          <w:tab/>
        </w:r>
        <w:r w:rsidRPr="001F382E">
          <w:rPr>
            <w:webHidden/>
          </w:rPr>
          <w:fldChar w:fldCharType="begin"/>
        </w:r>
        <w:r w:rsidRPr="001F382E">
          <w:rPr>
            <w:webHidden/>
          </w:rPr>
          <w:instrText xml:space="preserve"> PAGEREF _Toc431573933 \h </w:instrText>
        </w:r>
        <w:r w:rsidRPr="001F382E">
          <w:rPr>
            <w:webHidden/>
          </w:rPr>
        </w:r>
        <w:r w:rsidRPr="001F382E">
          <w:rPr>
            <w:webHidden/>
          </w:rPr>
          <w:fldChar w:fldCharType="separate"/>
        </w:r>
        <w:r w:rsidR="001F0B8C">
          <w:rPr>
            <w:webHidden/>
          </w:rPr>
          <w:t>9</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34" w:history="1">
        <w:r w:rsidRPr="001F382E">
          <w:rPr>
            <w:rStyle w:val="Hyperlink"/>
            <w:sz w:val="20"/>
            <w:szCs w:val="20"/>
            <w:lang w:val="es-ES"/>
          </w:rPr>
          <w:t>RESULTADOS Y RECURSOS</w:t>
        </w:r>
        <w:r w:rsidRPr="001F382E">
          <w:rPr>
            <w:webHidden/>
          </w:rPr>
          <w:tab/>
        </w:r>
        <w:r w:rsidRPr="001F382E">
          <w:rPr>
            <w:webHidden/>
          </w:rPr>
          <w:fldChar w:fldCharType="begin"/>
        </w:r>
        <w:r w:rsidRPr="001F382E">
          <w:rPr>
            <w:webHidden/>
          </w:rPr>
          <w:instrText xml:space="preserve"> PAGEREF _Toc431573934 \h </w:instrText>
        </w:r>
        <w:r w:rsidRPr="001F382E">
          <w:rPr>
            <w:webHidden/>
          </w:rPr>
        </w:r>
        <w:r w:rsidRPr="001F382E">
          <w:rPr>
            <w:webHidden/>
          </w:rPr>
          <w:fldChar w:fldCharType="separate"/>
        </w:r>
        <w:r w:rsidR="001F0B8C">
          <w:rPr>
            <w:webHidden/>
          </w:rPr>
          <w:t>15</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35" w:history="1">
        <w:r w:rsidRPr="001F382E">
          <w:rPr>
            <w:rStyle w:val="Hyperlink"/>
            <w:sz w:val="20"/>
            <w:szCs w:val="20"/>
            <w:lang w:val="es-ES"/>
          </w:rPr>
          <w:t>RECURSOS NO RELATIVOS A PERSONAL</w:t>
        </w:r>
        <w:r w:rsidRPr="001F382E">
          <w:rPr>
            <w:webHidden/>
          </w:rPr>
          <w:tab/>
        </w:r>
        <w:r w:rsidRPr="001F382E">
          <w:rPr>
            <w:webHidden/>
          </w:rPr>
          <w:fldChar w:fldCharType="begin"/>
        </w:r>
        <w:r w:rsidRPr="001F382E">
          <w:rPr>
            <w:webHidden/>
          </w:rPr>
          <w:instrText xml:space="preserve"> PAGEREF _Toc431573935 \h </w:instrText>
        </w:r>
        <w:r w:rsidRPr="001F382E">
          <w:rPr>
            <w:webHidden/>
          </w:rPr>
        </w:r>
        <w:r w:rsidRPr="001F382E">
          <w:rPr>
            <w:webHidden/>
          </w:rPr>
          <w:fldChar w:fldCharType="separate"/>
        </w:r>
        <w:r w:rsidR="001F0B8C">
          <w:rPr>
            <w:webHidden/>
          </w:rPr>
          <w:t>23</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36" w:history="1">
        <w:r w:rsidRPr="001F382E">
          <w:rPr>
            <w:rStyle w:val="Hyperlink"/>
            <w:sz w:val="20"/>
            <w:szCs w:val="20"/>
            <w:lang w:val="es-ES"/>
          </w:rPr>
          <w:t>GASTOS DE PERSONAL</w:t>
        </w:r>
        <w:r w:rsidRPr="001F382E">
          <w:rPr>
            <w:webHidden/>
          </w:rPr>
          <w:tab/>
        </w:r>
        <w:r w:rsidRPr="001F382E">
          <w:rPr>
            <w:webHidden/>
          </w:rPr>
          <w:fldChar w:fldCharType="begin"/>
        </w:r>
        <w:r w:rsidRPr="001F382E">
          <w:rPr>
            <w:webHidden/>
          </w:rPr>
          <w:instrText xml:space="preserve"> PAGEREF _Toc431573936 \h </w:instrText>
        </w:r>
        <w:r w:rsidRPr="001F382E">
          <w:rPr>
            <w:webHidden/>
          </w:rPr>
        </w:r>
        <w:r w:rsidRPr="001F382E">
          <w:rPr>
            <w:webHidden/>
          </w:rPr>
          <w:fldChar w:fldCharType="separate"/>
        </w:r>
        <w:r w:rsidR="001F0B8C">
          <w:rPr>
            <w:webHidden/>
          </w:rPr>
          <w:t>25</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37" w:history="1">
        <w:r w:rsidRPr="001F382E">
          <w:rPr>
            <w:rStyle w:val="Hyperlink"/>
            <w:sz w:val="20"/>
            <w:szCs w:val="20"/>
            <w:lang w:val="es-ES"/>
          </w:rPr>
          <w:t xml:space="preserve">ACTIVIDADES DE DESARROLLO Y RECURSOS DE LA AGENDA PARA EL </w:t>
        </w:r>
        <w:r>
          <w:rPr>
            <w:rStyle w:val="Hyperlink"/>
            <w:sz w:val="20"/>
            <w:szCs w:val="20"/>
            <w:lang w:val="es-ES"/>
          </w:rPr>
          <w:br/>
        </w:r>
        <w:r w:rsidRPr="001F382E">
          <w:rPr>
            <w:rStyle w:val="Hyperlink"/>
            <w:sz w:val="20"/>
            <w:szCs w:val="20"/>
            <w:lang w:val="es-ES"/>
          </w:rPr>
          <w:t>DESARROLLO</w:t>
        </w:r>
        <w:r w:rsidRPr="001F382E">
          <w:rPr>
            <w:webHidden/>
          </w:rPr>
          <w:tab/>
        </w:r>
        <w:r w:rsidRPr="001F382E">
          <w:rPr>
            <w:webHidden/>
          </w:rPr>
          <w:tab/>
        </w:r>
        <w:r w:rsidRPr="001F382E">
          <w:rPr>
            <w:webHidden/>
          </w:rPr>
          <w:fldChar w:fldCharType="begin"/>
        </w:r>
        <w:r w:rsidRPr="001F382E">
          <w:rPr>
            <w:webHidden/>
          </w:rPr>
          <w:instrText xml:space="preserve"> PAGEREF _Toc431573937 \h </w:instrText>
        </w:r>
        <w:r w:rsidRPr="001F382E">
          <w:rPr>
            <w:webHidden/>
          </w:rPr>
        </w:r>
        <w:r w:rsidRPr="001F382E">
          <w:rPr>
            <w:webHidden/>
          </w:rPr>
          <w:fldChar w:fldCharType="separate"/>
        </w:r>
        <w:r w:rsidR="001F0B8C">
          <w:rPr>
            <w:webHidden/>
          </w:rPr>
          <w:t>27</w:t>
        </w:r>
        <w:r w:rsidRPr="001F382E">
          <w:rPr>
            <w:webHidden/>
          </w:rPr>
          <w:fldChar w:fldCharType="end"/>
        </w:r>
      </w:hyperlink>
    </w:p>
    <w:p w:rsidR="00236E18" w:rsidRPr="001F382E" w:rsidRDefault="00236E18" w:rsidP="00236E18">
      <w:pPr>
        <w:pStyle w:val="TOC1"/>
        <w:rPr>
          <w:rFonts w:asciiTheme="minorHAnsi" w:eastAsiaTheme="minorEastAsia" w:hAnsiTheme="minorHAnsi" w:cstheme="minorBidi"/>
          <w:b w:val="0"/>
          <w:sz w:val="20"/>
          <w:szCs w:val="20"/>
          <w:lang w:val="en-US" w:eastAsia="en-US"/>
        </w:rPr>
      </w:pPr>
      <w:hyperlink w:anchor="_Toc431573938" w:history="1">
        <w:r w:rsidRPr="001F382E">
          <w:rPr>
            <w:rStyle w:val="Hyperlink"/>
            <w:sz w:val="20"/>
            <w:szCs w:val="20"/>
            <w:lang w:val="es-ES_tradnl"/>
          </w:rPr>
          <w:t>II.</w:t>
        </w:r>
        <w:r w:rsidRPr="001F382E">
          <w:rPr>
            <w:rFonts w:asciiTheme="minorHAnsi" w:eastAsiaTheme="minorEastAsia" w:hAnsiTheme="minorHAnsi" w:cstheme="minorBidi"/>
            <w:b w:val="0"/>
            <w:sz w:val="20"/>
            <w:szCs w:val="20"/>
            <w:lang w:val="en-US" w:eastAsia="en-US"/>
          </w:rPr>
          <w:tab/>
        </w:r>
        <w:r w:rsidRPr="001F382E">
          <w:rPr>
            <w:rStyle w:val="Hyperlink"/>
            <w:sz w:val="20"/>
            <w:szCs w:val="20"/>
          </w:rPr>
          <w:t>DESCRIPCIÓN DE LOS PROGRAMAS, POR META ESTRATÉGICA</w:t>
        </w:r>
        <w:r w:rsidRPr="001F382E">
          <w:rPr>
            <w:webHidden/>
            <w:sz w:val="20"/>
            <w:szCs w:val="20"/>
          </w:rPr>
          <w:tab/>
        </w:r>
        <w:r w:rsidRPr="001F382E">
          <w:rPr>
            <w:webHidden/>
            <w:sz w:val="20"/>
            <w:szCs w:val="20"/>
          </w:rPr>
          <w:fldChar w:fldCharType="begin"/>
        </w:r>
        <w:r w:rsidRPr="001F382E">
          <w:rPr>
            <w:webHidden/>
            <w:sz w:val="20"/>
            <w:szCs w:val="20"/>
          </w:rPr>
          <w:instrText xml:space="preserve"> PAGEREF _Toc431573938 \h </w:instrText>
        </w:r>
        <w:r w:rsidRPr="001F382E">
          <w:rPr>
            <w:webHidden/>
            <w:sz w:val="20"/>
            <w:szCs w:val="20"/>
          </w:rPr>
        </w:r>
        <w:r w:rsidRPr="001F382E">
          <w:rPr>
            <w:webHidden/>
            <w:sz w:val="20"/>
            <w:szCs w:val="20"/>
          </w:rPr>
          <w:fldChar w:fldCharType="separate"/>
        </w:r>
        <w:r w:rsidR="001F0B8C">
          <w:rPr>
            <w:webHidden/>
            <w:sz w:val="20"/>
            <w:szCs w:val="20"/>
          </w:rPr>
          <w:t>29</w:t>
        </w:r>
        <w:r w:rsidRPr="001F382E">
          <w:rPr>
            <w:webHidden/>
            <w:sz w:val="20"/>
            <w:szCs w:val="20"/>
          </w:rPr>
          <w:fldChar w:fldCharType="end"/>
        </w:r>
      </w:hyperlink>
    </w:p>
    <w:p w:rsidR="00236E18" w:rsidRPr="001F382E" w:rsidRDefault="00236E18" w:rsidP="00236E18">
      <w:pPr>
        <w:pStyle w:val="TOC3"/>
        <w:tabs>
          <w:tab w:val="left" w:pos="3969"/>
        </w:tabs>
        <w:ind w:left="3969" w:hanging="3402"/>
        <w:rPr>
          <w:rFonts w:asciiTheme="minorHAnsi" w:eastAsiaTheme="minorEastAsia" w:hAnsiTheme="minorHAnsi" w:cstheme="minorBidi"/>
          <w:lang w:val="en-US"/>
        </w:rPr>
      </w:pPr>
      <w:hyperlink w:anchor="_Toc431573939" w:history="1">
        <w:r w:rsidRPr="001F382E">
          <w:rPr>
            <w:rStyle w:val="Hyperlink"/>
            <w:b/>
            <w:sz w:val="20"/>
            <w:szCs w:val="20"/>
          </w:rPr>
          <w:t>META ESTRATÉGICA I</w:t>
        </w:r>
        <w:r w:rsidRPr="001F382E">
          <w:rPr>
            <w:rFonts w:asciiTheme="minorHAnsi" w:eastAsiaTheme="minorEastAsia" w:hAnsiTheme="minorHAnsi" w:cstheme="minorBidi"/>
            <w:lang w:val="en-US"/>
          </w:rPr>
          <w:tab/>
        </w:r>
        <w:r w:rsidRPr="001F382E">
          <w:rPr>
            <w:rStyle w:val="Hyperlink"/>
            <w:b/>
            <w:sz w:val="20"/>
            <w:szCs w:val="20"/>
          </w:rPr>
          <w:t>EVOLUCIÓN EQUILIBRADA DEL MARCO NORMATIVO INTERNACIONAL DE P.I.</w:t>
        </w:r>
        <w:r w:rsidRPr="001F382E">
          <w:rPr>
            <w:webHidden/>
          </w:rPr>
          <w:tab/>
        </w:r>
        <w:r w:rsidRPr="001F382E">
          <w:rPr>
            <w:webHidden/>
          </w:rPr>
          <w:fldChar w:fldCharType="begin"/>
        </w:r>
        <w:r w:rsidRPr="001F382E">
          <w:rPr>
            <w:webHidden/>
          </w:rPr>
          <w:instrText xml:space="preserve"> PAGEREF _Toc431573939 \h </w:instrText>
        </w:r>
        <w:r w:rsidRPr="001F382E">
          <w:rPr>
            <w:webHidden/>
          </w:rPr>
        </w:r>
        <w:r w:rsidRPr="001F382E">
          <w:rPr>
            <w:webHidden/>
          </w:rPr>
          <w:fldChar w:fldCharType="separate"/>
        </w:r>
        <w:r w:rsidR="001F0B8C">
          <w:rPr>
            <w:webHidden/>
          </w:rPr>
          <w:t>29</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40" w:history="1">
        <w:r w:rsidRPr="001F382E">
          <w:rPr>
            <w:rStyle w:val="Hyperlink"/>
            <w:sz w:val="20"/>
            <w:szCs w:val="20"/>
          </w:rPr>
          <w:t>PROGRAMA 1</w:t>
        </w:r>
        <w:r w:rsidRPr="001F382E">
          <w:rPr>
            <w:rFonts w:asciiTheme="minorHAnsi" w:eastAsiaTheme="minorEastAsia" w:hAnsiTheme="minorHAnsi" w:cstheme="minorBidi"/>
            <w:lang w:val="en-US"/>
          </w:rPr>
          <w:tab/>
        </w:r>
        <w:r w:rsidRPr="001F382E">
          <w:rPr>
            <w:rStyle w:val="Hyperlink"/>
            <w:sz w:val="20"/>
            <w:szCs w:val="20"/>
          </w:rPr>
          <w:t>DERECHO DE PATENTES</w:t>
        </w:r>
        <w:r w:rsidRPr="001F382E">
          <w:rPr>
            <w:webHidden/>
          </w:rPr>
          <w:tab/>
        </w:r>
        <w:r w:rsidRPr="001F382E">
          <w:rPr>
            <w:webHidden/>
          </w:rPr>
          <w:fldChar w:fldCharType="begin"/>
        </w:r>
        <w:r w:rsidRPr="001F382E">
          <w:rPr>
            <w:webHidden/>
          </w:rPr>
          <w:instrText xml:space="preserve"> PAGEREF _Toc431573940 \h </w:instrText>
        </w:r>
        <w:r w:rsidRPr="001F382E">
          <w:rPr>
            <w:webHidden/>
          </w:rPr>
        </w:r>
        <w:r w:rsidRPr="001F382E">
          <w:rPr>
            <w:webHidden/>
          </w:rPr>
          <w:fldChar w:fldCharType="separate"/>
        </w:r>
        <w:r w:rsidR="001F0B8C">
          <w:rPr>
            <w:webHidden/>
          </w:rPr>
          <w:t>32</w:t>
        </w:r>
        <w:r w:rsidRPr="001F382E">
          <w:rPr>
            <w:webHidden/>
          </w:rPr>
          <w:fldChar w:fldCharType="end"/>
        </w:r>
      </w:hyperlink>
    </w:p>
    <w:p w:rsidR="00236E18" w:rsidRPr="001F382E" w:rsidRDefault="00236E18" w:rsidP="00236E18">
      <w:pPr>
        <w:pStyle w:val="TOC3"/>
        <w:ind w:left="2688" w:hanging="2121"/>
        <w:rPr>
          <w:rFonts w:asciiTheme="minorHAnsi" w:eastAsiaTheme="minorEastAsia" w:hAnsiTheme="minorHAnsi" w:cstheme="minorBidi"/>
          <w:lang w:val="en-US"/>
        </w:rPr>
      </w:pPr>
      <w:hyperlink w:anchor="_Toc431573941" w:history="1">
        <w:r w:rsidRPr="001F382E">
          <w:rPr>
            <w:rStyle w:val="Hyperlink"/>
            <w:sz w:val="20"/>
            <w:szCs w:val="20"/>
            <w:lang w:val="es-ES"/>
          </w:rPr>
          <w:t>PROGRAMA 2</w:t>
        </w:r>
        <w:r w:rsidRPr="001F382E">
          <w:rPr>
            <w:rFonts w:asciiTheme="minorHAnsi" w:eastAsiaTheme="minorEastAsia" w:hAnsiTheme="minorHAnsi" w:cstheme="minorBidi"/>
            <w:lang w:val="en-US"/>
          </w:rPr>
          <w:tab/>
        </w:r>
        <w:r w:rsidRPr="001F382E">
          <w:rPr>
            <w:rStyle w:val="Hyperlink"/>
            <w:sz w:val="20"/>
            <w:szCs w:val="20"/>
            <w:lang w:val="es-ES"/>
          </w:rPr>
          <w:t>MARCAS, DISEÑOS INDUSTRIALES E INDICACIONES</w:t>
        </w:r>
        <w:r>
          <w:rPr>
            <w:rStyle w:val="Hyperlink"/>
            <w:sz w:val="20"/>
            <w:szCs w:val="20"/>
            <w:lang w:val="es-ES"/>
          </w:rPr>
          <w:br/>
        </w:r>
        <w:r w:rsidRPr="001F382E">
          <w:rPr>
            <w:rStyle w:val="Hyperlink"/>
            <w:sz w:val="20"/>
            <w:szCs w:val="20"/>
            <w:lang w:val="es-ES"/>
          </w:rPr>
          <w:t>GEOGRÁFICAS</w:t>
        </w:r>
        <w:r w:rsidRPr="001F382E">
          <w:rPr>
            <w:webHidden/>
          </w:rPr>
          <w:tab/>
        </w:r>
        <w:r w:rsidRPr="001F382E">
          <w:rPr>
            <w:webHidden/>
          </w:rPr>
          <w:fldChar w:fldCharType="begin"/>
        </w:r>
        <w:r w:rsidRPr="001F382E">
          <w:rPr>
            <w:webHidden/>
          </w:rPr>
          <w:instrText xml:space="preserve"> PAGEREF _Toc431573941 \h </w:instrText>
        </w:r>
        <w:r w:rsidRPr="001F382E">
          <w:rPr>
            <w:webHidden/>
          </w:rPr>
        </w:r>
        <w:r w:rsidRPr="001F382E">
          <w:rPr>
            <w:webHidden/>
          </w:rPr>
          <w:fldChar w:fldCharType="separate"/>
        </w:r>
        <w:r w:rsidR="001F0B8C">
          <w:rPr>
            <w:webHidden/>
          </w:rPr>
          <w:t>37</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42" w:history="1">
        <w:r w:rsidRPr="001F382E">
          <w:rPr>
            <w:rStyle w:val="Hyperlink"/>
            <w:sz w:val="20"/>
            <w:szCs w:val="20"/>
          </w:rPr>
          <w:t>PROGRAMA 3</w:t>
        </w:r>
        <w:r w:rsidRPr="001F382E">
          <w:rPr>
            <w:rFonts w:asciiTheme="minorHAnsi" w:eastAsiaTheme="minorEastAsia" w:hAnsiTheme="minorHAnsi" w:cstheme="minorBidi"/>
            <w:lang w:val="en-US"/>
          </w:rPr>
          <w:tab/>
        </w:r>
        <w:r w:rsidRPr="001F382E">
          <w:rPr>
            <w:rStyle w:val="Hyperlink"/>
            <w:sz w:val="20"/>
            <w:szCs w:val="20"/>
          </w:rPr>
          <w:t>DERECHO DE AUTOR Y DERECHOS CONEXOS</w:t>
        </w:r>
        <w:r w:rsidRPr="001F382E">
          <w:rPr>
            <w:webHidden/>
          </w:rPr>
          <w:tab/>
        </w:r>
        <w:r w:rsidRPr="001F382E">
          <w:rPr>
            <w:webHidden/>
          </w:rPr>
          <w:fldChar w:fldCharType="begin"/>
        </w:r>
        <w:r w:rsidRPr="001F382E">
          <w:rPr>
            <w:webHidden/>
          </w:rPr>
          <w:instrText xml:space="preserve"> PAGEREF _Toc431573942 \h </w:instrText>
        </w:r>
        <w:r w:rsidRPr="001F382E">
          <w:rPr>
            <w:webHidden/>
          </w:rPr>
        </w:r>
        <w:r w:rsidRPr="001F382E">
          <w:rPr>
            <w:webHidden/>
          </w:rPr>
          <w:fldChar w:fldCharType="separate"/>
        </w:r>
        <w:r w:rsidR="001F0B8C">
          <w:rPr>
            <w:webHidden/>
          </w:rPr>
          <w:t>41</w:t>
        </w:r>
        <w:r w:rsidRPr="001F382E">
          <w:rPr>
            <w:webHidden/>
          </w:rPr>
          <w:fldChar w:fldCharType="end"/>
        </w:r>
      </w:hyperlink>
    </w:p>
    <w:p w:rsidR="00236E18" w:rsidRPr="001F382E" w:rsidRDefault="00236E18" w:rsidP="00236E18">
      <w:pPr>
        <w:pStyle w:val="TOC3"/>
        <w:ind w:left="2688" w:hanging="2121"/>
        <w:rPr>
          <w:rFonts w:asciiTheme="minorHAnsi" w:eastAsiaTheme="minorEastAsia" w:hAnsiTheme="minorHAnsi" w:cstheme="minorBidi"/>
          <w:lang w:val="en-US"/>
        </w:rPr>
      </w:pPr>
      <w:hyperlink w:anchor="_Toc431573943" w:history="1">
        <w:r w:rsidRPr="001F382E">
          <w:rPr>
            <w:rStyle w:val="Hyperlink"/>
            <w:sz w:val="20"/>
            <w:szCs w:val="20"/>
          </w:rPr>
          <w:t>PROGRAMA 4</w:t>
        </w:r>
        <w:r w:rsidRPr="001F382E">
          <w:rPr>
            <w:rFonts w:asciiTheme="minorHAnsi" w:eastAsiaTheme="minorEastAsia" w:hAnsiTheme="minorHAnsi" w:cstheme="minorBidi"/>
            <w:lang w:val="en-US"/>
          </w:rPr>
          <w:tab/>
        </w:r>
        <w:r w:rsidRPr="001F382E">
          <w:rPr>
            <w:rStyle w:val="Hyperlink"/>
            <w:sz w:val="20"/>
            <w:szCs w:val="20"/>
          </w:rPr>
          <w:t>CONOCIMIENTOS TRADICIONALES, EXPRESIONES CULTURALES TRADICIONALES Y RECURSOS GENÉTICOS</w:t>
        </w:r>
        <w:r w:rsidRPr="001F382E">
          <w:rPr>
            <w:webHidden/>
          </w:rPr>
          <w:tab/>
        </w:r>
        <w:r w:rsidRPr="001F382E">
          <w:rPr>
            <w:webHidden/>
          </w:rPr>
          <w:fldChar w:fldCharType="begin"/>
        </w:r>
        <w:r w:rsidRPr="001F382E">
          <w:rPr>
            <w:webHidden/>
          </w:rPr>
          <w:instrText xml:space="preserve"> PAGEREF _Toc431573943 \h </w:instrText>
        </w:r>
        <w:r w:rsidRPr="001F382E">
          <w:rPr>
            <w:webHidden/>
          </w:rPr>
        </w:r>
        <w:r w:rsidRPr="001F382E">
          <w:rPr>
            <w:webHidden/>
          </w:rPr>
          <w:fldChar w:fldCharType="separate"/>
        </w:r>
        <w:r w:rsidR="001F0B8C">
          <w:rPr>
            <w:webHidden/>
          </w:rPr>
          <w:t>48</w:t>
        </w:r>
        <w:r w:rsidRPr="001F382E">
          <w:rPr>
            <w:webHidden/>
          </w:rPr>
          <w:fldChar w:fldCharType="end"/>
        </w:r>
      </w:hyperlink>
    </w:p>
    <w:p w:rsidR="00236E18" w:rsidRPr="001F382E" w:rsidRDefault="00236E18" w:rsidP="00236E18">
      <w:pPr>
        <w:pStyle w:val="TOC3"/>
        <w:tabs>
          <w:tab w:val="left" w:pos="3402"/>
        </w:tabs>
        <w:ind w:left="3402" w:hanging="2835"/>
        <w:rPr>
          <w:rFonts w:asciiTheme="minorHAnsi" w:eastAsiaTheme="minorEastAsia" w:hAnsiTheme="minorHAnsi" w:cstheme="minorBidi"/>
          <w:b/>
          <w:lang w:val="en-US"/>
        </w:rPr>
      </w:pPr>
      <w:hyperlink w:anchor="_Toc431573944" w:history="1">
        <w:r w:rsidRPr="001F382E">
          <w:rPr>
            <w:rStyle w:val="Hyperlink"/>
            <w:b/>
            <w:sz w:val="20"/>
            <w:szCs w:val="20"/>
          </w:rPr>
          <w:t>META ESTRATÉGICA II</w:t>
        </w:r>
        <w:r w:rsidRPr="001F382E">
          <w:rPr>
            <w:rFonts w:asciiTheme="minorHAnsi" w:eastAsiaTheme="minorEastAsia" w:hAnsiTheme="minorHAnsi" w:cstheme="minorBidi"/>
            <w:b/>
            <w:lang w:val="en-US"/>
          </w:rPr>
          <w:tab/>
        </w:r>
        <w:r w:rsidRPr="001F382E">
          <w:rPr>
            <w:rStyle w:val="Hyperlink"/>
            <w:b/>
            <w:sz w:val="20"/>
            <w:szCs w:val="20"/>
          </w:rPr>
          <w:t>PRESTACIÓN DE SERVICIOS MUNDIALES DE P.I. DE CALIDAD</w:t>
        </w:r>
        <w:r w:rsidRPr="001F382E">
          <w:rPr>
            <w:b/>
            <w:webHidden/>
          </w:rPr>
          <w:tab/>
        </w:r>
        <w:r w:rsidRPr="001F382E">
          <w:rPr>
            <w:b/>
            <w:webHidden/>
          </w:rPr>
          <w:fldChar w:fldCharType="begin"/>
        </w:r>
        <w:r w:rsidRPr="001F382E">
          <w:rPr>
            <w:b/>
            <w:webHidden/>
          </w:rPr>
          <w:instrText xml:space="preserve"> PAGEREF _Toc431573944 \h </w:instrText>
        </w:r>
        <w:r w:rsidRPr="001F382E">
          <w:rPr>
            <w:b/>
            <w:webHidden/>
          </w:rPr>
        </w:r>
        <w:r w:rsidRPr="001F382E">
          <w:rPr>
            <w:b/>
            <w:webHidden/>
          </w:rPr>
          <w:fldChar w:fldCharType="separate"/>
        </w:r>
        <w:r w:rsidR="001F0B8C">
          <w:rPr>
            <w:b/>
            <w:webHidden/>
          </w:rPr>
          <w:t>53</w:t>
        </w:r>
        <w:r w:rsidRPr="001F382E">
          <w:rPr>
            <w:b/>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45" w:history="1">
        <w:r w:rsidRPr="001F382E">
          <w:rPr>
            <w:rStyle w:val="Hyperlink"/>
            <w:sz w:val="20"/>
            <w:szCs w:val="20"/>
          </w:rPr>
          <w:t>PROGRAMA 5</w:t>
        </w:r>
        <w:r w:rsidRPr="001F382E">
          <w:rPr>
            <w:rFonts w:asciiTheme="minorHAnsi" w:eastAsiaTheme="minorEastAsia" w:hAnsiTheme="minorHAnsi" w:cstheme="minorBidi"/>
            <w:lang w:val="en-US"/>
          </w:rPr>
          <w:tab/>
        </w:r>
        <w:r w:rsidRPr="001F382E">
          <w:rPr>
            <w:rStyle w:val="Hyperlink"/>
            <w:sz w:val="20"/>
            <w:szCs w:val="20"/>
          </w:rPr>
          <w:t>SISTEMA DEL PCT</w:t>
        </w:r>
        <w:r w:rsidRPr="001F382E">
          <w:rPr>
            <w:webHidden/>
          </w:rPr>
          <w:tab/>
        </w:r>
        <w:r w:rsidRPr="001F382E">
          <w:rPr>
            <w:webHidden/>
          </w:rPr>
          <w:fldChar w:fldCharType="begin"/>
        </w:r>
        <w:r w:rsidRPr="001F382E">
          <w:rPr>
            <w:webHidden/>
          </w:rPr>
          <w:instrText xml:space="preserve"> PAGEREF _Toc431573945 \h </w:instrText>
        </w:r>
        <w:r w:rsidRPr="001F382E">
          <w:rPr>
            <w:webHidden/>
          </w:rPr>
        </w:r>
        <w:r w:rsidRPr="001F382E">
          <w:rPr>
            <w:webHidden/>
          </w:rPr>
          <w:fldChar w:fldCharType="separate"/>
        </w:r>
        <w:r w:rsidR="001F0B8C">
          <w:rPr>
            <w:webHidden/>
          </w:rPr>
          <w:t>57</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46" w:history="1">
        <w:r w:rsidRPr="001F382E">
          <w:rPr>
            <w:rStyle w:val="Hyperlink"/>
            <w:sz w:val="20"/>
            <w:szCs w:val="20"/>
            <w:lang w:val="es-ES"/>
          </w:rPr>
          <w:t>PROGRAMA 6</w:t>
        </w:r>
        <w:r w:rsidRPr="001F382E">
          <w:rPr>
            <w:rFonts w:asciiTheme="minorHAnsi" w:eastAsiaTheme="minorEastAsia" w:hAnsiTheme="minorHAnsi" w:cstheme="minorBidi"/>
            <w:lang w:val="en-US"/>
          </w:rPr>
          <w:tab/>
        </w:r>
        <w:r w:rsidRPr="001F382E">
          <w:rPr>
            <w:rStyle w:val="Hyperlink"/>
            <w:sz w:val="20"/>
            <w:szCs w:val="20"/>
            <w:lang w:val="es-ES"/>
          </w:rPr>
          <w:t>SISTEMA DE MADRID</w:t>
        </w:r>
        <w:r w:rsidRPr="001F382E">
          <w:rPr>
            <w:webHidden/>
          </w:rPr>
          <w:tab/>
        </w:r>
        <w:r w:rsidRPr="001F382E">
          <w:rPr>
            <w:webHidden/>
          </w:rPr>
          <w:fldChar w:fldCharType="begin"/>
        </w:r>
        <w:r w:rsidRPr="001F382E">
          <w:rPr>
            <w:webHidden/>
          </w:rPr>
          <w:instrText xml:space="preserve"> PAGEREF _Toc431573946 \h </w:instrText>
        </w:r>
        <w:r w:rsidRPr="001F382E">
          <w:rPr>
            <w:webHidden/>
          </w:rPr>
        </w:r>
        <w:r w:rsidRPr="001F382E">
          <w:rPr>
            <w:webHidden/>
          </w:rPr>
          <w:fldChar w:fldCharType="separate"/>
        </w:r>
        <w:r w:rsidR="001F0B8C">
          <w:rPr>
            <w:webHidden/>
          </w:rPr>
          <w:t>62</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47" w:history="1">
        <w:r w:rsidRPr="001F382E">
          <w:rPr>
            <w:rStyle w:val="Hyperlink"/>
            <w:sz w:val="20"/>
            <w:szCs w:val="20"/>
            <w:lang w:val="es-ES"/>
          </w:rPr>
          <w:t>PROGRAMA 31</w:t>
        </w:r>
        <w:r w:rsidRPr="001F382E">
          <w:rPr>
            <w:rFonts w:asciiTheme="minorHAnsi" w:eastAsiaTheme="minorEastAsia" w:hAnsiTheme="minorHAnsi" w:cstheme="minorBidi"/>
            <w:lang w:val="en-US"/>
          </w:rPr>
          <w:tab/>
        </w:r>
        <w:r w:rsidRPr="001F382E">
          <w:rPr>
            <w:rStyle w:val="Hyperlink"/>
            <w:sz w:val="20"/>
            <w:szCs w:val="20"/>
            <w:lang w:val="es-ES"/>
          </w:rPr>
          <w:t>SISTEMA DE LA HAYA</w:t>
        </w:r>
        <w:r w:rsidRPr="001F382E">
          <w:rPr>
            <w:webHidden/>
          </w:rPr>
          <w:tab/>
        </w:r>
        <w:r w:rsidRPr="001F382E">
          <w:rPr>
            <w:webHidden/>
          </w:rPr>
          <w:fldChar w:fldCharType="begin"/>
        </w:r>
        <w:r w:rsidRPr="001F382E">
          <w:rPr>
            <w:webHidden/>
          </w:rPr>
          <w:instrText xml:space="preserve"> PAGEREF _Toc431573947 \h </w:instrText>
        </w:r>
        <w:r w:rsidRPr="001F382E">
          <w:rPr>
            <w:webHidden/>
          </w:rPr>
        </w:r>
        <w:r w:rsidRPr="001F382E">
          <w:rPr>
            <w:webHidden/>
          </w:rPr>
          <w:fldChar w:fldCharType="separate"/>
        </w:r>
        <w:r w:rsidR="001F0B8C">
          <w:rPr>
            <w:webHidden/>
          </w:rPr>
          <w:t>67</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48" w:history="1">
        <w:r w:rsidRPr="001F382E">
          <w:rPr>
            <w:rStyle w:val="Hyperlink"/>
            <w:sz w:val="20"/>
            <w:szCs w:val="20"/>
            <w:lang w:val="es-ES"/>
          </w:rPr>
          <w:t>PROGRAMA 32</w:t>
        </w:r>
        <w:r w:rsidRPr="001F382E">
          <w:rPr>
            <w:rFonts w:asciiTheme="minorHAnsi" w:eastAsiaTheme="minorEastAsia" w:hAnsiTheme="minorHAnsi" w:cstheme="minorBidi"/>
            <w:lang w:val="en-US"/>
          </w:rPr>
          <w:tab/>
        </w:r>
        <w:r w:rsidRPr="001F382E">
          <w:rPr>
            <w:rStyle w:val="Hyperlink"/>
            <w:sz w:val="20"/>
            <w:szCs w:val="20"/>
            <w:lang w:val="es-ES"/>
          </w:rPr>
          <w:t>SISTEMA DE LISBOA</w:t>
        </w:r>
        <w:r w:rsidRPr="001F382E">
          <w:rPr>
            <w:webHidden/>
          </w:rPr>
          <w:tab/>
        </w:r>
        <w:r w:rsidRPr="001F382E">
          <w:rPr>
            <w:webHidden/>
          </w:rPr>
          <w:fldChar w:fldCharType="begin"/>
        </w:r>
        <w:r w:rsidRPr="001F382E">
          <w:rPr>
            <w:webHidden/>
          </w:rPr>
          <w:instrText xml:space="preserve"> PAGEREF _Toc431573948 \h </w:instrText>
        </w:r>
        <w:r w:rsidRPr="001F382E">
          <w:rPr>
            <w:webHidden/>
          </w:rPr>
        </w:r>
        <w:r w:rsidRPr="001F382E">
          <w:rPr>
            <w:webHidden/>
          </w:rPr>
          <w:fldChar w:fldCharType="separate"/>
        </w:r>
        <w:r w:rsidR="001F0B8C">
          <w:rPr>
            <w:webHidden/>
          </w:rPr>
          <w:t>72</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49" w:history="1">
        <w:r w:rsidRPr="001F382E">
          <w:rPr>
            <w:rStyle w:val="Hyperlink"/>
            <w:sz w:val="20"/>
            <w:szCs w:val="20"/>
            <w:lang w:val="es-ES"/>
          </w:rPr>
          <w:t>PROGRAMA 7</w:t>
        </w:r>
        <w:r w:rsidRPr="001F382E">
          <w:rPr>
            <w:rFonts w:asciiTheme="minorHAnsi" w:eastAsiaTheme="minorEastAsia" w:hAnsiTheme="minorHAnsi" w:cstheme="minorBidi"/>
            <w:lang w:val="en-US"/>
          </w:rPr>
          <w:tab/>
        </w:r>
        <w:r w:rsidRPr="001F382E">
          <w:rPr>
            <w:rStyle w:val="Hyperlink"/>
            <w:sz w:val="20"/>
            <w:szCs w:val="20"/>
            <w:lang w:val="es-ES"/>
          </w:rPr>
          <w:t>CENTRO DE ARBITRAJE Y MEDIACIÓN DE LA OMPI</w:t>
        </w:r>
        <w:r w:rsidRPr="001F382E">
          <w:rPr>
            <w:webHidden/>
          </w:rPr>
          <w:tab/>
        </w:r>
        <w:r w:rsidRPr="001F382E">
          <w:rPr>
            <w:webHidden/>
          </w:rPr>
          <w:fldChar w:fldCharType="begin"/>
        </w:r>
        <w:r w:rsidRPr="001F382E">
          <w:rPr>
            <w:webHidden/>
          </w:rPr>
          <w:instrText xml:space="preserve"> PAGEREF _Toc431573949 \h </w:instrText>
        </w:r>
        <w:r w:rsidRPr="001F382E">
          <w:rPr>
            <w:webHidden/>
          </w:rPr>
        </w:r>
        <w:r w:rsidRPr="001F382E">
          <w:rPr>
            <w:webHidden/>
          </w:rPr>
          <w:fldChar w:fldCharType="separate"/>
        </w:r>
        <w:r w:rsidR="001F0B8C">
          <w:rPr>
            <w:webHidden/>
          </w:rPr>
          <w:t>75</w:t>
        </w:r>
        <w:r w:rsidRPr="001F382E">
          <w:rPr>
            <w:webHidden/>
          </w:rPr>
          <w:fldChar w:fldCharType="end"/>
        </w:r>
      </w:hyperlink>
    </w:p>
    <w:p w:rsidR="00236E18" w:rsidRPr="001F382E" w:rsidRDefault="00236E18" w:rsidP="00236E18">
      <w:pPr>
        <w:pStyle w:val="TOC3"/>
        <w:tabs>
          <w:tab w:val="left" w:pos="3686"/>
        </w:tabs>
        <w:ind w:left="3686" w:hanging="3119"/>
        <w:rPr>
          <w:rFonts w:asciiTheme="minorHAnsi" w:eastAsiaTheme="minorEastAsia" w:hAnsiTheme="minorHAnsi" w:cstheme="minorBidi"/>
          <w:b/>
          <w:lang w:val="en-US"/>
        </w:rPr>
      </w:pPr>
      <w:hyperlink w:anchor="_Toc431573950" w:history="1">
        <w:r w:rsidRPr="001F382E">
          <w:rPr>
            <w:rStyle w:val="Hyperlink"/>
            <w:b/>
            <w:sz w:val="20"/>
            <w:szCs w:val="20"/>
          </w:rPr>
          <w:t>META ESTRATÉGICA III</w:t>
        </w:r>
        <w:r w:rsidRPr="001F382E">
          <w:rPr>
            <w:rFonts w:asciiTheme="minorHAnsi" w:eastAsiaTheme="minorEastAsia" w:hAnsiTheme="minorHAnsi" w:cstheme="minorBidi"/>
            <w:b/>
            <w:lang w:val="en-US"/>
          </w:rPr>
          <w:tab/>
        </w:r>
        <w:r w:rsidRPr="001F382E">
          <w:rPr>
            <w:rStyle w:val="Hyperlink"/>
            <w:b/>
            <w:sz w:val="20"/>
            <w:szCs w:val="20"/>
          </w:rPr>
          <w:t>FACILITAR EL USO DE LA P.I. EN ARAS DEL DESARROLLO</w:t>
        </w:r>
        <w:r w:rsidRPr="001F382E">
          <w:rPr>
            <w:b/>
            <w:webHidden/>
          </w:rPr>
          <w:tab/>
        </w:r>
        <w:r w:rsidRPr="001F382E">
          <w:rPr>
            <w:b/>
            <w:webHidden/>
          </w:rPr>
          <w:fldChar w:fldCharType="begin"/>
        </w:r>
        <w:r w:rsidRPr="001F382E">
          <w:rPr>
            <w:b/>
            <w:webHidden/>
          </w:rPr>
          <w:instrText xml:space="preserve"> PAGEREF _Toc431573950 \h </w:instrText>
        </w:r>
        <w:r w:rsidRPr="001F382E">
          <w:rPr>
            <w:b/>
            <w:webHidden/>
          </w:rPr>
        </w:r>
        <w:r w:rsidRPr="001F382E">
          <w:rPr>
            <w:b/>
            <w:webHidden/>
          </w:rPr>
          <w:fldChar w:fldCharType="separate"/>
        </w:r>
        <w:r w:rsidR="001F0B8C">
          <w:rPr>
            <w:b/>
            <w:webHidden/>
          </w:rPr>
          <w:t>80</w:t>
        </w:r>
        <w:r w:rsidRPr="001F382E">
          <w:rPr>
            <w:b/>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51" w:history="1">
        <w:r w:rsidRPr="001F382E">
          <w:rPr>
            <w:rStyle w:val="Hyperlink"/>
            <w:sz w:val="20"/>
            <w:szCs w:val="20"/>
            <w:lang w:val="es-ES"/>
          </w:rPr>
          <w:t>PROGRAMA 8</w:t>
        </w:r>
        <w:r w:rsidRPr="001F382E">
          <w:rPr>
            <w:rFonts w:asciiTheme="minorHAnsi" w:eastAsiaTheme="minorEastAsia" w:hAnsiTheme="minorHAnsi" w:cstheme="minorBidi"/>
            <w:lang w:val="en-US"/>
          </w:rPr>
          <w:tab/>
        </w:r>
        <w:r w:rsidRPr="001F382E">
          <w:rPr>
            <w:rStyle w:val="Hyperlink"/>
            <w:sz w:val="20"/>
            <w:szCs w:val="20"/>
            <w:lang w:val="es-ES"/>
          </w:rPr>
          <w:t>COORDINACIÓN DE LA AGENDA PARA EL DESARROLLO</w:t>
        </w:r>
        <w:r w:rsidRPr="001F382E">
          <w:rPr>
            <w:webHidden/>
          </w:rPr>
          <w:tab/>
        </w:r>
        <w:r w:rsidRPr="001F382E">
          <w:rPr>
            <w:webHidden/>
          </w:rPr>
          <w:fldChar w:fldCharType="begin"/>
        </w:r>
        <w:r w:rsidRPr="001F382E">
          <w:rPr>
            <w:webHidden/>
          </w:rPr>
          <w:instrText xml:space="preserve"> PAGEREF _Toc431573951 \h </w:instrText>
        </w:r>
        <w:r w:rsidRPr="001F382E">
          <w:rPr>
            <w:webHidden/>
          </w:rPr>
        </w:r>
        <w:r w:rsidRPr="001F382E">
          <w:rPr>
            <w:webHidden/>
          </w:rPr>
          <w:fldChar w:fldCharType="separate"/>
        </w:r>
        <w:r w:rsidR="001F0B8C">
          <w:rPr>
            <w:webHidden/>
          </w:rPr>
          <w:t>84</w:t>
        </w:r>
        <w:r w:rsidRPr="001F382E">
          <w:rPr>
            <w:webHidden/>
          </w:rPr>
          <w:fldChar w:fldCharType="end"/>
        </w:r>
      </w:hyperlink>
    </w:p>
    <w:p w:rsidR="00236E18" w:rsidRPr="001F382E" w:rsidRDefault="00236E18" w:rsidP="00236E18">
      <w:pPr>
        <w:pStyle w:val="TOC3"/>
        <w:ind w:left="2688" w:hanging="2121"/>
        <w:rPr>
          <w:rFonts w:asciiTheme="minorHAnsi" w:eastAsiaTheme="minorEastAsia" w:hAnsiTheme="minorHAnsi" w:cstheme="minorBidi"/>
          <w:lang w:val="en-US"/>
        </w:rPr>
      </w:pPr>
      <w:hyperlink w:anchor="_Toc431573952" w:history="1">
        <w:r w:rsidRPr="001F382E">
          <w:rPr>
            <w:rStyle w:val="Hyperlink"/>
            <w:sz w:val="20"/>
            <w:szCs w:val="20"/>
            <w:lang w:val="es-ES"/>
          </w:rPr>
          <w:t>PROGRAMA 9</w:t>
        </w:r>
        <w:r w:rsidRPr="001F382E">
          <w:rPr>
            <w:rFonts w:asciiTheme="minorHAnsi" w:eastAsiaTheme="minorEastAsia" w:hAnsiTheme="minorHAnsi" w:cstheme="minorBidi"/>
            <w:lang w:val="en-US"/>
          </w:rPr>
          <w:tab/>
        </w:r>
        <w:r w:rsidRPr="001F382E">
          <w:rPr>
            <w:rStyle w:val="Hyperlink"/>
            <w:sz w:val="20"/>
            <w:szCs w:val="20"/>
            <w:lang w:val="es-ES"/>
          </w:rPr>
          <w:t>PAÍSES AFRICANOS, ÁRABES, DE AMÉRICA LATINA Y EL CARIBE, DE ASIA Y EL PACÍFICO, Y PAÍSES MENOS ADELANTADOS</w:t>
        </w:r>
        <w:r w:rsidRPr="001F382E">
          <w:rPr>
            <w:webHidden/>
          </w:rPr>
          <w:tab/>
        </w:r>
        <w:r w:rsidRPr="001F382E">
          <w:rPr>
            <w:webHidden/>
          </w:rPr>
          <w:fldChar w:fldCharType="begin"/>
        </w:r>
        <w:r w:rsidRPr="001F382E">
          <w:rPr>
            <w:webHidden/>
          </w:rPr>
          <w:instrText xml:space="preserve"> PAGEREF _Toc431573952 \h </w:instrText>
        </w:r>
        <w:r w:rsidRPr="001F382E">
          <w:rPr>
            <w:webHidden/>
          </w:rPr>
        </w:r>
        <w:r w:rsidRPr="001F382E">
          <w:rPr>
            <w:webHidden/>
          </w:rPr>
          <w:fldChar w:fldCharType="separate"/>
        </w:r>
        <w:r w:rsidR="001F0B8C">
          <w:rPr>
            <w:webHidden/>
          </w:rPr>
          <w:t>87</w:t>
        </w:r>
        <w:r w:rsidRPr="001F382E">
          <w:rPr>
            <w:webHidden/>
          </w:rPr>
          <w:fldChar w:fldCharType="end"/>
        </w:r>
      </w:hyperlink>
    </w:p>
    <w:p w:rsidR="00236E18" w:rsidRPr="001F382E" w:rsidRDefault="00236E18" w:rsidP="00236E18">
      <w:pPr>
        <w:pStyle w:val="TOC3"/>
        <w:ind w:left="2688" w:hanging="2121"/>
        <w:rPr>
          <w:rFonts w:asciiTheme="minorHAnsi" w:eastAsiaTheme="minorEastAsia" w:hAnsiTheme="minorHAnsi" w:cstheme="minorBidi"/>
          <w:lang w:val="en-US"/>
        </w:rPr>
      </w:pPr>
      <w:hyperlink w:anchor="_Toc431573953" w:history="1">
        <w:r w:rsidRPr="001F382E">
          <w:rPr>
            <w:rStyle w:val="Hyperlink"/>
            <w:sz w:val="20"/>
            <w:szCs w:val="20"/>
            <w:lang w:val="es-ES"/>
          </w:rPr>
          <w:t>PROGRAMA 10</w:t>
        </w:r>
        <w:r w:rsidRPr="001F382E">
          <w:rPr>
            <w:rFonts w:asciiTheme="minorHAnsi" w:eastAsiaTheme="minorEastAsia" w:hAnsiTheme="minorHAnsi" w:cstheme="minorBidi"/>
            <w:lang w:val="en-US"/>
          </w:rPr>
          <w:tab/>
        </w:r>
        <w:r w:rsidRPr="001F382E">
          <w:rPr>
            <w:rStyle w:val="Hyperlink"/>
            <w:sz w:val="20"/>
            <w:szCs w:val="20"/>
            <w:lang w:val="es-ES"/>
          </w:rPr>
          <w:t>PAÍSES CON ECONOMÍAS EN TRANSICIÓN Y PAÍSES DESARROLLADOS</w:t>
        </w:r>
        <w:r w:rsidRPr="001F382E">
          <w:rPr>
            <w:webHidden/>
          </w:rPr>
          <w:tab/>
        </w:r>
        <w:r w:rsidRPr="001F382E">
          <w:rPr>
            <w:webHidden/>
          </w:rPr>
          <w:fldChar w:fldCharType="begin"/>
        </w:r>
        <w:r w:rsidRPr="001F382E">
          <w:rPr>
            <w:webHidden/>
          </w:rPr>
          <w:instrText xml:space="preserve"> PAGEREF _Toc431573953 \h </w:instrText>
        </w:r>
        <w:r w:rsidRPr="001F382E">
          <w:rPr>
            <w:webHidden/>
          </w:rPr>
        </w:r>
        <w:r w:rsidRPr="001F382E">
          <w:rPr>
            <w:webHidden/>
          </w:rPr>
          <w:fldChar w:fldCharType="separate"/>
        </w:r>
        <w:r w:rsidR="001F0B8C">
          <w:rPr>
            <w:webHidden/>
          </w:rPr>
          <w:t>95</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54" w:history="1">
        <w:r w:rsidRPr="001F382E">
          <w:rPr>
            <w:rStyle w:val="Hyperlink"/>
            <w:sz w:val="20"/>
            <w:szCs w:val="20"/>
            <w:lang w:val="es-ES"/>
          </w:rPr>
          <w:t>PROGRAMA 11</w:t>
        </w:r>
        <w:r w:rsidRPr="001F382E">
          <w:rPr>
            <w:rFonts w:asciiTheme="minorHAnsi" w:eastAsiaTheme="minorEastAsia" w:hAnsiTheme="minorHAnsi" w:cstheme="minorBidi"/>
            <w:lang w:val="en-US"/>
          </w:rPr>
          <w:tab/>
        </w:r>
        <w:r w:rsidRPr="001F382E">
          <w:rPr>
            <w:rStyle w:val="Hyperlink"/>
            <w:sz w:val="20"/>
            <w:szCs w:val="20"/>
            <w:lang w:val="es-ES"/>
          </w:rPr>
          <w:t>ACADEMIA DE LA OMPI</w:t>
        </w:r>
        <w:r w:rsidRPr="001F382E">
          <w:rPr>
            <w:webHidden/>
          </w:rPr>
          <w:tab/>
        </w:r>
        <w:r w:rsidRPr="001F382E">
          <w:rPr>
            <w:webHidden/>
          </w:rPr>
          <w:fldChar w:fldCharType="begin"/>
        </w:r>
        <w:r w:rsidRPr="001F382E">
          <w:rPr>
            <w:webHidden/>
          </w:rPr>
          <w:instrText xml:space="preserve"> PAGEREF _Toc431573954 \h </w:instrText>
        </w:r>
        <w:r w:rsidRPr="001F382E">
          <w:rPr>
            <w:webHidden/>
          </w:rPr>
        </w:r>
        <w:r w:rsidRPr="001F382E">
          <w:rPr>
            <w:webHidden/>
          </w:rPr>
          <w:fldChar w:fldCharType="separate"/>
        </w:r>
        <w:r w:rsidR="001F0B8C">
          <w:rPr>
            <w:webHidden/>
          </w:rPr>
          <w:t>101</w:t>
        </w:r>
        <w:r w:rsidRPr="001F382E">
          <w:rPr>
            <w:webHidden/>
          </w:rPr>
          <w:fldChar w:fldCharType="end"/>
        </w:r>
      </w:hyperlink>
    </w:p>
    <w:p w:rsidR="00236E18" w:rsidRPr="001F382E" w:rsidRDefault="00236E18" w:rsidP="00236E18">
      <w:pPr>
        <w:pStyle w:val="TOC3"/>
        <w:ind w:left="2688" w:hanging="2121"/>
        <w:rPr>
          <w:rFonts w:asciiTheme="minorHAnsi" w:eastAsiaTheme="minorEastAsia" w:hAnsiTheme="minorHAnsi" w:cstheme="minorBidi"/>
          <w:lang w:val="en-US"/>
        </w:rPr>
      </w:pPr>
      <w:hyperlink w:anchor="_Toc431573955" w:history="1">
        <w:r w:rsidRPr="001F382E">
          <w:rPr>
            <w:rStyle w:val="Hyperlink"/>
            <w:rFonts w:eastAsia="Arial"/>
            <w:sz w:val="20"/>
            <w:szCs w:val="20"/>
          </w:rPr>
          <w:t>PROGRAMA 30</w:t>
        </w:r>
        <w:r w:rsidRPr="001F382E">
          <w:rPr>
            <w:rFonts w:asciiTheme="minorHAnsi" w:eastAsiaTheme="minorEastAsia" w:hAnsiTheme="minorHAnsi" w:cstheme="minorBidi"/>
            <w:lang w:val="en-US"/>
          </w:rPr>
          <w:tab/>
        </w:r>
        <w:r w:rsidRPr="001F382E">
          <w:rPr>
            <w:rStyle w:val="Hyperlink"/>
            <w:rFonts w:eastAsia="Arial"/>
            <w:sz w:val="20"/>
            <w:szCs w:val="20"/>
          </w:rPr>
          <w:t>APOYO A LAS PEQUEÑAS Y MEDIANAS EMPRESAS (PYMES) Y A LA CAPACIDAD EMPRESARIAL</w:t>
        </w:r>
        <w:r w:rsidRPr="001F382E">
          <w:rPr>
            <w:webHidden/>
          </w:rPr>
          <w:tab/>
        </w:r>
        <w:r w:rsidRPr="001F382E">
          <w:rPr>
            <w:webHidden/>
          </w:rPr>
          <w:fldChar w:fldCharType="begin"/>
        </w:r>
        <w:r w:rsidRPr="001F382E">
          <w:rPr>
            <w:webHidden/>
          </w:rPr>
          <w:instrText xml:space="preserve"> PAGEREF _Toc431573955 \h </w:instrText>
        </w:r>
        <w:r w:rsidRPr="001F382E">
          <w:rPr>
            <w:webHidden/>
          </w:rPr>
        </w:r>
        <w:r w:rsidRPr="001F382E">
          <w:rPr>
            <w:webHidden/>
          </w:rPr>
          <w:fldChar w:fldCharType="separate"/>
        </w:r>
        <w:r w:rsidR="001F0B8C">
          <w:rPr>
            <w:webHidden/>
          </w:rPr>
          <w:t>107</w:t>
        </w:r>
        <w:r w:rsidRPr="001F382E">
          <w:rPr>
            <w:webHidden/>
          </w:rPr>
          <w:fldChar w:fldCharType="end"/>
        </w:r>
      </w:hyperlink>
    </w:p>
    <w:p w:rsidR="00236E18" w:rsidRPr="001F382E" w:rsidRDefault="00236E18" w:rsidP="00236E18">
      <w:pPr>
        <w:pStyle w:val="TOC3"/>
        <w:tabs>
          <w:tab w:val="left" w:pos="3686"/>
        </w:tabs>
        <w:ind w:left="3686" w:hanging="3119"/>
        <w:rPr>
          <w:rFonts w:asciiTheme="minorHAnsi" w:eastAsiaTheme="minorEastAsia" w:hAnsiTheme="minorHAnsi" w:cstheme="minorBidi"/>
          <w:b/>
          <w:lang w:val="en-US"/>
        </w:rPr>
      </w:pPr>
      <w:hyperlink w:anchor="_Toc431573956" w:history="1">
        <w:r w:rsidRPr="001F382E">
          <w:rPr>
            <w:rStyle w:val="Hyperlink"/>
            <w:b/>
            <w:sz w:val="20"/>
            <w:szCs w:val="20"/>
          </w:rPr>
          <w:t>META ESTRATÉGICA IV</w:t>
        </w:r>
        <w:r w:rsidRPr="001F382E">
          <w:rPr>
            <w:rFonts w:asciiTheme="minorHAnsi" w:eastAsiaTheme="minorEastAsia" w:hAnsiTheme="minorHAnsi" w:cstheme="minorBidi"/>
            <w:b/>
            <w:lang w:val="en-US"/>
          </w:rPr>
          <w:tab/>
        </w:r>
        <w:r w:rsidRPr="001F382E">
          <w:rPr>
            <w:rStyle w:val="Hyperlink"/>
            <w:b/>
            <w:sz w:val="20"/>
            <w:szCs w:val="20"/>
          </w:rPr>
          <w:t>COORDINACIÓN Y DESARROLLO DE LA INFRAESTRUCTURA MUNDIAL DE LA P.I.</w:t>
        </w:r>
        <w:r w:rsidRPr="001F382E">
          <w:rPr>
            <w:b/>
            <w:webHidden/>
          </w:rPr>
          <w:tab/>
        </w:r>
        <w:r w:rsidRPr="001F382E">
          <w:rPr>
            <w:b/>
            <w:webHidden/>
          </w:rPr>
          <w:fldChar w:fldCharType="begin"/>
        </w:r>
        <w:r w:rsidRPr="001F382E">
          <w:rPr>
            <w:b/>
            <w:webHidden/>
          </w:rPr>
          <w:instrText xml:space="preserve"> PAGEREF _Toc431573956 \h </w:instrText>
        </w:r>
        <w:r w:rsidRPr="001F382E">
          <w:rPr>
            <w:b/>
            <w:webHidden/>
          </w:rPr>
        </w:r>
        <w:r w:rsidRPr="001F382E">
          <w:rPr>
            <w:b/>
            <w:webHidden/>
          </w:rPr>
          <w:fldChar w:fldCharType="separate"/>
        </w:r>
        <w:r w:rsidR="001F0B8C">
          <w:rPr>
            <w:b/>
            <w:webHidden/>
          </w:rPr>
          <w:t>112</w:t>
        </w:r>
        <w:r w:rsidRPr="001F382E">
          <w:rPr>
            <w:b/>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57" w:history="1">
        <w:r w:rsidRPr="001F382E">
          <w:rPr>
            <w:rStyle w:val="Hyperlink"/>
            <w:sz w:val="20"/>
            <w:szCs w:val="20"/>
          </w:rPr>
          <w:t>PROGRAMA 12</w:t>
        </w:r>
        <w:r w:rsidRPr="001F382E">
          <w:rPr>
            <w:rFonts w:asciiTheme="minorHAnsi" w:eastAsiaTheme="minorEastAsia" w:hAnsiTheme="minorHAnsi" w:cstheme="minorBidi"/>
            <w:lang w:val="en-US"/>
          </w:rPr>
          <w:tab/>
        </w:r>
        <w:r w:rsidRPr="001F382E">
          <w:rPr>
            <w:rStyle w:val="Hyperlink"/>
            <w:sz w:val="20"/>
            <w:szCs w:val="20"/>
          </w:rPr>
          <w:t>CLASIFICACIONES INTERNACIONALES Y NORMAS TÉCNICAS</w:t>
        </w:r>
        <w:r w:rsidRPr="001F382E">
          <w:rPr>
            <w:webHidden/>
          </w:rPr>
          <w:tab/>
        </w:r>
        <w:r w:rsidRPr="001F382E">
          <w:rPr>
            <w:webHidden/>
          </w:rPr>
          <w:fldChar w:fldCharType="begin"/>
        </w:r>
        <w:r w:rsidRPr="001F382E">
          <w:rPr>
            <w:webHidden/>
          </w:rPr>
          <w:instrText xml:space="preserve"> PAGEREF _Toc431573957 \h </w:instrText>
        </w:r>
        <w:r w:rsidRPr="001F382E">
          <w:rPr>
            <w:webHidden/>
          </w:rPr>
        </w:r>
        <w:r w:rsidRPr="001F382E">
          <w:rPr>
            <w:webHidden/>
          </w:rPr>
          <w:fldChar w:fldCharType="separate"/>
        </w:r>
        <w:r w:rsidR="001F0B8C">
          <w:rPr>
            <w:webHidden/>
          </w:rPr>
          <w:t>115</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58" w:history="1">
        <w:r w:rsidRPr="001F382E">
          <w:rPr>
            <w:rStyle w:val="Hyperlink"/>
            <w:sz w:val="20"/>
            <w:szCs w:val="20"/>
          </w:rPr>
          <w:t>PROGRAMA 13</w:t>
        </w:r>
        <w:r w:rsidRPr="001F382E">
          <w:rPr>
            <w:rFonts w:asciiTheme="minorHAnsi" w:eastAsiaTheme="minorEastAsia" w:hAnsiTheme="minorHAnsi" w:cstheme="minorBidi"/>
            <w:lang w:val="en-US"/>
          </w:rPr>
          <w:tab/>
        </w:r>
        <w:r w:rsidRPr="001F382E">
          <w:rPr>
            <w:rStyle w:val="Hyperlink"/>
            <w:sz w:val="20"/>
            <w:szCs w:val="20"/>
          </w:rPr>
          <w:t>SERVICIO DE BASES MUNDIALES DE DATOS</w:t>
        </w:r>
        <w:r w:rsidRPr="001F382E">
          <w:rPr>
            <w:webHidden/>
          </w:rPr>
          <w:tab/>
        </w:r>
        <w:r w:rsidRPr="001F382E">
          <w:rPr>
            <w:webHidden/>
          </w:rPr>
          <w:fldChar w:fldCharType="begin"/>
        </w:r>
        <w:r w:rsidRPr="001F382E">
          <w:rPr>
            <w:webHidden/>
          </w:rPr>
          <w:instrText xml:space="preserve"> PAGEREF _Toc431573958 \h </w:instrText>
        </w:r>
        <w:r w:rsidRPr="001F382E">
          <w:rPr>
            <w:webHidden/>
          </w:rPr>
        </w:r>
        <w:r w:rsidRPr="001F382E">
          <w:rPr>
            <w:webHidden/>
          </w:rPr>
          <w:fldChar w:fldCharType="separate"/>
        </w:r>
        <w:r w:rsidR="001F0B8C">
          <w:rPr>
            <w:webHidden/>
          </w:rPr>
          <w:t>119</w:t>
        </w:r>
        <w:r w:rsidRPr="001F382E">
          <w:rPr>
            <w:webHidden/>
          </w:rPr>
          <w:fldChar w:fldCharType="end"/>
        </w:r>
      </w:hyperlink>
    </w:p>
    <w:p w:rsidR="00236E18" w:rsidRPr="001F382E" w:rsidRDefault="00236E18" w:rsidP="00236E18">
      <w:pPr>
        <w:pStyle w:val="TOC3"/>
        <w:ind w:left="2688" w:hanging="2121"/>
        <w:rPr>
          <w:rFonts w:asciiTheme="minorHAnsi" w:eastAsiaTheme="minorEastAsia" w:hAnsiTheme="minorHAnsi" w:cstheme="minorBidi"/>
          <w:lang w:val="en-US"/>
        </w:rPr>
      </w:pPr>
      <w:hyperlink w:anchor="_Toc431573959" w:history="1">
        <w:r w:rsidRPr="001F382E">
          <w:rPr>
            <w:rStyle w:val="Hyperlink"/>
            <w:sz w:val="20"/>
            <w:szCs w:val="20"/>
            <w:lang w:val="es-ES"/>
          </w:rPr>
          <w:t>PROGRAMA 14</w:t>
        </w:r>
        <w:r w:rsidRPr="001F382E">
          <w:rPr>
            <w:rFonts w:asciiTheme="minorHAnsi" w:eastAsiaTheme="minorEastAsia" w:hAnsiTheme="minorHAnsi" w:cstheme="minorBidi"/>
            <w:lang w:val="en-US"/>
          </w:rPr>
          <w:tab/>
        </w:r>
        <w:r w:rsidRPr="001F382E">
          <w:rPr>
            <w:rStyle w:val="Hyperlink"/>
            <w:sz w:val="20"/>
            <w:szCs w:val="20"/>
            <w:lang w:val="es-ES"/>
          </w:rPr>
          <w:t>SERVICIOS DE ACCESO A LA INFORMACIÓN Y A LOS CONOCIMIENTOS</w:t>
        </w:r>
        <w:r w:rsidRPr="001F382E">
          <w:rPr>
            <w:webHidden/>
          </w:rPr>
          <w:tab/>
        </w:r>
        <w:r w:rsidRPr="001F382E">
          <w:rPr>
            <w:webHidden/>
          </w:rPr>
          <w:fldChar w:fldCharType="begin"/>
        </w:r>
        <w:r w:rsidRPr="001F382E">
          <w:rPr>
            <w:webHidden/>
          </w:rPr>
          <w:instrText xml:space="preserve"> PAGEREF _Toc431573959 \h </w:instrText>
        </w:r>
        <w:r w:rsidRPr="001F382E">
          <w:rPr>
            <w:webHidden/>
          </w:rPr>
        </w:r>
        <w:r w:rsidRPr="001F382E">
          <w:rPr>
            <w:webHidden/>
          </w:rPr>
          <w:fldChar w:fldCharType="separate"/>
        </w:r>
        <w:r w:rsidR="001F0B8C">
          <w:rPr>
            <w:webHidden/>
          </w:rPr>
          <w:t>123</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60" w:history="1">
        <w:r w:rsidRPr="001F382E">
          <w:rPr>
            <w:rStyle w:val="Hyperlink"/>
            <w:sz w:val="20"/>
            <w:szCs w:val="20"/>
          </w:rPr>
          <w:t>PROGRAMA 15</w:t>
        </w:r>
        <w:r w:rsidRPr="001F382E">
          <w:rPr>
            <w:rFonts w:asciiTheme="minorHAnsi" w:eastAsiaTheme="minorEastAsia" w:hAnsiTheme="minorHAnsi" w:cstheme="minorBidi"/>
            <w:lang w:val="en-US"/>
          </w:rPr>
          <w:tab/>
        </w:r>
        <w:r w:rsidRPr="001F382E">
          <w:rPr>
            <w:rStyle w:val="Hyperlink"/>
            <w:sz w:val="20"/>
            <w:szCs w:val="20"/>
          </w:rPr>
          <w:t>SOLUCIONES OPERATIVAS PARA LAS OFICINAS DE P.I.</w:t>
        </w:r>
        <w:r w:rsidRPr="001F382E">
          <w:rPr>
            <w:webHidden/>
          </w:rPr>
          <w:tab/>
        </w:r>
        <w:r w:rsidRPr="001F382E">
          <w:rPr>
            <w:webHidden/>
          </w:rPr>
          <w:fldChar w:fldCharType="begin"/>
        </w:r>
        <w:r w:rsidRPr="001F382E">
          <w:rPr>
            <w:webHidden/>
          </w:rPr>
          <w:instrText xml:space="preserve"> PAGEREF _Toc431573960 \h </w:instrText>
        </w:r>
        <w:r w:rsidRPr="001F382E">
          <w:rPr>
            <w:webHidden/>
          </w:rPr>
        </w:r>
        <w:r w:rsidRPr="001F382E">
          <w:rPr>
            <w:webHidden/>
          </w:rPr>
          <w:fldChar w:fldCharType="separate"/>
        </w:r>
        <w:r w:rsidR="001F0B8C">
          <w:rPr>
            <w:webHidden/>
          </w:rPr>
          <w:t>127</w:t>
        </w:r>
        <w:r w:rsidRPr="001F382E">
          <w:rPr>
            <w:webHidden/>
          </w:rPr>
          <w:fldChar w:fldCharType="end"/>
        </w:r>
      </w:hyperlink>
    </w:p>
    <w:p w:rsidR="00236E18" w:rsidRPr="001F382E" w:rsidRDefault="00236E18" w:rsidP="00236E18">
      <w:pPr>
        <w:pStyle w:val="TOC3"/>
        <w:tabs>
          <w:tab w:val="left" w:pos="3402"/>
        </w:tabs>
        <w:ind w:left="3402" w:hanging="2835"/>
        <w:rPr>
          <w:rFonts w:asciiTheme="minorHAnsi" w:eastAsiaTheme="minorEastAsia" w:hAnsiTheme="minorHAnsi" w:cstheme="minorBidi"/>
          <w:b/>
          <w:lang w:val="en-US"/>
        </w:rPr>
      </w:pPr>
      <w:hyperlink w:anchor="_Toc431573961" w:history="1">
        <w:r w:rsidRPr="001F382E">
          <w:rPr>
            <w:rStyle w:val="Hyperlink"/>
            <w:b/>
            <w:sz w:val="20"/>
            <w:szCs w:val="20"/>
          </w:rPr>
          <w:t>META ESTRATÉGICA V</w:t>
        </w:r>
        <w:r w:rsidRPr="001F382E">
          <w:rPr>
            <w:rFonts w:asciiTheme="minorHAnsi" w:eastAsiaTheme="minorEastAsia" w:hAnsiTheme="minorHAnsi" w:cstheme="minorBidi"/>
            <w:b/>
            <w:lang w:val="en-US"/>
          </w:rPr>
          <w:tab/>
        </w:r>
        <w:r w:rsidRPr="001F382E">
          <w:rPr>
            <w:rStyle w:val="Hyperlink"/>
            <w:b/>
            <w:sz w:val="20"/>
            <w:szCs w:val="20"/>
          </w:rPr>
          <w:t>FUENTE DE REFERENCIA EN EL MUNDO DE INFORMACIÓN Y ANÁLISIS EN MATERIA DE P.I.</w:t>
        </w:r>
        <w:r w:rsidRPr="001F382E">
          <w:rPr>
            <w:b/>
            <w:webHidden/>
          </w:rPr>
          <w:tab/>
        </w:r>
        <w:r w:rsidRPr="001F382E">
          <w:rPr>
            <w:b/>
            <w:webHidden/>
          </w:rPr>
          <w:fldChar w:fldCharType="begin"/>
        </w:r>
        <w:r w:rsidRPr="001F382E">
          <w:rPr>
            <w:b/>
            <w:webHidden/>
          </w:rPr>
          <w:instrText xml:space="preserve"> PAGEREF _Toc431573961 \h </w:instrText>
        </w:r>
        <w:r w:rsidRPr="001F382E">
          <w:rPr>
            <w:b/>
            <w:webHidden/>
          </w:rPr>
        </w:r>
        <w:r w:rsidRPr="001F382E">
          <w:rPr>
            <w:b/>
            <w:webHidden/>
          </w:rPr>
          <w:fldChar w:fldCharType="separate"/>
        </w:r>
        <w:r w:rsidR="001F0B8C">
          <w:rPr>
            <w:b/>
            <w:webHidden/>
          </w:rPr>
          <w:t>131</w:t>
        </w:r>
        <w:r w:rsidRPr="001F382E">
          <w:rPr>
            <w:b/>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62" w:history="1">
        <w:r w:rsidRPr="001F382E">
          <w:rPr>
            <w:rStyle w:val="Hyperlink"/>
            <w:sz w:val="20"/>
            <w:szCs w:val="20"/>
          </w:rPr>
          <w:t>PROGRAMA 16</w:t>
        </w:r>
        <w:r w:rsidRPr="001F382E">
          <w:rPr>
            <w:rFonts w:asciiTheme="minorHAnsi" w:eastAsiaTheme="minorEastAsia" w:hAnsiTheme="minorHAnsi" w:cstheme="minorBidi"/>
            <w:lang w:val="en-US"/>
          </w:rPr>
          <w:tab/>
        </w:r>
        <w:r w:rsidRPr="001F382E">
          <w:rPr>
            <w:rStyle w:val="Hyperlink"/>
            <w:sz w:val="20"/>
            <w:szCs w:val="20"/>
          </w:rPr>
          <w:t>ECONOMÍA Y ESTADÍSTICA</w:t>
        </w:r>
        <w:r w:rsidRPr="001F382E">
          <w:rPr>
            <w:webHidden/>
          </w:rPr>
          <w:tab/>
        </w:r>
        <w:r w:rsidRPr="001F382E">
          <w:rPr>
            <w:webHidden/>
          </w:rPr>
          <w:fldChar w:fldCharType="begin"/>
        </w:r>
        <w:r w:rsidRPr="001F382E">
          <w:rPr>
            <w:webHidden/>
          </w:rPr>
          <w:instrText xml:space="preserve"> PAGEREF _Toc431573962 \h </w:instrText>
        </w:r>
        <w:r w:rsidRPr="001F382E">
          <w:rPr>
            <w:webHidden/>
          </w:rPr>
        </w:r>
        <w:r w:rsidRPr="001F382E">
          <w:rPr>
            <w:webHidden/>
          </w:rPr>
          <w:fldChar w:fldCharType="separate"/>
        </w:r>
        <w:r w:rsidR="001F0B8C">
          <w:rPr>
            <w:webHidden/>
          </w:rPr>
          <w:t>132</w:t>
        </w:r>
        <w:r w:rsidRPr="001F382E">
          <w:rPr>
            <w:webHidden/>
          </w:rPr>
          <w:fldChar w:fldCharType="end"/>
        </w:r>
      </w:hyperlink>
    </w:p>
    <w:p w:rsidR="00236E18" w:rsidRPr="00927AC7" w:rsidRDefault="00236E18" w:rsidP="00236E18">
      <w:pPr>
        <w:pStyle w:val="TOC3"/>
        <w:tabs>
          <w:tab w:val="left" w:pos="3402"/>
        </w:tabs>
        <w:ind w:left="3402" w:hanging="2835"/>
        <w:rPr>
          <w:rFonts w:asciiTheme="minorHAnsi" w:eastAsiaTheme="minorEastAsia" w:hAnsiTheme="minorHAnsi" w:cstheme="minorBidi"/>
          <w:b/>
          <w:lang w:val="en-US"/>
        </w:rPr>
      </w:pPr>
      <w:hyperlink w:anchor="_Toc431573963" w:history="1">
        <w:r w:rsidRPr="00927AC7">
          <w:rPr>
            <w:rStyle w:val="Hyperlink"/>
            <w:b/>
            <w:sz w:val="20"/>
            <w:szCs w:val="20"/>
          </w:rPr>
          <w:t>META ESTRATÉGICA VI</w:t>
        </w:r>
        <w:r w:rsidRPr="00927AC7">
          <w:rPr>
            <w:rFonts w:asciiTheme="minorHAnsi" w:eastAsiaTheme="minorEastAsia" w:hAnsiTheme="minorHAnsi" w:cstheme="minorBidi"/>
            <w:b/>
            <w:lang w:val="en-US"/>
          </w:rPr>
          <w:tab/>
        </w:r>
        <w:r w:rsidRPr="00927AC7">
          <w:rPr>
            <w:rStyle w:val="Hyperlink"/>
            <w:b/>
            <w:sz w:val="20"/>
            <w:szCs w:val="20"/>
          </w:rPr>
          <w:t>COOPERACIÓN INTERNACIONAL PARA FOMENTAR EL RESPETO POR LA P.I.</w:t>
        </w:r>
        <w:r w:rsidRPr="00927AC7">
          <w:rPr>
            <w:b/>
            <w:webHidden/>
          </w:rPr>
          <w:tab/>
        </w:r>
        <w:r w:rsidRPr="00927AC7">
          <w:rPr>
            <w:b/>
            <w:webHidden/>
          </w:rPr>
          <w:fldChar w:fldCharType="begin"/>
        </w:r>
        <w:r w:rsidRPr="00927AC7">
          <w:rPr>
            <w:b/>
            <w:webHidden/>
          </w:rPr>
          <w:instrText xml:space="preserve"> PAGEREF _Toc431573963 \h </w:instrText>
        </w:r>
        <w:r w:rsidRPr="00927AC7">
          <w:rPr>
            <w:b/>
            <w:webHidden/>
          </w:rPr>
        </w:r>
        <w:r w:rsidRPr="00927AC7">
          <w:rPr>
            <w:b/>
            <w:webHidden/>
          </w:rPr>
          <w:fldChar w:fldCharType="separate"/>
        </w:r>
        <w:r w:rsidR="001F0B8C">
          <w:rPr>
            <w:b/>
            <w:webHidden/>
          </w:rPr>
          <w:t>136</w:t>
        </w:r>
        <w:r w:rsidRPr="00927AC7">
          <w:rPr>
            <w:b/>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64" w:history="1">
        <w:r w:rsidRPr="001F382E">
          <w:rPr>
            <w:rStyle w:val="Hyperlink"/>
            <w:sz w:val="20"/>
            <w:szCs w:val="20"/>
            <w:lang w:val="es-ES"/>
          </w:rPr>
          <w:t>PROGRAMA 17</w:t>
        </w:r>
        <w:r w:rsidRPr="001F382E">
          <w:rPr>
            <w:rFonts w:asciiTheme="minorHAnsi" w:eastAsiaTheme="minorEastAsia" w:hAnsiTheme="minorHAnsi" w:cstheme="minorBidi"/>
            <w:lang w:val="en-US"/>
          </w:rPr>
          <w:tab/>
        </w:r>
        <w:r w:rsidRPr="001F382E">
          <w:rPr>
            <w:rStyle w:val="Hyperlink"/>
            <w:sz w:val="20"/>
            <w:szCs w:val="20"/>
            <w:lang w:val="es-ES"/>
          </w:rPr>
          <w:t>FOMENTAR EL RESPETO POR LA P.I.</w:t>
        </w:r>
        <w:r w:rsidRPr="001F382E">
          <w:rPr>
            <w:webHidden/>
          </w:rPr>
          <w:tab/>
        </w:r>
        <w:r w:rsidRPr="001F382E">
          <w:rPr>
            <w:webHidden/>
          </w:rPr>
          <w:fldChar w:fldCharType="begin"/>
        </w:r>
        <w:r w:rsidRPr="001F382E">
          <w:rPr>
            <w:webHidden/>
          </w:rPr>
          <w:instrText xml:space="preserve"> PAGEREF _Toc431573964 \h </w:instrText>
        </w:r>
        <w:r w:rsidRPr="001F382E">
          <w:rPr>
            <w:webHidden/>
          </w:rPr>
        </w:r>
        <w:r w:rsidRPr="001F382E">
          <w:rPr>
            <w:webHidden/>
          </w:rPr>
          <w:fldChar w:fldCharType="separate"/>
        </w:r>
        <w:r w:rsidR="001F0B8C">
          <w:rPr>
            <w:webHidden/>
          </w:rPr>
          <w:t>137</w:t>
        </w:r>
        <w:r w:rsidRPr="001F382E">
          <w:rPr>
            <w:webHidden/>
          </w:rPr>
          <w:fldChar w:fldCharType="end"/>
        </w:r>
      </w:hyperlink>
    </w:p>
    <w:p w:rsidR="00236E18" w:rsidRPr="00927AC7" w:rsidRDefault="00236E18" w:rsidP="00236E18">
      <w:pPr>
        <w:pStyle w:val="TOC3"/>
        <w:tabs>
          <w:tab w:val="left" w:pos="3402"/>
        </w:tabs>
        <w:ind w:left="3402" w:hanging="2835"/>
        <w:rPr>
          <w:rFonts w:asciiTheme="minorHAnsi" w:eastAsiaTheme="minorEastAsia" w:hAnsiTheme="minorHAnsi" w:cstheme="minorBidi"/>
          <w:b/>
          <w:lang w:val="en-US"/>
        </w:rPr>
      </w:pPr>
      <w:hyperlink w:anchor="_Toc431573965" w:history="1">
        <w:r w:rsidRPr="00927AC7">
          <w:rPr>
            <w:rStyle w:val="Hyperlink"/>
            <w:b/>
            <w:sz w:val="20"/>
            <w:szCs w:val="20"/>
          </w:rPr>
          <w:t>META ESTRATÉGICA VII</w:t>
        </w:r>
        <w:r w:rsidRPr="00927AC7">
          <w:rPr>
            <w:rFonts w:asciiTheme="minorHAnsi" w:eastAsiaTheme="minorEastAsia" w:hAnsiTheme="minorHAnsi" w:cstheme="minorBidi"/>
            <w:b/>
            <w:lang w:val="en-US"/>
          </w:rPr>
          <w:tab/>
        </w:r>
        <w:r w:rsidRPr="00927AC7">
          <w:rPr>
            <w:rStyle w:val="Hyperlink"/>
            <w:b/>
            <w:sz w:val="20"/>
            <w:szCs w:val="20"/>
          </w:rPr>
          <w:t>VÍNCULOS ENTRE LA P.I. Y LOS PROBLEMAS MUNDIALES DE</w:t>
        </w:r>
        <w:r>
          <w:rPr>
            <w:rStyle w:val="Hyperlink"/>
            <w:b/>
            <w:sz w:val="20"/>
            <w:szCs w:val="20"/>
          </w:rPr>
          <w:t xml:space="preserve"> </w:t>
        </w:r>
        <w:r w:rsidRPr="00927AC7">
          <w:rPr>
            <w:rStyle w:val="Hyperlink"/>
            <w:b/>
            <w:sz w:val="20"/>
            <w:szCs w:val="20"/>
          </w:rPr>
          <w:t>POLÍTICA PÚBLICA</w:t>
        </w:r>
        <w:r w:rsidRPr="00927AC7">
          <w:rPr>
            <w:b/>
            <w:webHidden/>
          </w:rPr>
          <w:tab/>
        </w:r>
        <w:r w:rsidRPr="00927AC7">
          <w:rPr>
            <w:b/>
            <w:webHidden/>
          </w:rPr>
          <w:fldChar w:fldCharType="begin"/>
        </w:r>
        <w:r w:rsidRPr="00927AC7">
          <w:rPr>
            <w:b/>
            <w:webHidden/>
          </w:rPr>
          <w:instrText xml:space="preserve"> PAGEREF _Toc431573965 \h </w:instrText>
        </w:r>
        <w:r w:rsidRPr="00927AC7">
          <w:rPr>
            <w:b/>
            <w:webHidden/>
          </w:rPr>
        </w:r>
        <w:r w:rsidRPr="00927AC7">
          <w:rPr>
            <w:b/>
            <w:webHidden/>
          </w:rPr>
          <w:fldChar w:fldCharType="separate"/>
        </w:r>
        <w:r w:rsidR="001F0B8C">
          <w:rPr>
            <w:b/>
            <w:webHidden/>
          </w:rPr>
          <w:t>142</w:t>
        </w:r>
        <w:r w:rsidRPr="00927AC7">
          <w:rPr>
            <w:b/>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66" w:history="1">
        <w:r w:rsidRPr="001F382E">
          <w:rPr>
            <w:rStyle w:val="Hyperlink"/>
            <w:sz w:val="20"/>
            <w:szCs w:val="20"/>
          </w:rPr>
          <w:t>PROGRAMA 18</w:t>
        </w:r>
        <w:r w:rsidRPr="001F382E">
          <w:rPr>
            <w:rFonts w:asciiTheme="minorHAnsi" w:eastAsiaTheme="minorEastAsia" w:hAnsiTheme="minorHAnsi" w:cstheme="minorBidi"/>
            <w:lang w:val="en-US"/>
          </w:rPr>
          <w:tab/>
        </w:r>
        <w:r w:rsidRPr="001F382E">
          <w:rPr>
            <w:rStyle w:val="Hyperlink"/>
            <w:sz w:val="20"/>
            <w:szCs w:val="20"/>
          </w:rPr>
          <w:t>LA P.I. Y LOS DESAFÍOS MUNDIALES</w:t>
        </w:r>
        <w:r w:rsidRPr="001F382E">
          <w:rPr>
            <w:webHidden/>
          </w:rPr>
          <w:tab/>
        </w:r>
        <w:r w:rsidRPr="001F382E">
          <w:rPr>
            <w:webHidden/>
          </w:rPr>
          <w:fldChar w:fldCharType="begin"/>
        </w:r>
        <w:r w:rsidRPr="001F382E">
          <w:rPr>
            <w:webHidden/>
          </w:rPr>
          <w:instrText xml:space="preserve"> PAGEREF _Toc431573966 \h </w:instrText>
        </w:r>
        <w:r w:rsidRPr="001F382E">
          <w:rPr>
            <w:webHidden/>
          </w:rPr>
        </w:r>
        <w:r w:rsidRPr="001F382E">
          <w:rPr>
            <w:webHidden/>
          </w:rPr>
          <w:fldChar w:fldCharType="separate"/>
        </w:r>
        <w:r w:rsidR="001F0B8C">
          <w:rPr>
            <w:webHidden/>
          </w:rPr>
          <w:t>143</w:t>
        </w:r>
        <w:r w:rsidRPr="001F382E">
          <w:rPr>
            <w:webHidden/>
          </w:rPr>
          <w:fldChar w:fldCharType="end"/>
        </w:r>
      </w:hyperlink>
    </w:p>
    <w:p w:rsidR="00236E18" w:rsidRPr="00927AC7" w:rsidRDefault="00236E18" w:rsidP="00236E18">
      <w:pPr>
        <w:pStyle w:val="TOC3"/>
        <w:tabs>
          <w:tab w:val="left" w:pos="3402"/>
        </w:tabs>
        <w:ind w:left="3402" w:hanging="2835"/>
        <w:rPr>
          <w:rFonts w:asciiTheme="minorHAnsi" w:eastAsiaTheme="minorEastAsia" w:hAnsiTheme="minorHAnsi" w:cstheme="minorBidi"/>
          <w:b/>
          <w:lang w:val="en-US"/>
        </w:rPr>
      </w:pPr>
      <w:hyperlink w:anchor="_Toc431573967" w:history="1">
        <w:r w:rsidRPr="00927AC7">
          <w:rPr>
            <w:rStyle w:val="Hyperlink"/>
            <w:b/>
            <w:sz w:val="20"/>
            <w:szCs w:val="20"/>
          </w:rPr>
          <w:t>META ESTRATÉGICA VIII</w:t>
        </w:r>
        <w:r w:rsidRPr="00927AC7">
          <w:rPr>
            <w:rFonts w:asciiTheme="minorHAnsi" w:eastAsiaTheme="minorEastAsia" w:hAnsiTheme="minorHAnsi" w:cstheme="minorBidi"/>
            <w:b/>
            <w:lang w:val="en-US"/>
          </w:rPr>
          <w:tab/>
        </w:r>
        <w:r w:rsidRPr="00927AC7">
          <w:rPr>
            <w:rStyle w:val="Hyperlink"/>
            <w:b/>
            <w:sz w:val="20"/>
            <w:szCs w:val="20"/>
          </w:rPr>
          <w:t>COMUNICACIÓN EFICAZ ENTRE LA OMPI, SUS ESTADOS MIEMBROS Y TODAS LAS PARTES INTERESADAS</w:t>
        </w:r>
        <w:r w:rsidRPr="00927AC7">
          <w:rPr>
            <w:b/>
            <w:webHidden/>
          </w:rPr>
          <w:tab/>
        </w:r>
        <w:r w:rsidRPr="00927AC7">
          <w:rPr>
            <w:b/>
            <w:webHidden/>
          </w:rPr>
          <w:fldChar w:fldCharType="begin"/>
        </w:r>
        <w:r w:rsidRPr="00927AC7">
          <w:rPr>
            <w:b/>
            <w:webHidden/>
          </w:rPr>
          <w:instrText xml:space="preserve"> PAGEREF _Toc431573967 \h </w:instrText>
        </w:r>
        <w:r w:rsidRPr="00927AC7">
          <w:rPr>
            <w:b/>
            <w:webHidden/>
          </w:rPr>
        </w:r>
        <w:r w:rsidRPr="00927AC7">
          <w:rPr>
            <w:b/>
            <w:webHidden/>
          </w:rPr>
          <w:fldChar w:fldCharType="separate"/>
        </w:r>
        <w:r w:rsidR="001F0B8C">
          <w:rPr>
            <w:b/>
            <w:webHidden/>
          </w:rPr>
          <w:t>150</w:t>
        </w:r>
        <w:r w:rsidRPr="00927AC7">
          <w:rPr>
            <w:b/>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68" w:history="1">
        <w:r w:rsidRPr="001F382E">
          <w:rPr>
            <w:rStyle w:val="Hyperlink"/>
            <w:sz w:val="20"/>
            <w:szCs w:val="20"/>
            <w:lang w:val="es-ES"/>
          </w:rPr>
          <w:t>PROGRAMA 19</w:t>
        </w:r>
        <w:r w:rsidRPr="001F382E">
          <w:rPr>
            <w:rFonts w:asciiTheme="minorHAnsi" w:eastAsiaTheme="minorEastAsia" w:hAnsiTheme="minorHAnsi" w:cstheme="minorBidi"/>
            <w:lang w:val="en-US"/>
          </w:rPr>
          <w:tab/>
        </w:r>
        <w:r w:rsidRPr="001F382E">
          <w:rPr>
            <w:rStyle w:val="Hyperlink"/>
            <w:sz w:val="20"/>
            <w:szCs w:val="20"/>
            <w:lang w:val="es-ES"/>
          </w:rPr>
          <w:t>COMUNICACIONES</w:t>
        </w:r>
        <w:r w:rsidRPr="001F382E">
          <w:rPr>
            <w:webHidden/>
          </w:rPr>
          <w:tab/>
        </w:r>
        <w:r w:rsidRPr="001F382E">
          <w:rPr>
            <w:webHidden/>
          </w:rPr>
          <w:fldChar w:fldCharType="begin"/>
        </w:r>
        <w:r w:rsidRPr="001F382E">
          <w:rPr>
            <w:webHidden/>
          </w:rPr>
          <w:instrText xml:space="preserve"> PAGEREF _Toc431573968 \h </w:instrText>
        </w:r>
        <w:r w:rsidRPr="001F382E">
          <w:rPr>
            <w:webHidden/>
          </w:rPr>
        </w:r>
        <w:r w:rsidRPr="001F382E">
          <w:rPr>
            <w:webHidden/>
          </w:rPr>
          <w:fldChar w:fldCharType="separate"/>
        </w:r>
        <w:r w:rsidR="001F0B8C">
          <w:rPr>
            <w:webHidden/>
          </w:rPr>
          <w:t>152</w:t>
        </w:r>
        <w:r w:rsidRPr="001F382E">
          <w:rPr>
            <w:webHidden/>
          </w:rPr>
          <w:fldChar w:fldCharType="end"/>
        </w:r>
      </w:hyperlink>
    </w:p>
    <w:p w:rsidR="00236E18" w:rsidRPr="001F382E" w:rsidRDefault="00236E18" w:rsidP="00236E18">
      <w:pPr>
        <w:pStyle w:val="TOC3"/>
        <w:ind w:left="2688" w:hanging="2121"/>
        <w:rPr>
          <w:rFonts w:asciiTheme="minorHAnsi" w:eastAsiaTheme="minorEastAsia" w:hAnsiTheme="minorHAnsi" w:cstheme="minorBidi"/>
          <w:lang w:val="en-US"/>
        </w:rPr>
      </w:pPr>
      <w:hyperlink w:anchor="_Toc431573969" w:history="1">
        <w:r w:rsidRPr="001F382E">
          <w:rPr>
            <w:rStyle w:val="Hyperlink"/>
            <w:sz w:val="20"/>
            <w:szCs w:val="20"/>
            <w:lang w:val="es-ES"/>
          </w:rPr>
          <w:t>PROGRAMA 20</w:t>
        </w:r>
        <w:r w:rsidRPr="001F382E">
          <w:rPr>
            <w:rFonts w:asciiTheme="minorHAnsi" w:eastAsiaTheme="minorEastAsia" w:hAnsiTheme="minorHAnsi" w:cstheme="minorBidi"/>
            <w:lang w:val="en-US"/>
          </w:rPr>
          <w:tab/>
        </w:r>
        <w:r w:rsidRPr="001F382E">
          <w:rPr>
            <w:rStyle w:val="Hyperlink"/>
            <w:sz w:val="20"/>
            <w:szCs w:val="20"/>
            <w:lang w:val="es-ES"/>
          </w:rPr>
          <w:t>RELACIONES EXTERIORES, ALIANZAS Y OFICINAS EN EL EXTERIOR</w:t>
        </w:r>
        <w:r w:rsidRPr="001F382E">
          <w:rPr>
            <w:webHidden/>
          </w:rPr>
          <w:tab/>
        </w:r>
        <w:r w:rsidRPr="001F382E">
          <w:rPr>
            <w:webHidden/>
          </w:rPr>
          <w:fldChar w:fldCharType="begin"/>
        </w:r>
        <w:r w:rsidRPr="001F382E">
          <w:rPr>
            <w:webHidden/>
          </w:rPr>
          <w:instrText xml:space="preserve"> PAGEREF _Toc431573969 \h </w:instrText>
        </w:r>
        <w:r w:rsidRPr="001F382E">
          <w:rPr>
            <w:webHidden/>
          </w:rPr>
        </w:r>
        <w:r w:rsidRPr="001F382E">
          <w:rPr>
            <w:webHidden/>
          </w:rPr>
          <w:fldChar w:fldCharType="separate"/>
        </w:r>
        <w:r w:rsidR="001F0B8C">
          <w:rPr>
            <w:webHidden/>
          </w:rPr>
          <w:t>158</w:t>
        </w:r>
        <w:r w:rsidRPr="001F382E">
          <w:rPr>
            <w:webHidden/>
          </w:rPr>
          <w:fldChar w:fldCharType="end"/>
        </w:r>
      </w:hyperlink>
    </w:p>
    <w:p w:rsidR="00236E18" w:rsidRPr="00927AC7" w:rsidRDefault="00236E18" w:rsidP="00236E18">
      <w:pPr>
        <w:pStyle w:val="TOC3"/>
        <w:tabs>
          <w:tab w:val="left" w:pos="3402"/>
        </w:tabs>
        <w:ind w:left="2688" w:hanging="2121"/>
        <w:rPr>
          <w:rFonts w:asciiTheme="minorHAnsi" w:eastAsiaTheme="minorEastAsia" w:hAnsiTheme="minorHAnsi" w:cstheme="minorBidi"/>
          <w:b/>
          <w:lang w:val="en-US"/>
        </w:rPr>
      </w:pPr>
      <w:hyperlink w:anchor="_Toc431573970" w:history="1">
        <w:r w:rsidRPr="00927AC7">
          <w:rPr>
            <w:rStyle w:val="Hyperlink"/>
            <w:b/>
            <w:sz w:val="20"/>
            <w:szCs w:val="20"/>
          </w:rPr>
          <w:t>META ESTRATÉGICA IX</w:t>
        </w:r>
        <w:r w:rsidRPr="00927AC7">
          <w:rPr>
            <w:rFonts w:asciiTheme="minorHAnsi" w:eastAsiaTheme="minorEastAsia" w:hAnsiTheme="minorHAnsi" w:cstheme="minorBidi"/>
            <w:b/>
            <w:lang w:val="en-US"/>
          </w:rPr>
          <w:tab/>
        </w:r>
        <w:r w:rsidRPr="00927AC7">
          <w:rPr>
            <w:rStyle w:val="Hyperlink"/>
            <w:b/>
            <w:sz w:val="20"/>
            <w:szCs w:val="20"/>
          </w:rPr>
          <w:t>APOYO ADMINISTRATIVO Y FINANCIERO EFICIENTE</w:t>
        </w:r>
        <w:r w:rsidRPr="00927AC7">
          <w:rPr>
            <w:b/>
            <w:webHidden/>
          </w:rPr>
          <w:tab/>
        </w:r>
        <w:r w:rsidRPr="00927AC7">
          <w:rPr>
            <w:b/>
            <w:webHidden/>
          </w:rPr>
          <w:fldChar w:fldCharType="begin"/>
        </w:r>
        <w:r w:rsidRPr="00927AC7">
          <w:rPr>
            <w:b/>
            <w:webHidden/>
          </w:rPr>
          <w:instrText xml:space="preserve"> PAGEREF _Toc431573970 \h </w:instrText>
        </w:r>
        <w:r w:rsidRPr="00927AC7">
          <w:rPr>
            <w:b/>
            <w:webHidden/>
          </w:rPr>
        </w:r>
        <w:r w:rsidRPr="00927AC7">
          <w:rPr>
            <w:b/>
            <w:webHidden/>
          </w:rPr>
          <w:fldChar w:fldCharType="separate"/>
        </w:r>
        <w:r w:rsidR="001F0B8C">
          <w:rPr>
            <w:b/>
            <w:webHidden/>
          </w:rPr>
          <w:t>168</w:t>
        </w:r>
        <w:r w:rsidRPr="00927AC7">
          <w:rPr>
            <w:b/>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71" w:history="1">
        <w:r w:rsidRPr="001F382E">
          <w:rPr>
            <w:rStyle w:val="Hyperlink"/>
            <w:sz w:val="20"/>
            <w:szCs w:val="20"/>
            <w:lang w:val="es-ES"/>
          </w:rPr>
          <w:t>PROGRAMA 21</w:t>
        </w:r>
        <w:r w:rsidRPr="001F382E">
          <w:rPr>
            <w:rFonts w:asciiTheme="minorHAnsi" w:eastAsiaTheme="minorEastAsia" w:hAnsiTheme="minorHAnsi" w:cstheme="minorBidi"/>
            <w:lang w:val="en-US"/>
          </w:rPr>
          <w:tab/>
        </w:r>
        <w:r w:rsidRPr="001F382E">
          <w:rPr>
            <w:rStyle w:val="Hyperlink"/>
            <w:sz w:val="20"/>
            <w:szCs w:val="20"/>
            <w:lang w:val="es-ES"/>
          </w:rPr>
          <w:t>GESTIÓN EJECUTIVA</w:t>
        </w:r>
        <w:r w:rsidRPr="001F382E">
          <w:rPr>
            <w:webHidden/>
          </w:rPr>
          <w:tab/>
        </w:r>
        <w:r w:rsidRPr="001F382E">
          <w:rPr>
            <w:webHidden/>
          </w:rPr>
          <w:fldChar w:fldCharType="begin"/>
        </w:r>
        <w:r w:rsidRPr="001F382E">
          <w:rPr>
            <w:webHidden/>
          </w:rPr>
          <w:instrText xml:space="preserve"> PAGEREF _Toc431573971 \h </w:instrText>
        </w:r>
        <w:r w:rsidRPr="001F382E">
          <w:rPr>
            <w:webHidden/>
          </w:rPr>
        </w:r>
        <w:r w:rsidRPr="001F382E">
          <w:rPr>
            <w:webHidden/>
          </w:rPr>
          <w:fldChar w:fldCharType="separate"/>
        </w:r>
        <w:r w:rsidR="001F0B8C">
          <w:rPr>
            <w:webHidden/>
          </w:rPr>
          <w:t>173</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72" w:history="1">
        <w:r w:rsidRPr="001F382E">
          <w:rPr>
            <w:rStyle w:val="Hyperlink"/>
            <w:sz w:val="20"/>
            <w:szCs w:val="20"/>
            <w:lang w:val="es-ES"/>
          </w:rPr>
          <w:t>PROGRAMA 22</w:t>
        </w:r>
        <w:r w:rsidRPr="001F382E">
          <w:rPr>
            <w:rFonts w:asciiTheme="minorHAnsi" w:eastAsiaTheme="minorEastAsia" w:hAnsiTheme="minorHAnsi" w:cstheme="minorBidi"/>
            <w:lang w:val="en-US"/>
          </w:rPr>
          <w:tab/>
        </w:r>
        <w:r w:rsidRPr="001F382E">
          <w:rPr>
            <w:rStyle w:val="Hyperlink"/>
            <w:sz w:val="20"/>
            <w:szCs w:val="20"/>
            <w:lang w:val="es-ES"/>
          </w:rPr>
          <w:t>GESTIÓN DE PROGRAMAS Y RECURSOS</w:t>
        </w:r>
        <w:r w:rsidRPr="001F382E">
          <w:rPr>
            <w:webHidden/>
          </w:rPr>
          <w:tab/>
        </w:r>
        <w:r w:rsidRPr="001F382E">
          <w:rPr>
            <w:webHidden/>
          </w:rPr>
          <w:fldChar w:fldCharType="begin"/>
        </w:r>
        <w:r w:rsidRPr="001F382E">
          <w:rPr>
            <w:webHidden/>
          </w:rPr>
          <w:instrText xml:space="preserve"> PAGEREF _Toc431573972 \h </w:instrText>
        </w:r>
        <w:r w:rsidRPr="001F382E">
          <w:rPr>
            <w:webHidden/>
          </w:rPr>
        </w:r>
        <w:r w:rsidRPr="001F382E">
          <w:rPr>
            <w:webHidden/>
          </w:rPr>
          <w:fldChar w:fldCharType="separate"/>
        </w:r>
        <w:r w:rsidR="001F0B8C">
          <w:rPr>
            <w:webHidden/>
          </w:rPr>
          <w:t>178</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73" w:history="1">
        <w:r w:rsidRPr="001F382E">
          <w:rPr>
            <w:rStyle w:val="Hyperlink"/>
            <w:sz w:val="20"/>
            <w:szCs w:val="20"/>
            <w:lang w:val="es-ES"/>
          </w:rPr>
          <w:t>PROGRAMA 23</w:t>
        </w:r>
        <w:r w:rsidRPr="001F382E">
          <w:rPr>
            <w:rFonts w:asciiTheme="minorHAnsi" w:eastAsiaTheme="minorEastAsia" w:hAnsiTheme="minorHAnsi" w:cstheme="minorBidi"/>
            <w:lang w:val="en-US"/>
          </w:rPr>
          <w:tab/>
        </w:r>
        <w:r w:rsidRPr="001F382E">
          <w:rPr>
            <w:rStyle w:val="Hyperlink"/>
            <w:sz w:val="20"/>
            <w:szCs w:val="20"/>
            <w:lang w:val="es-ES"/>
          </w:rPr>
          <w:t>GESTIÓN Y DESARROLLO DE LOS RECURSOS HUMANOS</w:t>
        </w:r>
        <w:r w:rsidRPr="001F382E">
          <w:rPr>
            <w:webHidden/>
          </w:rPr>
          <w:tab/>
        </w:r>
        <w:r w:rsidRPr="001F382E">
          <w:rPr>
            <w:webHidden/>
          </w:rPr>
          <w:fldChar w:fldCharType="begin"/>
        </w:r>
        <w:r w:rsidRPr="001F382E">
          <w:rPr>
            <w:webHidden/>
          </w:rPr>
          <w:instrText xml:space="preserve"> PAGEREF _Toc431573973 \h </w:instrText>
        </w:r>
        <w:r w:rsidRPr="001F382E">
          <w:rPr>
            <w:webHidden/>
          </w:rPr>
        </w:r>
        <w:r w:rsidRPr="001F382E">
          <w:rPr>
            <w:webHidden/>
          </w:rPr>
          <w:fldChar w:fldCharType="separate"/>
        </w:r>
        <w:r w:rsidR="001F0B8C">
          <w:rPr>
            <w:webHidden/>
          </w:rPr>
          <w:t>183</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74" w:history="1">
        <w:r w:rsidRPr="001F382E">
          <w:rPr>
            <w:rStyle w:val="Hyperlink"/>
            <w:sz w:val="20"/>
            <w:szCs w:val="20"/>
            <w:lang w:val="es-ES"/>
          </w:rPr>
          <w:t>PROGRAMA 24</w:t>
        </w:r>
        <w:r w:rsidRPr="001F382E">
          <w:rPr>
            <w:rFonts w:asciiTheme="minorHAnsi" w:eastAsiaTheme="minorEastAsia" w:hAnsiTheme="minorHAnsi" w:cstheme="minorBidi"/>
            <w:lang w:val="en-US"/>
          </w:rPr>
          <w:tab/>
        </w:r>
        <w:r w:rsidRPr="001F382E">
          <w:rPr>
            <w:rStyle w:val="Hyperlink"/>
            <w:sz w:val="20"/>
            <w:szCs w:val="20"/>
            <w:lang w:val="es-ES"/>
          </w:rPr>
          <w:t>SERVICIOS GENERALES DE APOYO</w:t>
        </w:r>
        <w:r w:rsidRPr="001F382E">
          <w:rPr>
            <w:webHidden/>
          </w:rPr>
          <w:tab/>
        </w:r>
        <w:r w:rsidRPr="001F382E">
          <w:rPr>
            <w:webHidden/>
          </w:rPr>
          <w:fldChar w:fldCharType="begin"/>
        </w:r>
        <w:r w:rsidRPr="001F382E">
          <w:rPr>
            <w:webHidden/>
          </w:rPr>
          <w:instrText xml:space="preserve"> PAGEREF _Toc431573974 \h </w:instrText>
        </w:r>
        <w:r w:rsidRPr="001F382E">
          <w:rPr>
            <w:webHidden/>
          </w:rPr>
        </w:r>
        <w:r w:rsidRPr="001F382E">
          <w:rPr>
            <w:webHidden/>
          </w:rPr>
          <w:fldChar w:fldCharType="separate"/>
        </w:r>
        <w:r w:rsidR="001F0B8C">
          <w:rPr>
            <w:webHidden/>
          </w:rPr>
          <w:t>187</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75" w:history="1">
        <w:r w:rsidRPr="001F382E">
          <w:rPr>
            <w:rStyle w:val="Hyperlink"/>
            <w:sz w:val="20"/>
            <w:szCs w:val="20"/>
            <w:lang w:val="es-ES"/>
          </w:rPr>
          <w:t>PROGRAMA 25</w:t>
        </w:r>
        <w:r w:rsidRPr="001F382E">
          <w:rPr>
            <w:rFonts w:asciiTheme="minorHAnsi" w:eastAsiaTheme="minorEastAsia" w:hAnsiTheme="minorHAnsi" w:cstheme="minorBidi"/>
            <w:lang w:val="en-US"/>
          </w:rPr>
          <w:tab/>
        </w:r>
        <w:r w:rsidRPr="001F382E">
          <w:rPr>
            <w:rStyle w:val="Hyperlink"/>
            <w:sz w:val="20"/>
            <w:szCs w:val="20"/>
            <w:lang w:val="es-ES"/>
          </w:rPr>
          <w:t>TECNOLOGÍAS DE LA INFORMACIÓN Y LAS COMUNICACIONES</w:t>
        </w:r>
        <w:r w:rsidRPr="001F382E">
          <w:rPr>
            <w:webHidden/>
          </w:rPr>
          <w:tab/>
        </w:r>
        <w:r w:rsidRPr="001F382E">
          <w:rPr>
            <w:webHidden/>
          </w:rPr>
          <w:fldChar w:fldCharType="begin"/>
        </w:r>
        <w:r w:rsidRPr="001F382E">
          <w:rPr>
            <w:webHidden/>
          </w:rPr>
          <w:instrText xml:space="preserve"> PAGEREF _Toc431573975 \h </w:instrText>
        </w:r>
        <w:r w:rsidRPr="001F382E">
          <w:rPr>
            <w:webHidden/>
          </w:rPr>
        </w:r>
        <w:r w:rsidRPr="001F382E">
          <w:rPr>
            <w:webHidden/>
          </w:rPr>
          <w:fldChar w:fldCharType="separate"/>
        </w:r>
        <w:r w:rsidR="001F0B8C">
          <w:rPr>
            <w:webHidden/>
          </w:rPr>
          <w:t>192</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76" w:history="1">
        <w:r w:rsidRPr="001F382E">
          <w:rPr>
            <w:rStyle w:val="Hyperlink"/>
            <w:sz w:val="20"/>
            <w:szCs w:val="20"/>
            <w:lang w:val="es-ES"/>
          </w:rPr>
          <w:t>PROGRAMA 26</w:t>
        </w:r>
        <w:r w:rsidRPr="001F382E">
          <w:rPr>
            <w:rFonts w:asciiTheme="minorHAnsi" w:eastAsiaTheme="minorEastAsia" w:hAnsiTheme="minorHAnsi" w:cstheme="minorBidi"/>
            <w:lang w:val="en-US"/>
          </w:rPr>
          <w:tab/>
        </w:r>
        <w:r w:rsidRPr="001F382E">
          <w:rPr>
            <w:rStyle w:val="Hyperlink"/>
            <w:sz w:val="20"/>
            <w:szCs w:val="20"/>
            <w:lang w:val="es-ES"/>
          </w:rPr>
          <w:t>SUPERVISIÓN INTERNA</w:t>
        </w:r>
        <w:r w:rsidRPr="001F382E">
          <w:rPr>
            <w:webHidden/>
          </w:rPr>
          <w:tab/>
        </w:r>
        <w:r w:rsidRPr="001F382E">
          <w:rPr>
            <w:webHidden/>
          </w:rPr>
          <w:fldChar w:fldCharType="begin"/>
        </w:r>
        <w:r w:rsidRPr="001F382E">
          <w:rPr>
            <w:webHidden/>
          </w:rPr>
          <w:instrText xml:space="preserve"> PAGEREF _Toc431573976 \h </w:instrText>
        </w:r>
        <w:r w:rsidRPr="001F382E">
          <w:rPr>
            <w:webHidden/>
          </w:rPr>
        </w:r>
        <w:r w:rsidRPr="001F382E">
          <w:rPr>
            <w:webHidden/>
          </w:rPr>
          <w:fldChar w:fldCharType="separate"/>
        </w:r>
        <w:r w:rsidR="001F0B8C">
          <w:rPr>
            <w:webHidden/>
          </w:rPr>
          <w:t>196</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77" w:history="1">
        <w:r w:rsidRPr="001F382E">
          <w:rPr>
            <w:rStyle w:val="Hyperlink"/>
            <w:sz w:val="20"/>
            <w:szCs w:val="20"/>
            <w:lang w:val="es-ES"/>
          </w:rPr>
          <w:t>PROGRAMA 27</w:t>
        </w:r>
        <w:r w:rsidRPr="001F382E">
          <w:rPr>
            <w:rFonts w:asciiTheme="minorHAnsi" w:eastAsiaTheme="minorEastAsia" w:hAnsiTheme="minorHAnsi" w:cstheme="minorBidi"/>
            <w:lang w:val="en-US"/>
          </w:rPr>
          <w:tab/>
        </w:r>
        <w:r w:rsidRPr="001F382E">
          <w:rPr>
            <w:rStyle w:val="Hyperlink"/>
            <w:sz w:val="20"/>
            <w:szCs w:val="20"/>
            <w:lang w:val="es-ES"/>
          </w:rPr>
          <w:t>SERVICIOS DE CONFERENCIAS Y LINGÜÍSTICOS</w:t>
        </w:r>
        <w:r w:rsidRPr="001F382E">
          <w:rPr>
            <w:webHidden/>
          </w:rPr>
          <w:tab/>
        </w:r>
        <w:r w:rsidRPr="001F382E">
          <w:rPr>
            <w:webHidden/>
          </w:rPr>
          <w:fldChar w:fldCharType="begin"/>
        </w:r>
        <w:r w:rsidRPr="001F382E">
          <w:rPr>
            <w:webHidden/>
          </w:rPr>
          <w:instrText xml:space="preserve"> PAGEREF _Toc431573977 \h </w:instrText>
        </w:r>
        <w:r w:rsidRPr="001F382E">
          <w:rPr>
            <w:webHidden/>
          </w:rPr>
        </w:r>
        <w:r w:rsidRPr="001F382E">
          <w:rPr>
            <w:webHidden/>
          </w:rPr>
          <w:fldChar w:fldCharType="separate"/>
        </w:r>
        <w:r w:rsidR="001F0B8C">
          <w:rPr>
            <w:webHidden/>
          </w:rPr>
          <w:t>200</w:t>
        </w:r>
        <w:r w:rsidRPr="001F382E">
          <w:rPr>
            <w:webHidden/>
          </w:rPr>
          <w:fldChar w:fldCharType="end"/>
        </w:r>
      </w:hyperlink>
    </w:p>
    <w:p w:rsidR="00236E18" w:rsidRPr="001F382E" w:rsidRDefault="00236E18" w:rsidP="00236E18">
      <w:pPr>
        <w:pStyle w:val="TOC3"/>
        <w:ind w:left="2688" w:hanging="2121"/>
        <w:rPr>
          <w:rFonts w:asciiTheme="minorHAnsi" w:eastAsiaTheme="minorEastAsia" w:hAnsiTheme="minorHAnsi" w:cstheme="minorBidi"/>
          <w:lang w:val="en-US"/>
        </w:rPr>
      </w:pPr>
      <w:hyperlink w:anchor="_Toc431573978" w:history="1">
        <w:r w:rsidRPr="001F382E">
          <w:rPr>
            <w:rStyle w:val="Hyperlink"/>
            <w:sz w:val="20"/>
            <w:szCs w:val="20"/>
            <w:lang w:val="es-ES"/>
          </w:rPr>
          <w:t>PROGRAMA 28</w:t>
        </w:r>
        <w:r w:rsidRPr="001F382E">
          <w:rPr>
            <w:rFonts w:asciiTheme="minorHAnsi" w:eastAsiaTheme="minorEastAsia" w:hAnsiTheme="minorHAnsi" w:cstheme="minorBidi"/>
            <w:lang w:val="en-US"/>
          </w:rPr>
          <w:tab/>
        </w:r>
        <w:r w:rsidRPr="001F382E">
          <w:rPr>
            <w:rStyle w:val="Hyperlink"/>
            <w:sz w:val="20"/>
            <w:szCs w:val="20"/>
            <w:lang w:val="es-ES"/>
          </w:rPr>
          <w:t>ASEGURAMIENTO DE LA INFORMACIÓN, SEGURIDAD Y VIGILANCIA</w:t>
        </w:r>
        <w:r w:rsidRPr="001F382E">
          <w:rPr>
            <w:webHidden/>
          </w:rPr>
          <w:tab/>
        </w:r>
        <w:r w:rsidRPr="001F382E">
          <w:rPr>
            <w:webHidden/>
          </w:rPr>
          <w:fldChar w:fldCharType="begin"/>
        </w:r>
        <w:r w:rsidRPr="001F382E">
          <w:rPr>
            <w:webHidden/>
          </w:rPr>
          <w:instrText xml:space="preserve"> PAGEREF _Toc431573978 \h </w:instrText>
        </w:r>
        <w:r w:rsidRPr="001F382E">
          <w:rPr>
            <w:webHidden/>
          </w:rPr>
        </w:r>
        <w:r w:rsidRPr="001F382E">
          <w:rPr>
            <w:webHidden/>
          </w:rPr>
          <w:fldChar w:fldCharType="separate"/>
        </w:r>
        <w:r w:rsidR="001F0B8C">
          <w:rPr>
            <w:webHidden/>
          </w:rPr>
          <w:t>203</w:t>
        </w:r>
        <w:r w:rsidRPr="001F382E">
          <w:rPr>
            <w:webHidden/>
          </w:rPr>
          <w:fldChar w:fldCharType="end"/>
        </w:r>
      </w:hyperlink>
    </w:p>
    <w:p w:rsidR="00236E18" w:rsidRPr="001F382E" w:rsidRDefault="00236E18" w:rsidP="00236E18">
      <w:pPr>
        <w:pStyle w:val="TOC1"/>
        <w:rPr>
          <w:rFonts w:asciiTheme="minorHAnsi" w:eastAsiaTheme="minorEastAsia" w:hAnsiTheme="minorHAnsi" w:cstheme="minorBidi"/>
          <w:b w:val="0"/>
          <w:sz w:val="20"/>
          <w:szCs w:val="20"/>
          <w:lang w:val="en-US" w:eastAsia="en-US"/>
        </w:rPr>
      </w:pPr>
      <w:hyperlink w:anchor="_Toc431573979" w:history="1">
        <w:r w:rsidRPr="001F382E">
          <w:rPr>
            <w:rStyle w:val="Hyperlink"/>
            <w:sz w:val="20"/>
            <w:szCs w:val="20"/>
          </w:rPr>
          <w:t>III.</w:t>
        </w:r>
        <w:r w:rsidRPr="001F382E">
          <w:rPr>
            <w:rFonts w:asciiTheme="minorHAnsi" w:eastAsiaTheme="minorEastAsia" w:hAnsiTheme="minorHAnsi" w:cstheme="minorBidi"/>
            <w:b w:val="0"/>
            <w:sz w:val="20"/>
            <w:szCs w:val="20"/>
            <w:lang w:val="en-US" w:eastAsia="en-US"/>
          </w:rPr>
          <w:tab/>
        </w:r>
        <w:r w:rsidRPr="001F382E">
          <w:rPr>
            <w:rStyle w:val="Hyperlink"/>
            <w:sz w:val="20"/>
            <w:szCs w:val="20"/>
          </w:rPr>
          <w:t>ANEXOS</w:t>
        </w:r>
        <w:r w:rsidRPr="001F382E">
          <w:rPr>
            <w:webHidden/>
            <w:sz w:val="20"/>
            <w:szCs w:val="20"/>
          </w:rPr>
          <w:tab/>
        </w:r>
        <w:r w:rsidRPr="001F382E">
          <w:rPr>
            <w:webHidden/>
            <w:sz w:val="20"/>
            <w:szCs w:val="20"/>
          </w:rPr>
          <w:fldChar w:fldCharType="begin"/>
        </w:r>
        <w:r w:rsidRPr="001F382E">
          <w:rPr>
            <w:webHidden/>
            <w:sz w:val="20"/>
            <w:szCs w:val="20"/>
          </w:rPr>
          <w:instrText xml:space="preserve"> PAGEREF _Toc431573979 \h </w:instrText>
        </w:r>
        <w:r w:rsidRPr="001F382E">
          <w:rPr>
            <w:webHidden/>
            <w:sz w:val="20"/>
            <w:szCs w:val="20"/>
          </w:rPr>
        </w:r>
        <w:r w:rsidRPr="001F382E">
          <w:rPr>
            <w:webHidden/>
            <w:sz w:val="20"/>
            <w:szCs w:val="20"/>
          </w:rPr>
          <w:fldChar w:fldCharType="separate"/>
        </w:r>
        <w:r w:rsidR="001F0B8C">
          <w:rPr>
            <w:webHidden/>
            <w:sz w:val="20"/>
            <w:szCs w:val="20"/>
          </w:rPr>
          <w:t>208</w:t>
        </w:r>
        <w:r w:rsidRPr="001F382E">
          <w:rPr>
            <w:webHidden/>
            <w:sz w:val="20"/>
            <w:szCs w:val="20"/>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80" w:history="1">
        <w:r w:rsidRPr="001F382E">
          <w:rPr>
            <w:rStyle w:val="Hyperlink"/>
            <w:sz w:val="20"/>
            <w:szCs w:val="20"/>
            <w:lang w:val="es-ES"/>
          </w:rPr>
          <w:t>ANEXO I</w:t>
        </w:r>
        <w:r w:rsidRPr="001F382E">
          <w:rPr>
            <w:rFonts w:asciiTheme="minorHAnsi" w:eastAsiaTheme="minorEastAsia" w:hAnsiTheme="minorHAnsi" w:cstheme="minorBidi"/>
            <w:lang w:val="en-US"/>
          </w:rPr>
          <w:tab/>
        </w:r>
        <w:r w:rsidRPr="001F382E">
          <w:rPr>
            <w:rStyle w:val="Hyperlink"/>
            <w:sz w:val="20"/>
            <w:szCs w:val="20"/>
            <w:lang w:val="es-ES"/>
          </w:rPr>
          <w:t>PRESUPUESTO 2014/15 TRAS LAS TRANSFERENCIAS, POR PROGRAMA</w:t>
        </w:r>
        <w:r w:rsidRPr="001F382E">
          <w:rPr>
            <w:webHidden/>
          </w:rPr>
          <w:tab/>
        </w:r>
        <w:r w:rsidRPr="001F382E">
          <w:rPr>
            <w:webHidden/>
          </w:rPr>
          <w:fldChar w:fldCharType="begin"/>
        </w:r>
        <w:r w:rsidRPr="001F382E">
          <w:rPr>
            <w:webHidden/>
          </w:rPr>
          <w:instrText xml:space="preserve"> PAGEREF _Toc431573980 \h </w:instrText>
        </w:r>
        <w:r w:rsidRPr="001F382E">
          <w:rPr>
            <w:webHidden/>
          </w:rPr>
        </w:r>
        <w:r w:rsidRPr="001F382E">
          <w:rPr>
            <w:webHidden/>
          </w:rPr>
          <w:fldChar w:fldCharType="separate"/>
        </w:r>
        <w:r w:rsidR="001F0B8C">
          <w:rPr>
            <w:webHidden/>
          </w:rPr>
          <w:t>208</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81" w:history="1">
        <w:r w:rsidRPr="001F382E">
          <w:rPr>
            <w:rStyle w:val="Hyperlink"/>
            <w:sz w:val="20"/>
            <w:szCs w:val="20"/>
            <w:lang w:val="es-ES"/>
          </w:rPr>
          <w:t>ANEXO II</w:t>
        </w:r>
        <w:r w:rsidRPr="001F382E">
          <w:rPr>
            <w:rFonts w:asciiTheme="minorHAnsi" w:eastAsiaTheme="minorEastAsia" w:hAnsiTheme="minorHAnsi" w:cstheme="minorBidi"/>
            <w:lang w:val="en-US"/>
          </w:rPr>
          <w:tab/>
        </w:r>
        <w:r w:rsidRPr="001F382E">
          <w:rPr>
            <w:rStyle w:val="Hyperlink"/>
            <w:sz w:val="20"/>
            <w:szCs w:val="20"/>
            <w:lang w:val="es-ES"/>
          </w:rPr>
          <w:t>RECURSOS PROPUESTOS PARA 2016/17, POR PROGRAMA</w:t>
        </w:r>
        <w:r w:rsidRPr="001F382E">
          <w:rPr>
            <w:webHidden/>
          </w:rPr>
          <w:tab/>
        </w:r>
        <w:r w:rsidRPr="001F382E">
          <w:rPr>
            <w:webHidden/>
          </w:rPr>
          <w:fldChar w:fldCharType="begin"/>
        </w:r>
        <w:r w:rsidRPr="001F382E">
          <w:rPr>
            <w:webHidden/>
          </w:rPr>
          <w:instrText xml:space="preserve"> PAGEREF _Toc431573981 \h </w:instrText>
        </w:r>
        <w:r w:rsidRPr="001F382E">
          <w:rPr>
            <w:webHidden/>
          </w:rPr>
        </w:r>
        <w:r w:rsidRPr="001F382E">
          <w:rPr>
            <w:webHidden/>
          </w:rPr>
          <w:fldChar w:fldCharType="separate"/>
        </w:r>
        <w:r w:rsidR="001F0B8C">
          <w:rPr>
            <w:webHidden/>
          </w:rPr>
          <w:t>209</w:t>
        </w:r>
        <w:r w:rsidRPr="001F382E">
          <w:rPr>
            <w:webHidden/>
          </w:rPr>
          <w:fldChar w:fldCharType="end"/>
        </w:r>
      </w:hyperlink>
    </w:p>
    <w:p w:rsidR="00236E18" w:rsidRPr="001F382E" w:rsidRDefault="00236E18" w:rsidP="00236E18">
      <w:pPr>
        <w:pStyle w:val="TOC3"/>
        <w:ind w:left="1843" w:hanging="1276"/>
        <w:rPr>
          <w:rFonts w:asciiTheme="minorHAnsi" w:eastAsiaTheme="minorEastAsia" w:hAnsiTheme="minorHAnsi" w:cstheme="minorBidi"/>
          <w:lang w:val="en-US"/>
        </w:rPr>
      </w:pPr>
      <w:hyperlink w:anchor="_Toc431573982" w:history="1">
        <w:r w:rsidRPr="001F382E">
          <w:rPr>
            <w:rStyle w:val="Hyperlink"/>
            <w:sz w:val="20"/>
            <w:szCs w:val="20"/>
            <w:lang w:val="es-ES"/>
          </w:rPr>
          <w:t>ANEXO III</w:t>
        </w:r>
        <w:r w:rsidRPr="001F382E">
          <w:rPr>
            <w:rFonts w:asciiTheme="minorHAnsi" w:eastAsiaTheme="minorEastAsia" w:hAnsiTheme="minorHAnsi" w:cstheme="minorBidi"/>
            <w:lang w:val="en-US"/>
          </w:rPr>
          <w:tab/>
        </w:r>
        <w:r w:rsidRPr="001F382E">
          <w:rPr>
            <w:rStyle w:val="Hyperlink"/>
            <w:sz w:val="20"/>
            <w:szCs w:val="20"/>
            <w:lang w:val="es-ES"/>
          </w:rPr>
          <w:t>ASIGNACIÓN DE LOS INGRESOS PREVISTOS Y DE LOS GASTOS PRESUPUESTADOS, POR UNIÓN</w:t>
        </w:r>
        <w:r w:rsidRPr="001F382E">
          <w:rPr>
            <w:webHidden/>
          </w:rPr>
          <w:tab/>
        </w:r>
        <w:r w:rsidRPr="001F382E">
          <w:rPr>
            <w:webHidden/>
          </w:rPr>
          <w:fldChar w:fldCharType="begin"/>
        </w:r>
        <w:r w:rsidRPr="001F382E">
          <w:rPr>
            <w:webHidden/>
          </w:rPr>
          <w:instrText xml:space="preserve"> PAGEREF _Toc431573982 \h </w:instrText>
        </w:r>
        <w:r w:rsidRPr="001F382E">
          <w:rPr>
            <w:webHidden/>
          </w:rPr>
        </w:r>
        <w:r w:rsidRPr="001F382E">
          <w:rPr>
            <w:webHidden/>
          </w:rPr>
          <w:fldChar w:fldCharType="separate"/>
        </w:r>
        <w:r w:rsidR="001F0B8C">
          <w:rPr>
            <w:webHidden/>
          </w:rPr>
          <w:t>211</w:t>
        </w:r>
        <w:r w:rsidRPr="001F382E">
          <w:rPr>
            <w:webHidden/>
          </w:rPr>
          <w:fldChar w:fldCharType="end"/>
        </w:r>
      </w:hyperlink>
    </w:p>
    <w:p w:rsidR="00236E18" w:rsidRPr="001F382E" w:rsidRDefault="00236E18" w:rsidP="00236E18">
      <w:pPr>
        <w:pStyle w:val="TOC3"/>
        <w:ind w:left="1843" w:hanging="1276"/>
        <w:rPr>
          <w:rFonts w:asciiTheme="minorHAnsi" w:eastAsiaTheme="minorEastAsia" w:hAnsiTheme="minorHAnsi" w:cstheme="minorBidi"/>
          <w:lang w:val="en-US"/>
        </w:rPr>
      </w:pPr>
      <w:hyperlink w:anchor="_Toc431573983" w:history="1">
        <w:r w:rsidRPr="001F382E">
          <w:rPr>
            <w:rStyle w:val="Hyperlink"/>
            <w:sz w:val="20"/>
            <w:szCs w:val="20"/>
            <w:lang w:val="es-ES"/>
          </w:rPr>
          <w:t>ANEXO IV</w:t>
        </w:r>
        <w:r w:rsidRPr="001F382E">
          <w:rPr>
            <w:rFonts w:asciiTheme="minorHAnsi" w:eastAsiaTheme="minorEastAsia" w:hAnsiTheme="minorHAnsi" w:cstheme="minorBidi"/>
            <w:lang w:val="en-US"/>
          </w:rPr>
          <w:tab/>
        </w:r>
        <w:r w:rsidRPr="001F382E">
          <w:rPr>
            <w:rStyle w:val="Hyperlink"/>
            <w:sz w:val="20"/>
            <w:szCs w:val="20"/>
            <w:lang w:val="es-ES"/>
          </w:rPr>
          <w:t>EVOLUCIÓN DE LA DEMANDA DE LOS SERVICIOS DE LOS SISTEMAS DEL PCT, DE MADRID Y DE LA HAYA A MEDIANO PLAZO</w:t>
        </w:r>
        <w:r w:rsidRPr="001F382E">
          <w:rPr>
            <w:webHidden/>
          </w:rPr>
          <w:tab/>
        </w:r>
        <w:r w:rsidRPr="001F382E">
          <w:rPr>
            <w:webHidden/>
          </w:rPr>
          <w:fldChar w:fldCharType="begin"/>
        </w:r>
        <w:r w:rsidRPr="001F382E">
          <w:rPr>
            <w:webHidden/>
          </w:rPr>
          <w:instrText xml:space="preserve"> PAGEREF _Toc431573983 \h </w:instrText>
        </w:r>
        <w:r w:rsidRPr="001F382E">
          <w:rPr>
            <w:webHidden/>
          </w:rPr>
        </w:r>
        <w:r w:rsidRPr="001F382E">
          <w:rPr>
            <w:webHidden/>
          </w:rPr>
          <w:fldChar w:fldCharType="separate"/>
        </w:r>
        <w:r w:rsidR="001F0B8C">
          <w:rPr>
            <w:webHidden/>
          </w:rPr>
          <w:t>215</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84" w:history="1">
        <w:r w:rsidRPr="001F382E">
          <w:rPr>
            <w:rStyle w:val="Hyperlink"/>
            <w:sz w:val="20"/>
            <w:szCs w:val="20"/>
            <w:lang w:val="es-ES"/>
          </w:rPr>
          <w:t>ANEXO V</w:t>
        </w:r>
        <w:r w:rsidRPr="001F382E">
          <w:rPr>
            <w:rFonts w:asciiTheme="minorHAnsi" w:eastAsiaTheme="minorEastAsia" w:hAnsiTheme="minorHAnsi" w:cstheme="minorBidi"/>
            <w:lang w:val="en-US"/>
          </w:rPr>
          <w:tab/>
        </w:r>
        <w:r w:rsidRPr="001F382E">
          <w:rPr>
            <w:rStyle w:val="Hyperlink"/>
            <w:sz w:val="20"/>
            <w:szCs w:val="20"/>
            <w:lang w:val="es-ES"/>
          </w:rPr>
          <w:t>INDICADORES DE LAS OPERACIONES DEL PCT</w:t>
        </w:r>
        <w:r w:rsidRPr="001F382E">
          <w:rPr>
            <w:webHidden/>
          </w:rPr>
          <w:tab/>
        </w:r>
        <w:r w:rsidRPr="001F382E">
          <w:rPr>
            <w:webHidden/>
          </w:rPr>
          <w:fldChar w:fldCharType="begin"/>
        </w:r>
        <w:r w:rsidRPr="001F382E">
          <w:rPr>
            <w:webHidden/>
          </w:rPr>
          <w:instrText xml:space="preserve"> PAGEREF _Toc431573984 \h </w:instrText>
        </w:r>
        <w:r w:rsidRPr="001F382E">
          <w:rPr>
            <w:webHidden/>
          </w:rPr>
        </w:r>
        <w:r w:rsidRPr="001F382E">
          <w:rPr>
            <w:webHidden/>
          </w:rPr>
          <w:fldChar w:fldCharType="separate"/>
        </w:r>
        <w:r w:rsidR="001F0B8C">
          <w:rPr>
            <w:webHidden/>
          </w:rPr>
          <w:t>232</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85" w:history="1">
        <w:r w:rsidRPr="001F382E">
          <w:rPr>
            <w:rStyle w:val="Hyperlink"/>
            <w:sz w:val="20"/>
            <w:szCs w:val="20"/>
            <w:lang w:val="es-ES"/>
          </w:rPr>
          <w:t>ANEXO VI</w:t>
        </w:r>
        <w:r w:rsidRPr="001F382E">
          <w:rPr>
            <w:rFonts w:asciiTheme="minorHAnsi" w:eastAsiaTheme="minorEastAsia" w:hAnsiTheme="minorHAnsi" w:cstheme="minorBidi"/>
            <w:lang w:val="en-US"/>
          </w:rPr>
          <w:tab/>
        </w:r>
        <w:r w:rsidRPr="001F382E">
          <w:rPr>
            <w:rStyle w:val="Hyperlink"/>
            <w:sz w:val="20"/>
            <w:szCs w:val="20"/>
            <w:lang w:val="es-ES"/>
          </w:rPr>
          <w:t>INDICADORES DE LAS OPERACIONES DEL SISTEMA DE MADRID</w:t>
        </w:r>
        <w:r w:rsidRPr="001F382E">
          <w:rPr>
            <w:webHidden/>
          </w:rPr>
          <w:tab/>
        </w:r>
        <w:r w:rsidRPr="001F382E">
          <w:rPr>
            <w:webHidden/>
          </w:rPr>
          <w:fldChar w:fldCharType="begin"/>
        </w:r>
        <w:r w:rsidRPr="001F382E">
          <w:rPr>
            <w:webHidden/>
          </w:rPr>
          <w:instrText xml:space="preserve"> PAGEREF _Toc431573985 \h </w:instrText>
        </w:r>
        <w:r w:rsidRPr="001F382E">
          <w:rPr>
            <w:webHidden/>
          </w:rPr>
        </w:r>
        <w:r w:rsidRPr="001F382E">
          <w:rPr>
            <w:webHidden/>
          </w:rPr>
          <w:fldChar w:fldCharType="separate"/>
        </w:r>
        <w:r w:rsidR="001F0B8C">
          <w:rPr>
            <w:webHidden/>
          </w:rPr>
          <w:t>244</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86" w:history="1">
        <w:r w:rsidRPr="001F382E">
          <w:rPr>
            <w:rStyle w:val="Hyperlink"/>
            <w:sz w:val="20"/>
            <w:szCs w:val="20"/>
            <w:lang w:val="es-ES"/>
          </w:rPr>
          <w:t>ANEXO VII</w:t>
        </w:r>
        <w:r w:rsidRPr="001F382E">
          <w:rPr>
            <w:rFonts w:asciiTheme="minorHAnsi" w:eastAsiaTheme="minorEastAsia" w:hAnsiTheme="minorHAnsi" w:cstheme="minorBidi"/>
            <w:lang w:val="en-US"/>
          </w:rPr>
          <w:tab/>
        </w:r>
        <w:r w:rsidRPr="001F382E">
          <w:rPr>
            <w:rStyle w:val="Hyperlink"/>
            <w:sz w:val="20"/>
            <w:szCs w:val="20"/>
            <w:lang w:val="es-ES"/>
          </w:rPr>
          <w:t>INDICADORES DE LAS OPERACIONES DEL SISTEMA DE LA HAYA</w:t>
        </w:r>
        <w:r w:rsidRPr="001F382E">
          <w:rPr>
            <w:webHidden/>
          </w:rPr>
          <w:tab/>
        </w:r>
        <w:r w:rsidRPr="001F382E">
          <w:rPr>
            <w:webHidden/>
          </w:rPr>
          <w:fldChar w:fldCharType="begin"/>
        </w:r>
        <w:r w:rsidRPr="001F382E">
          <w:rPr>
            <w:webHidden/>
          </w:rPr>
          <w:instrText xml:space="preserve"> PAGEREF _Toc431573986 \h </w:instrText>
        </w:r>
        <w:r w:rsidRPr="001F382E">
          <w:rPr>
            <w:webHidden/>
          </w:rPr>
        </w:r>
        <w:r w:rsidRPr="001F382E">
          <w:rPr>
            <w:webHidden/>
          </w:rPr>
          <w:fldChar w:fldCharType="separate"/>
        </w:r>
        <w:r w:rsidR="001F0B8C">
          <w:rPr>
            <w:webHidden/>
          </w:rPr>
          <w:t>256</w:t>
        </w:r>
        <w:r w:rsidRPr="001F382E">
          <w:rPr>
            <w:webHidden/>
          </w:rPr>
          <w:fldChar w:fldCharType="end"/>
        </w:r>
      </w:hyperlink>
    </w:p>
    <w:p w:rsidR="00236E18" w:rsidRPr="001F382E" w:rsidRDefault="00236E18" w:rsidP="00236E18">
      <w:pPr>
        <w:pStyle w:val="TOC3"/>
        <w:ind w:left="1843" w:hanging="1276"/>
        <w:rPr>
          <w:rFonts w:asciiTheme="minorHAnsi" w:eastAsiaTheme="minorEastAsia" w:hAnsiTheme="minorHAnsi" w:cstheme="minorBidi"/>
          <w:lang w:val="en-US"/>
        </w:rPr>
      </w:pPr>
      <w:hyperlink w:anchor="_Toc431573987" w:history="1">
        <w:r w:rsidRPr="001F382E">
          <w:rPr>
            <w:rStyle w:val="Hyperlink"/>
            <w:sz w:val="20"/>
            <w:szCs w:val="20"/>
          </w:rPr>
          <w:t>ANEXO VIII</w:t>
        </w:r>
        <w:r w:rsidRPr="001F382E">
          <w:rPr>
            <w:rFonts w:asciiTheme="minorHAnsi" w:eastAsiaTheme="minorEastAsia" w:hAnsiTheme="minorHAnsi" w:cstheme="minorBidi"/>
            <w:lang w:val="en-US"/>
          </w:rPr>
          <w:tab/>
        </w:r>
        <w:r w:rsidRPr="001F382E">
          <w:rPr>
            <w:rStyle w:val="Hyperlink"/>
            <w:sz w:val="20"/>
            <w:szCs w:val="20"/>
          </w:rPr>
          <w:t>RECURSOS DE FONDOS FIDUCIARIOS DISPONIBLES POTENCIALMENTE PARA SU UTILIZACIÓN</w:t>
        </w:r>
        <w:r w:rsidRPr="001F382E">
          <w:rPr>
            <w:webHidden/>
          </w:rPr>
          <w:tab/>
        </w:r>
        <w:r w:rsidRPr="001F382E">
          <w:rPr>
            <w:webHidden/>
          </w:rPr>
          <w:fldChar w:fldCharType="begin"/>
        </w:r>
        <w:r w:rsidRPr="001F382E">
          <w:rPr>
            <w:webHidden/>
          </w:rPr>
          <w:instrText xml:space="preserve"> PAGEREF _Toc431573987 \h </w:instrText>
        </w:r>
        <w:r w:rsidRPr="001F382E">
          <w:rPr>
            <w:webHidden/>
          </w:rPr>
        </w:r>
        <w:r w:rsidRPr="001F382E">
          <w:rPr>
            <w:webHidden/>
          </w:rPr>
          <w:fldChar w:fldCharType="separate"/>
        </w:r>
        <w:r w:rsidR="001F0B8C">
          <w:rPr>
            <w:webHidden/>
          </w:rPr>
          <w:t>264</w:t>
        </w:r>
        <w:r w:rsidRPr="001F382E">
          <w:rPr>
            <w:webHidden/>
          </w:rPr>
          <w:fldChar w:fldCharType="end"/>
        </w:r>
      </w:hyperlink>
    </w:p>
    <w:p w:rsidR="00236E18" w:rsidRPr="001F382E" w:rsidRDefault="00236E18" w:rsidP="00236E18">
      <w:pPr>
        <w:pStyle w:val="TOC3"/>
        <w:ind w:left="1843" w:hanging="1276"/>
        <w:rPr>
          <w:rFonts w:asciiTheme="minorHAnsi" w:eastAsiaTheme="minorEastAsia" w:hAnsiTheme="minorHAnsi" w:cstheme="minorBidi"/>
          <w:lang w:val="en-US"/>
        </w:rPr>
      </w:pPr>
      <w:hyperlink w:anchor="_Toc431573988" w:history="1">
        <w:r w:rsidRPr="001F382E">
          <w:rPr>
            <w:rStyle w:val="Hyperlink"/>
            <w:sz w:val="20"/>
            <w:szCs w:val="20"/>
          </w:rPr>
          <w:t>ANEXO IX</w:t>
        </w:r>
        <w:r w:rsidRPr="001F382E">
          <w:rPr>
            <w:rFonts w:asciiTheme="minorHAnsi" w:eastAsiaTheme="minorEastAsia" w:hAnsiTheme="minorHAnsi" w:cstheme="minorBidi"/>
            <w:lang w:val="en-US"/>
          </w:rPr>
          <w:tab/>
        </w:r>
        <w:r w:rsidRPr="001F382E">
          <w:rPr>
            <w:rStyle w:val="Hyperlink"/>
            <w:sz w:val="20"/>
            <w:szCs w:val="20"/>
          </w:rPr>
          <w:t>CUADROS DEL PRESUPUESTO ANUAL PARA LA PRESENTACIÓN DE INFORMES CONFORME A LAS IPSAS</w:t>
        </w:r>
        <w:r w:rsidRPr="001F382E">
          <w:rPr>
            <w:webHidden/>
          </w:rPr>
          <w:tab/>
        </w:r>
        <w:r w:rsidRPr="001F382E">
          <w:rPr>
            <w:webHidden/>
          </w:rPr>
          <w:fldChar w:fldCharType="begin"/>
        </w:r>
        <w:r w:rsidRPr="001F382E">
          <w:rPr>
            <w:webHidden/>
          </w:rPr>
          <w:instrText xml:space="preserve"> PAGEREF _Toc431573988 \h </w:instrText>
        </w:r>
        <w:r w:rsidRPr="001F382E">
          <w:rPr>
            <w:webHidden/>
          </w:rPr>
        </w:r>
        <w:r w:rsidRPr="001F382E">
          <w:rPr>
            <w:webHidden/>
          </w:rPr>
          <w:fldChar w:fldCharType="separate"/>
        </w:r>
        <w:r w:rsidR="001F0B8C">
          <w:rPr>
            <w:webHidden/>
          </w:rPr>
          <w:t>265</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89" w:history="1">
        <w:r w:rsidRPr="001F382E">
          <w:rPr>
            <w:rStyle w:val="Hyperlink"/>
            <w:sz w:val="20"/>
            <w:szCs w:val="20"/>
            <w:lang w:val="es-ES"/>
          </w:rPr>
          <w:t>ANEXO X</w:t>
        </w:r>
        <w:r w:rsidRPr="001F382E">
          <w:rPr>
            <w:rFonts w:asciiTheme="minorHAnsi" w:eastAsiaTheme="minorEastAsia" w:hAnsiTheme="minorHAnsi" w:cstheme="minorBidi"/>
            <w:lang w:val="en-US"/>
          </w:rPr>
          <w:tab/>
        </w:r>
        <w:r w:rsidRPr="001F382E">
          <w:rPr>
            <w:rStyle w:val="Hyperlink"/>
            <w:sz w:val="20"/>
            <w:szCs w:val="20"/>
            <w:lang w:val="es-ES"/>
          </w:rPr>
          <w:t>PRESUPUESTO DE 2016/17, POR RESULTADO PREVISTO Y PROGRAMA</w:t>
        </w:r>
        <w:r w:rsidRPr="001F382E">
          <w:rPr>
            <w:webHidden/>
          </w:rPr>
          <w:tab/>
        </w:r>
        <w:r w:rsidRPr="001F382E">
          <w:rPr>
            <w:webHidden/>
          </w:rPr>
          <w:fldChar w:fldCharType="begin"/>
        </w:r>
        <w:r w:rsidRPr="001F382E">
          <w:rPr>
            <w:webHidden/>
          </w:rPr>
          <w:instrText xml:space="preserve"> PAGEREF _Toc431573989 \h </w:instrText>
        </w:r>
        <w:r w:rsidRPr="001F382E">
          <w:rPr>
            <w:webHidden/>
          </w:rPr>
        </w:r>
        <w:r w:rsidRPr="001F382E">
          <w:rPr>
            <w:webHidden/>
          </w:rPr>
          <w:fldChar w:fldCharType="separate"/>
        </w:r>
        <w:r w:rsidR="001F0B8C">
          <w:rPr>
            <w:webHidden/>
          </w:rPr>
          <w:t>267</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90" w:history="1">
        <w:r w:rsidRPr="001F382E">
          <w:rPr>
            <w:rStyle w:val="Hyperlink"/>
            <w:sz w:val="20"/>
            <w:szCs w:val="20"/>
            <w:lang w:val="es-ES"/>
          </w:rPr>
          <w:t>ANEXO XI</w:t>
        </w:r>
        <w:r w:rsidRPr="001F382E">
          <w:rPr>
            <w:rFonts w:asciiTheme="minorHAnsi" w:eastAsiaTheme="minorEastAsia" w:hAnsiTheme="minorHAnsi" w:cstheme="minorBidi"/>
            <w:lang w:val="en-US"/>
          </w:rPr>
          <w:tab/>
        </w:r>
        <w:r w:rsidRPr="001F382E">
          <w:rPr>
            <w:rStyle w:val="Hyperlink"/>
            <w:sz w:val="20"/>
            <w:szCs w:val="20"/>
            <w:lang w:val="es-ES"/>
          </w:rPr>
          <w:t>PRESUPUESTO DE 2016/17, POR RESULTADO PREVISTO</w:t>
        </w:r>
        <w:r w:rsidRPr="001F382E">
          <w:rPr>
            <w:webHidden/>
          </w:rPr>
          <w:tab/>
        </w:r>
        <w:r w:rsidRPr="001F382E">
          <w:rPr>
            <w:webHidden/>
          </w:rPr>
          <w:fldChar w:fldCharType="begin"/>
        </w:r>
        <w:r w:rsidRPr="001F382E">
          <w:rPr>
            <w:webHidden/>
          </w:rPr>
          <w:instrText xml:space="preserve"> PAGEREF _Toc431573990 \h </w:instrText>
        </w:r>
        <w:r w:rsidRPr="001F382E">
          <w:rPr>
            <w:webHidden/>
          </w:rPr>
        </w:r>
        <w:r w:rsidRPr="001F382E">
          <w:rPr>
            <w:webHidden/>
          </w:rPr>
          <w:fldChar w:fldCharType="separate"/>
        </w:r>
        <w:r w:rsidR="001F0B8C">
          <w:rPr>
            <w:webHidden/>
          </w:rPr>
          <w:t>269</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91" w:history="1">
        <w:r w:rsidRPr="001F382E">
          <w:rPr>
            <w:rStyle w:val="Hyperlink"/>
            <w:sz w:val="20"/>
            <w:szCs w:val="20"/>
            <w:lang w:val="es-ES"/>
          </w:rPr>
          <w:t>ANEXO XII</w:t>
        </w:r>
        <w:r w:rsidRPr="001F382E">
          <w:rPr>
            <w:rFonts w:asciiTheme="minorHAnsi" w:eastAsiaTheme="minorEastAsia" w:hAnsiTheme="minorHAnsi" w:cstheme="minorBidi"/>
            <w:lang w:val="en-US"/>
          </w:rPr>
          <w:tab/>
        </w:r>
        <w:r w:rsidRPr="001F382E">
          <w:rPr>
            <w:rStyle w:val="Hyperlink"/>
            <w:sz w:val="20"/>
            <w:szCs w:val="20"/>
            <w:lang w:val="es-ES"/>
          </w:rPr>
          <w:t>ORGANIGRAMA DE LA OMPI</w:t>
        </w:r>
        <w:r w:rsidRPr="001F382E">
          <w:rPr>
            <w:webHidden/>
          </w:rPr>
          <w:tab/>
        </w:r>
        <w:r w:rsidRPr="001F382E">
          <w:rPr>
            <w:webHidden/>
          </w:rPr>
          <w:fldChar w:fldCharType="begin"/>
        </w:r>
        <w:r w:rsidRPr="001F382E">
          <w:rPr>
            <w:webHidden/>
          </w:rPr>
          <w:instrText xml:space="preserve"> PAGEREF _Toc431573991 \h </w:instrText>
        </w:r>
        <w:r w:rsidRPr="001F382E">
          <w:rPr>
            <w:webHidden/>
          </w:rPr>
        </w:r>
        <w:r w:rsidRPr="001F382E">
          <w:rPr>
            <w:webHidden/>
          </w:rPr>
          <w:fldChar w:fldCharType="separate"/>
        </w:r>
        <w:r w:rsidR="001F0B8C">
          <w:rPr>
            <w:webHidden/>
          </w:rPr>
          <w:t>272</w:t>
        </w:r>
        <w:r w:rsidRPr="001F382E">
          <w:rPr>
            <w:webHidden/>
          </w:rPr>
          <w:fldChar w:fldCharType="end"/>
        </w:r>
      </w:hyperlink>
    </w:p>
    <w:p w:rsidR="00236E18" w:rsidRPr="001F382E" w:rsidRDefault="00236E18" w:rsidP="00236E18">
      <w:pPr>
        <w:pStyle w:val="TOC1"/>
        <w:rPr>
          <w:rFonts w:asciiTheme="minorHAnsi" w:eastAsiaTheme="minorEastAsia" w:hAnsiTheme="minorHAnsi" w:cstheme="minorBidi"/>
          <w:b w:val="0"/>
          <w:sz w:val="20"/>
          <w:szCs w:val="20"/>
          <w:lang w:val="en-US" w:eastAsia="en-US"/>
        </w:rPr>
      </w:pPr>
      <w:hyperlink w:anchor="_Toc431573992" w:history="1">
        <w:r w:rsidRPr="001F382E">
          <w:rPr>
            <w:rStyle w:val="Hyperlink"/>
            <w:sz w:val="20"/>
            <w:szCs w:val="20"/>
          </w:rPr>
          <w:t>IV.</w:t>
        </w:r>
        <w:r w:rsidRPr="001F382E">
          <w:rPr>
            <w:rFonts w:asciiTheme="minorHAnsi" w:eastAsiaTheme="minorEastAsia" w:hAnsiTheme="minorHAnsi" w:cstheme="minorBidi"/>
            <w:b w:val="0"/>
            <w:sz w:val="20"/>
            <w:szCs w:val="20"/>
            <w:lang w:val="en-US" w:eastAsia="en-US"/>
          </w:rPr>
          <w:tab/>
        </w:r>
        <w:r w:rsidRPr="001F382E">
          <w:rPr>
            <w:rStyle w:val="Hyperlink"/>
            <w:sz w:val="20"/>
            <w:szCs w:val="20"/>
          </w:rPr>
          <w:t>APÉNDICES</w:t>
        </w:r>
        <w:r w:rsidRPr="001F382E">
          <w:rPr>
            <w:webHidden/>
            <w:sz w:val="20"/>
            <w:szCs w:val="20"/>
          </w:rPr>
          <w:tab/>
        </w:r>
        <w:r w:rsidRPr="001F382E">
          <w:rPr>
            <w:webHidden/>
            <w:sz w:val="20"/>
            <w:szCs w:val="20"/>
          </w:rPr>
          <w:fldChar w:fldCharType="begin"/>
        </w:r>
        <w:r w:rsidRPr="001F382E">
          <w:rPr>
            <w:webHidden/>
            <w:sz w:val="20"/>
            <w:szCs w:val="20"/>
          </w:rPr>
          <w:instrText xml:space="preserve"> PAGEREF _Toc431573992 \h </w:instrText>
        </w:r>
        <w:r w:rsidRPr="001F382E">
          <w:rPr>
            <w:webHidden/>
            <w:sz w:val="20"/>
            <w:szCs w:val="20"/>
          </w:rPr>
        </w:r>
        <w:r w:rsidRPr="001F382E">
          <w:rPr>
            <w:webHidden/>
            <w:sz w:val="20"/>
            <w:szCs w:val="20"/>
          </w:rPr>
          <w:fldChar w:fldCharType="separate"/>
        </w:r>
        <w:r w:rsidR="001F0B8C">
          <w:rPr>
            <w:webHidden/>
            <w:sz w:val="20"/>
            <w:szCs w:val="20"/>
          </w:rPr>
          <w:t>273</w:t>
        </w:r>
        <w:r w:rsidRPr="001F382E">
          <w:rPr>
            <w:webHidden/>
            <w:sz w:val="20"/>
            <w:szCs w:val="20"/>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93" w:history="1">
        <w:r w:rsidRPr="001F382E">
          <w:rPr>
            <w:rStyle w:val="Hyperlink"/>
            <w:sz w:val="20"/>
            <w:szCs w:val="20"/>
            <w:lang w:val="es-ES"/>
          </w:rPr>
          <w:t xml:space="preserve">APÉNDICE A </w:t>
        </w:r>
        <w:r>
          <w:rPr>
            <w:rStyle w:val="Hyperlink"/>
            <w:sz w:val="20"/>
            <w:szCs w:val="20"/>
            <w:lang w:val="es-ES"/>
          </w:rPr>
          <w:t xml:space="preserve">  </w:t>
        </w:r>
        <w:r w:rsidRPr="001F382E">
          <w:rPr>
            <w:rStyle w:val="Hyperlink"/>
            <w:sz w:val="20"/>
            <w:szCs w:val="20"/>
            <w:lang w:val="es-ES"/>
          </w:rPr>
          <w:t>CONTRIBUCIONES DE LOS ESTADOS MIEMBROS</w:t>
        </w:r>
        <w:r w:rsidRPr="001F382E">
          <w:rPr>
            <w:webHidden/>
          </w:rPr>
          <w:tab/>
        </w:r>
        <w:r w:rsidRPr="001F382E">
          <w:rPr>
            <w:webHidden/>
          </w:rPr>
          <w:fldChar w:fldCharType="begin"/>
        </w:r>
        <w:r w:rsidRPr="001F382E">
          <w:rPr>
            <w:webHidden/>
          </w:rPr>
          <w:instrText xml:space="preserve"> PAGEREF _Toc431573993 \h </w:instrText>
        </w:r>
        <w:r w:rsidRPr="001F382E">
          <w:rPr>
            <w:webHidden/>
          </w:rPr>
        </w:r>
        <w:r w:rsidRPr="001F382E">
          <w:rPr>
            <w:webHidden/>
          </w:rPr>
          <w:fldChar w:fldCharType="separate"/>
        </w:r>
        <w:r w:rsidR="001F0B8C">
          <w:rPr>
            <w:webHidden/>
          </w:rPr>
          <w:t>273</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94" w:history="1">
        <w:r w:rsidRPr="001F382E">
          <w:rPr>
            <w:rStyle w:val="Hyperlink"/>
            <w:sz w:val="20"/>
            <w:szCs w:val="20"/>
            <w:lang w:val="es-ES"/>
          </w:rPr>
          <w:t xml:space="preserve">APÉNDICE B </w:t>
        </w:r>
        <w:r>
          <w:rPr>
            <w:rStyle w:val="Hyperlink"/>
            <w:sz w:val="20"/>
            <w:szCs w:val="20"/>
            <w:lang w:val="es-ES"/>
          </w:rPr>
          <w:t xml:space="preserve">  </w:t>
        </w:r>
        <w:r w:rsidRPr="001F382E">
          <w:rPr>
            <w:rStyle w:val="Hyperlink"/>
            <w:sz w:val="20"/>
            <w:szCs w:val="20"/>
            <w:lang w:val="es-ES"/>
          </w:rPr>
          <w:t>DEFINICIÓN DE LAS CATEGORÍAS DE COSTOS</w:t>
        </w:r>
        <w:r w:rsidRPr="001F382E">
          <w:rPr>
            <w:webHidden/>
          </w:rPr>
          <w:tab/>
        </w:r>
        <w:r w:rsidRPr="001F382E">
          <w:rPr>
            <w:webHidden/>
          </w:rPr>
          <w:fldChar w:fldCharType="begin"/>
        </w:r>
        <w:r w:rsidRPr="001F382E">
          <w:rPr>
            <w:webHidden/>
          </w:rPr>
          <w:instrText xml:space="preserve"> PAGEREF _Toc431573994 \h </w:instrText>
        </w:r>
        <w:r w:rsidRPr="001F382E">
          <w:rPr>
            <w:webHidden/>
          </w:rPr>
        </w:r>
        <w:r w:rsidRPr="001F382E">
          <w:rPr>
            <w:webHidden/>
          </w:rPr>
          <w:fldChar w:fldCharType="separate"/>
        </w:r>
        <w:r w:rsidR="001F0B8C">
          <w:rPr>
            <w:webHidden/>
          </w:rPr>
          <w:t>277</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95" w:history="1">
        <w:r w:rsidRPr="001F382E">
          <w:rPr>
            <w:rStyle w:val="Hyperlink"/>
            <w:sz w:val="20"/>
            <w:szCs w:val="20"/>
            <w:lang w:val="es-ES"/>
          </w:rPr>
          <w:t xml:space="preserve">APÉNDICE C </w:t>
        </w:r>
        <w:r>
          <w:rPr>
            <w:rStyle w:val="Hyperlink"/>
            <w:sz w:val="20"/>
            <w:szCs w:val="20"/>
            <w:lang w:val="es-ES"/>
          </w:rPr>
          <w:t xml:space="preserve">  </w:t>
        </w:r>
        <w:r w:rsidRPr="001F382E">
          <w:rPr>
            <w:rStyle w:val="Hyperlink"/>
            <w:sz w:val="20"/>
            <w:szCs w:val="20"/>
            <w:lang w:val="es-ES"/>
          </w:rPr>
          <w:t>CÁLCULO DEL COSTO DE PERSONAL</w:t>
        </w:r>
        <w:r w:rsidRPr="001F382E">
          <w:rPr>
            <w:webHidden/>
          </w:rPr>
          <w:tab/>
        </w:r>
        <w:r w:rsidRPr="001F382E">
          <w:rPr>
            <w:webHidden/>
          </w:rPr>
          <w:fldChar w:fldCharType="begin"/>
        </w:r>
        <w:r w:rsidRPr="001F382E">
          <w:rPr>
            <w:webHidden/>
          </w:rPr>
          <w:instrText xml:space="preserve"> PAGEREF _Toc431573995 \h </w:instrText>
        </w:r>
        <w:r w:rsidRPr="001F382E">
          <w:rPr>
            <w:webHidden/>
          </w:rPr>
        </w:r>
        <w:r w:rsidRPr="001F382E">
          <w:rPr>
            <w:webHidden/>
          </w:rPr>
          <w:fldChar w:fldCharType="separate"/>
        </w:r>
        <w:r w:rsidR="001F0B8C">
          <w:rPr>
            <w:webHidden/>
          </w:rPr>
          <w:t>279</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96" w:history="1">
        <w:r w:rsidRPr="001F382E">
          <w:rPr>
            <w:rStyle w:val="Hyperlink"/>
            <w:sz w:val="20"/>
            <w:szCs w:val="20"/>
            <w:lang w:val="es-ES"/>
          </w:rPr>
          <w:t xml:space="preserve">APÉNDICE D </w:t>
        </w:r>
        <w:r>
          <w:rPr>
            <w:rStyle w:val="Hyperlink"/>
            <w:sz w:val="20"/>
            <w:szCs w:val="20"/>
            <w:lang w:val="es-ES"/>
          </w:rPr>
          <w:t xml:space="preserve">  </w:t>
        </w:r>
        <w:r w:rsidRPr="001F382E">
          <w:rPr>
            <w:rStyle w:val="Hyperlink"/>
            <w:sz w:val="20"/>
            <w:szCs w:val="20"/>
            <w:lang w:val="es-ES"/>
          </w:rPr>
          <w:t>FÓRMULAS DE FLEXIBILIDAD</w:t>
        </w:r>
        <w:r w:rsidRPr="001F382E">
          <w:rPr>
            <w:webHidden/>
          </w:rPr>
          <w:tab/>
        </w:r>
        <w:r w:rsidRPr="001F382E">
          <w:rPr>
            <w:webHidden/>
          </w:rPr>
          <w:fldChar w:fldCharType="begin"/>
        </w:r>
        <w:r w:rsidRPr="001F382E">
          <w:rPr>
            <w:webHidden/>
          </w:rPr>
          <w:instrText xml:space="preserve"> PAGEREF _Toc431573996 \h </w:instrText>
        </w:r>
        <w:r w:rsidRPr="001F382E">
          <w:rPr>
            <w:webHidden/>
          </w:rPr>
        </w:r>
        <w:r w:rsidRPr="001F382E">
          <w:rPr>
            <w:webHidden/>
          </w:rPr>
          <w:fldChar w:fldCharType="separate"/>
        </w:r>
        <w:r w:rsidR="001F0B8C">
          <w:rPr>
            <w:webHidden/>
          </w:rPr>
          <w:t>280</w:t>
        </w:r>
        <w:r w:rsidRPr="001F382E">
          <w:rPr>
            <w:webHidden/>
          </w:rPr>
          <w:fldChar w:fldCharType="end"/>
        </w:r>
      </w:hyperlink>
    </w:p>
    <w:p w:rsidR="00236E18" w:rsidRPr="001F382E" w:rsidRDefault="00236E18" w:rsidP="00236E18">
      <w:pPr>
        <w:pStyle w:val="TOC3"/>
        <w:rPr>
          <w:rFonts w:asciiTheme="minorHAnsi" w:eastAsiaTheme="minorEastAsia" w:hAnsiTheme="minorHAnsi" w:cstheme="minorBidi"/>
          <w:lang w:val="en-US"/>
        </w:rPr>
      </w:pPr>
      <w:hyperlink w:anchor="_Toc431573997" w:history="1">
        <w:r w:rsidRPr="001F382E">
          <w:rPr>
            <w:rStyle w:val="Hyperlink"/>
            <w:bCs/>
            <w:sz w:val="20"/>
            <w:szCs w:val="20"/>
            <w:lang w:val="es-ES"/>
          </w:rPr>
          <w:t xml:space="preserve">APÉNDICE E </w:t>
        </w:r>
        <w:r>
          <w:rPr>
            <w:rStyle w:val="Hyperlink"/>
            <w:bCs/>
            <w:sz w:val="20"/>
            <w:szCs w:val="20"/>
            <w:lang w:val="es-ES"/>
          </w:rPr>
          <w:t xml:space="preserve">  </w:t>
        </w:r>
        <w:r w:rsidRPr="001F382E">
          <w:rPr>
            <w:rStyle w:val="Hyperlink"/>
            <w:bCs/>
            <w:sz w:val="20"/>
            <w:szCs w:val="20"/>
            <w:lang w:val="es-ES"/>
          </w:rPr>
          <w:t>SIGLAS Y ABREVIATURAS EMPLEADAS EN EL PRESENTE DOCUMENTO</w:t>
        </w:r>
        <w:r w:rsidRPr="001F382E">
          <w:rPr>
            <w:webHidden/>
          </w:rPr>
          <w:tab/>
        </w:r>
        <w:r w:rsidRPr="001F382E">
          <w:rPr>
            <w:webHidden/>
          </w:rPr>
          <w:fldChar w:fldCharType="begin"/>
        </w:r>
        <w:r w:rsidRPr="001F382E">
          <w:rPr>
            <w:webHidden/>
          </w:rPr>
          <w:instrText xml:space="preserve"> PAGEREF _Toc431573997 \h </w:instrText>
        </w:r>
        <w:r w:rsidRPr="001F382E">
          <w:rPr>
            <w:webHidden/>
          </w:rPr>
        </w:r>
        <w:r w:rsidRPr="001F382E">
          <w:rPr>
            <w:webHidden/>
          </w:rPr>
          <w:fldChar w:fldCharType="separate"/>
        </w:r>
        <w:r w:rsidR="001F0B8C">
          <w:rPr>
            <w:webHidden/>
          </w:rPr>
          <w:t>281</w:t>
        </w:r>
        <w:r w:rsidRPr="001F382E">
          <w:rPr>
            <w:webHidden/>
          </w:rPr>
          <w:fldChar w:fldCharType="end"/>
        </w:r>
      </w:hyperlink>
    </w:p>
    <w:p w:rsidR="00236E18" w:rsidRPr="00A94E7D" w:rsidRDefault="00236E18" w:rsidP="00236E18">
      <w:r w:rsidRPr="001F382E">
        <w:rPr>
          <w:sz w:val="20"/>
        </w:rPr>
        <w:fldChar w:fldCharType="end"/>
      </w:r>
    </w:p>
    <w:p w:rsidR="00236E18" w:rsidRDefault="00236E18" w:rsidP="00236E18">
      <w:r>
        <w:br w:type="page"/>
      </w:r>
    </w:p>
    <w:p w:rsidR="00236E18" w:rsidRPr="00A94E7D" w:rsidRDefault="00236E18" w:rsidP="00236E18">
      <w:r w:rsidRPr="00A94E7D">
        <w:lastRenderedPageBreak/>
        <w:br w:type="page"/>
      </w:r>
    </w:p>
    <w:p w:rsidR="00236E18" w:rsidRPr="00A94E7D" w:rsidRDefault="00236E18" w:rsidP="00236E18">
      <w:pPr>
        <w:pStyle w:val="Heading1"/>
        <w:keepNext w:val="0"/>
        <w:rPr>
          <w:szCs w:val="20"/>
          <w:lang w:eastAsia="en-US"/>
        </w:rPr>
      </w:pPr>
      <w:bookmarkStart w:id="7" w:name="_Toc431573531"/>
      <w:bookmarkStart w:id="8" w:name="_Toc431573931"/>
      <w:r w:rsidRPr="00A94E7D">
        <w:rPr>
          <w:szCs w:val="20"/>
          <w:lang w:eastAsia="en-US"/>
        </w:rPr>
        <w:lastRenderedPageBreak/>
        <w:t>PRÓLOGO DEL DIRECTOR GENERAL</w:t>
      </w:r>
      <w:bookmarkEnd w:id="7"/>
      <w:bookmarkEnd w:id="8"/>
    </w:p>
    <w:p w:rsidR="00236E18" w:rsidRPr="00A94E7D" w:rsidRDefault="00236E18" w:rsidP="00236E18">
      <w:pPr>
        <w:rPr>
          <w:highlight w:val="lightGray"/>
        </w:rPr>
      </w:pPr>
    </w:p>
    <w:p w:rsidR="00236E18" w:rsidRPr="00A94E7D" w:rsidRDefault="00236E18" w:rsidP="00236E18">
      <w:pPr>
        <w:rPr>
          <w:highlight w:val="lightGray"/>
        </w:rPr>
      </w:pPr>
    </w:p>
    <w:p w:rsidR="00236E18" w:rsidRPr="003C72B7" w:rsidRDefault="00236E18" w:rsidP="00236E18">
      <w:pPr>
        <w:widowControl w:val="0"/>
        <w:jc w:val="both"/>
        <w:rPr>
          <w:sz w:val="20"/>
        </w:rPr>
      </w:pPr>
      <w:r w:rsidRPr="003C72B7">
        <w:rPr>
          <w:sz w:val="20"/>
        </w:rPr>
        <w:t xml:space="preserve">La elaboración del presupuesto por programas </w:t>
      </w:r>
      <w:r>
        <w:rPr>
          <w:sz w:val="20"/>
        </w:rPr>
        <w:t xml:space="preserve">es </w:t>
      </w:r>
      <w:r w:rsidRPr="003C72B7">
        <w:rPr>
          <w:sz w:val="20"/>
        </w:rPr>
        <w:t>una oportunidad para que los Estados miembros fijen los resultados que desean que la Organización logre en el siguiente bie</w:t>
      </w:r>
      <w:r>
        <w:rPr>
          <w:sz w:val="20"/>
        </w:rPr>
        <w:t>nio y para que la Organización diseñe</w:t>
      </w:r>
      <w:r w:rsidRPr="003C72B7">
        <w:rPr>
          <w:sz w:val="20"/>
        </w:rPr>
        <w:t xml:space="preserve"> los programas </w:t>
      </w:r>
      <w:r>
        <w:rPr>
          <w:sz w:val="20"/>
        </w:rPr>
        <w:t>necesarios</w:t>
      </w:r>
      <w:r w:rsidRPr="003C72B7">
        <w:rPr>
          <w:sz w:val="20"/>
        </w:rPr>
        <w:t xml:space="preserve"> para obtener dichos resultados.</w:t>
      </w:r>
    </w:p>
    <w:p w:rsidR="00236E18" w:rsidRPr="003C72B7" w:rsidRDefault="00236E18" w:rsidP="00236E18">
      <w:pPr>
        <w:widowControl w:val="0"/>
        <w:jc w:val="both"/>
        <w:rPr>
          <w:sz w:val="20"/>
        </w:rPr>
      </w:pPr>
    </w:p>
    <w:p w:rsidR="00236E18" w:rsidRPr="003C72B7" w:rsidRDefault="00236E18" w:rsidP="00236E18">
      <w:pPr>
        <w:widowControl w:val="0"/>
        <w:jc w:val="both"/>
        <w:rPr>
          <w:sz w:val="20"/>
        </w:rPr>
      </w:pPr>
      <w:r w:rsidRPr="003C72B7">
        <w:rPr>
          <w:sz w:val="20"/>
        </w:rPr>
        <w:t xml:space="preserve">La Organización tiene la suerte de </w:t>
      </w:r>
      <w:r>
        <w:rPr>
          <w:sz w:val="20"/>
        </w:rPr>
        <w:t xml:space="preserve">contar con </w:t>
      </w:r>
      <w:r w:rsidRPr="003C72B7">
        <w:rPr>
          <w:sz w:val="20"/>
        </w:rPr>
        <w:t>sólidos cimientos financieros en los que puede apoyarse para planificar y poner en práctica e</w:t>
      </w:r>
      <w:r>
        <w:rPr>
          <w:sz w:val="20"/>
        </w:rPr>
        <w:t>se</w:t>
      </w:r>
      <w:r w:rsidRPr="003C72B7">
        <w:rPr>
          <w:sz w:val="20"/>
        </w:rPr>
        <w:t xml:space="preserve"> proceso </w:t>
      </w:r>
      <w:r>
        <w:rPr>
          <w:sz w:val="20"/>
        </w:rPr>
        <w:t>que permite</w:t>
      </w:r>
      <w:r w:rsidRPr="003C72B7">
        <w:rPr>
          <w:sz w:val="20"/>
        </w:rPr>
        <w:t xml:space="preserve"> definir resultados y concebir programas encaminados al logro de dichos resultados.  Confiamos en finalizar el bienio en curso (2014-2015) con un superávit moderado.  Se prevé que en el próximo bienio (2016-2017), los ingresos aumenten en un 6% para situarse en 756,3 millones de francos suizos, resultado de un aumento de la demanda en los sistemas mundiales de P.I. (principalmente, en lo que respecta al Tratado de Cooperación en materia de Patentes (PCT), el Sistema de Madrid para </w:t>
      </w:r>
      <w:r>
        <w:rPr>
          <w:sz w:val="20"/>
        </w:rPr>
        <w:t>las m</w:t>
      </w:r>
      <w:r w:rsidRPr="003C72B7">
        <w:rPr>
          <w:sz w:val="20"/>
        </w:rPr>
        <w:t>arcas</w:t>
      </w:r>
      <w:r>
        <w:rPr>
          <w:sz w:val="20"/>
        </w:rPr>
        <w:t>,</w:t>
      </w:r>
      <w:r w:rsidRPr="003C72B7">
        <w:rPr>
          <w:sz w:val="20"/>
        </w:rPr>
        <w:t xml:space="preserve"> y el Sistema de La Haya para </w:t>
      </w:r>
      <w:r>
        <w:rPr>
          <w:sz w:val="20"/>
        </w:rPr>
        <w:t>los dibujos y m</w:t>
      </w:r>
      <w:r w:rsidRPr="003C72B7">
        <w:rPr>
          <w:sz w:val="20"/>
        </w:rPr>
        <w:t>odelos</w:t>
      </w:r>
      <w:r>
        <w:rPr>
          <w:sz w:val="20"/>
        </w:rPr>
        <w:t xml:space="preserve"> industriales)</w:t>
      </w:r>
      <w:r w:rsidRPr="003C72B7">
        <w:rPr>
          <w:sz w:val="20"/>
        </w:rPr>
        <w:t xml:space="preserve">.  </w:t>
      </w:r>
      <w:r>
        <w:rPr>
          <w:sz w:val="20"/>
        </w:rPr>
        <w:t xml:space="preserve">Proponemos que </w:t>
      </w:r>
      <w:r w:rsidRPr="003C72B7">
        <w:rPr>
          <w:sz w:val="20"/>
        </w:rPr>
        <w:t xml:space="preserve">los gastos </w:t>
      </w:r>
      <w:r>
        <w:rPr>
          <w:sz w:val="20"/>
        </w:rPr>
        <w:t xml:space="preserve">aumenten </w:t>
      </w:r>
      <w:r w:rsidRPr="003C72B7">
        <w:rPr>
          <w:sz w:val="20"/>
        </w:rPr>
        <w:t>en un 4,9% para situarse en 707 millones de francos suizos, lo que se traducir</w:t>
      </w:r>
      <w:r>
        <w:rPr>
          <w:sz w:val="20"/>
        </w:rPr>
        <w:t>ía</w:t>
      </w:r>
      <w:r w:rsidRPr="003C72B7">
        <w:rPr>
          <w:sz w:val="20"/>
        </w:rPr>
        <w:t xml:space="preserve"> en un superávit de 20,8 millones de francos suizos tras los ajustes estimados en relación con las Normas Internacionales de Contabilidad del Sector Público (IPSAS), importe que se propone emplear principalmente </w:t>
      </w:r>
      <w:r>
        <w:rPr>
          <w:sz w:val="20"/>
        </w:rPr>
        <w:t>para</w:t>
      </w:r>
      <w:r w:rsidRPr="003C72B7">
        <w:rPr>
          <w:sz w:val="20"/>
        </w:rPr>
        <w:t xml:space="preserve"> crear un nivel de reservas que ofrezca mayor seguridad.</w:t>
      </w:r>
    </w:p>
    <w:p w:rsidR="00236E18" w:rsidRPr="003C72B7" w:rsidRDefault="00236E18" w:rsidP="00236E18">
      <w:pPr>
        <w:widowControl w:val="0"/>
        <w:jc w:val="both"/>
        <w:rPr>
          <w:sz w:val="20"/>
        </w:rPr>
      </w:pPr>
    </w:p>
    <w:p w:rsidR="00236E18" w:rsidRPr="003C72B7" w:rsidRDefault="00236E18" w:rsidP="00236E18">
      <w:pPr>
        <w:widowControl w:val="0"/>
        <w:jc w:val="both"/>
        <w:rPr>
          <w:sz w:val="20"/>
        </w:rPr>
      </w:pPr>
      <w:r w:rsidRPr="003C72B7">
        <w:rPr>
          <w:sz w:val="20"/>
        </w:rPr>
        <w:t>Pero la saludable situación financiera de la Organización</w:t>
      </w:r>
      <w:r>
        <w:rPr>
          <w:sz w:val="20"/>
        </w:rPr>
        <w:t xml:space="preserve"> no debe verse como cosa natural</w:t>
      </w:r>
      <w:r w:rsidRPr="003C72B7">
        <w:rPr>
          <w:sz w:val="20"/>
        </w:rPr>
        <w:t xml:space="preserve">.  Se ha sustentado en la expansión de los sistemas mundiales de P.I.  Aunque estamos convencidos de que ambos, Sistema de Madrid y Sistema de La Haya, serán objeto de una rápida expansión en los próximos años, la principal fuente de ingresos sigue siendo el PCT (cerca del 76% del total de ingresos).  En el aumento de la demanda relativa al PCT influyen varios factores y varios de ellos apuntan a que puede que el crecimiento de la demanda que se ha acusado en los últimos años no continúe al mismo </w:t>
      </w:r>
      <w:r>
        <w:rPr>
          <w:sz w:val="20"/>
        </w:rPr>
        <w:t xml:space="preserve">ritmo </w:t>
      </w:r>
      <w:r w:rsidRPr="003C72B7">
        <w:rPr>
          <w:sz w:val="20"/>
        </w:rPr>
        <w:t>a medi</w:t>
      </w:r>
      <w:r>
        <w:rPr>
          <w:sz w:val="20"/>
        </w:rPr>
        <w:t>ano</w:t>
      </w:r>
      <w:r w:rsidRPr="003C72B7">
        <w:rPr>
          <w:sz w:val="20"/>
        </w:rPr>
        <w:t xml:space="preserve"> plazo.</w:t>
      </w:r>
    </w:p>
    <w:p w:rsidR="00236E18" w:rsidRPr="003C72B7" w:rsidRDefault="00236E18" w:rsidP="00236E18">
      <w:pPr>
        <w:widowControl w:val="0"/>
        <w:jc w:val="both"/>
        <w:rPr>
          <w:sz w:val="20"/>
        </w:rPr>
      </w:pPr>
    </w:p>
    <w:p w:rsidR="00236E18" w:rsidRPr="003C72B7" w:rsidRDefault="00236E18" w:rsidP="00236E18">
      <w:pPr>
        <w:widowControl w:val="0"/>
        <w:jc w:val="both"/>
        <w:rPr>
          <w:sz w:val="20"/>
        </w:rPr>
      </w:pPr>
      <w:r>
        <w:rPr>
          <w:sz w:val="20"/>
        </w:rPr>
        <w:t>Al mismo tiempo</w:t>
      </w:r>
      <w:r w:rsidRPr="003C72B7">
        <w:rPr>
          <w:sz w:val="20"/>
        </w:rPr>
        <w:t xml:space="preserve">, la Organización debe responder a varios requisitos de inversión importantes.  </w:t>
      </w:r>
      <w:r>
        <w:rPr>
          <w:sz w:val="20"/>
        </w:rPr>
        <w:t>Para obtener ingresos, l</w:t>
      </w:r>
      <w:r w:rsidRPr="003C72B7">
        <w:rPr>
          <w:sz w:val="20"/>
        </w:rPr>
        <w:t xml:space="preserve">os sistemas mundiales de P.I. </w:t>
      </w:r>
      <w:r>
        <w:rPr>
          <w:sz w:val="20"/>
        </w:rPr>
        <w:t>deben</w:t>
      </w:r>
      <w:r w:rsidRPr="003C72B7">
        <w:rPr>
          <w:sz w:val="20"/>
        </w:rPr>
        <w:t xml:space="preserve"> prestar servicios de alta calidad y eficaces en función de los costos</w:t>
      </w:r>
      <w:r>
        <w:rPr>
          <w:sz w:val="20"/>
        </w:rPr>
        <w:t>, recurriendo</w:t>
      </w:r>
      <w:r w:rsidRPr="003C72B7">
        <w:rPr>
          <w:sz w:val="20"/>
        </w:rPr>
        <w:t xml:space="preserve"> cada vez más </w:t>
      </w:r>
      <w:r>
        <w:rPr>
          <w:sz w:val="20"/>
        </w:rPr>
        <w:t>para ello a</w:t>
      </w:r>
      <w:r w:rsidRPr="003C72B7">
        <w:rPr>
          <w:sz w:val="20"/>
        </w:rPr>
        <w:t xml:space="preserve"> </w:t>
      </w:r>
      <w:r>
        <w:rPr>
          <w:sz w:val="20"/>
        </w:rPr>
        <w:t xml:space="preserve">sofisticadas </w:t>
      </w:r>
      <w:r w:rsidRPr="003C72B7">
        <w:rPr>
          <w:sz w:val="20"/>
        </w:rPr>
        <w:t xml:space="preserve">plataformas informáticas.  Dichas plataformas han permitido obtener considerables mejoras de la productividad así como reducir costos de personal pero exigen </w:t>
      </w:r>
      <w:r>
        <w:rPr>
          <w:sz w:val="20"/>
        </w:rPr>
        <w:t xml:space="preserve">un desarrollo y </w:t>
      </w:r>
      <w:r w:rsidRPr="003C72B7">
        <w:rPr>
          <w:sz w:val="20"/>
        </w:rPr>
        <w:t xml:space="preserve">un perfeccionamiento constantes.  A ello viene a añadirse, como es el caso para todas las demás organizaciones y empresas de nuestro mundo contemporáneo interconectado, el hecho de que la Organización está expuesta a la vulnerabilidad </w:t>
      </w:r>
      <w:r>
        <w:rPr>
          <w:sz w:val="20"/>
        </w:rPr>
        <w:t xml:space="preserve">del </w:t>
      </w:r>
      <w:r w:rsidRPr="003C72B7">
        <w:rPr>
          <w:sz w:val="20"/>
        </w:rPr>
        <w:t>entorno</w:t>
      </w:r>
      <w:r>
        <w:rPr>
          <w:sz w:val="20"/>
        </w:rPr>
        <w:t xml:space="preserve"> </w:t>
      </w:r>
      <w:r w:rsidRPr="003C72B7">
        <w:rPr>
          <w:sz w:val="20"/>
        </w:rPr>
        <w:t>en línea.  Y para mitigar esa vulnerabilidad hay que realizar grandes inversiones en seguridad informática</w:t>
      </w:r>
      <w:r>
        <w:rPr>
          <w:sz w:val="20"/>
        </w:rPr>
        <w:t xml:space="preserve"> así como </w:t>
      </w:r>
      <w:r w:rsidRPr="003C72B7">
        <w:rPr>
          <w:sz w:val="20"/>
        </w:rPr>
        <w:t>en mecanismos para garantizar la continuidad de las actividades y capacidad de reacción de la Organización.</w:t>
      </w:r>
    </w:p>
    <w:p w:rsidR="00236E18" w:rsidRPr="003C72B7" w:rsidRDefault="00236E18" w:rsidP="00236E18">
      <w:pPr>
        <w:widowControl w:val="0"/>
        <w:jc w:val="both"/>
        <w:rPr>
          <w:sz w:val="20"/>
        </w:rPr>
      </w:pPr>
    </w:p>
    <w:p w:rsidR="00236E18" w:rsidRPr="003C72B7" w:rsidRDefault="00236E18" w:rsidP="00236E18">
      <w:pPr>
        <w:widowControl w:val="0"/>
        <w:jc w:val="both"/>
        <w:rPr>
          <w:sz w:val="20"/>
        </w:rPr>
      </w:pPr>
      <w:r w:rsidRPr="003C72B7">
        <w:rPr>
          <w:sz w:val="20"/>
        </w:rPr>
        <w:t xml:space="preserve">Nos hemos propuesto </w:t>
      </w:r>
      <w:r>
        <w:rPr>
          <w:sz w:val="20"/>
        </w:rPr>
        <w:t xml:space="preserve">que </w:t>
      </w:r>
      <w:r w:rsidRPr="003C72B7">
        <w:rPr>
          <w:sz w:val="20"/>
        </w:rPr>
        <w:t xml:space="preserve">esas grandes inversiones adicionales en el próximo bienio </w:t>
      </w:r>
      <w:r>
        <w:rPr>
          <w:sz w:val="20"/>
        </w:rPr>
        <w:t xml:space="preserve">se realicen </w:t>
      </w:r>
      <w:r w:rsidRPr="003C72B7">
        <w:rPr>
          <w:sz w:val="20"/>
        </w:rPr>
        <w:t xml:space="preserve">sin aumentar tasa alguna en los sistemas mundiales de P.I.  Proseguirá así el extraordinario récord </w:t>
      </w:r>
      <w:r>
        <w:rPr>
          <w:sz w:val="20"/>
        </w:rPr>
        <w:t>de</w:t>
      </w:r>
      <w:r w:rsidRPr="003C72B7">
        <w:rPr>
          <w:sz w:val="20"/>
        </w:rPr>
        <w:t xml:space="preserve"> los últimos siete años</w:t>
      </w:r>
      <w:r>
        <w:rPr>
          <w:sz w:val="20"/>
        </w:rPr>
        <w:t>, en el sentido de que</w:t>
      </w:r>
      <w:r w:rsidRPr="003C72B7">
        <w:rPr>
          <w:sz w:val="20"/>
        </w:rPr>
        <w:t xml:space="preserve"> no </w:t>
      </w:r>
      <w:r>
        <w:rPr>
          <w:sz w:val="20"/>
        </w:rPr>
        <w:t xml:space="preserve">se han </w:t>
      </w:r>
      <w:r w:rsidRPr="003C72B7">
        <w:rPr>
          <w:sz w:val="20"/>
        </w:rPr>
        <w:t>aumenta</w:t>
      </w:r>
      <w:r>
        <w:rPr>
          <w:sz w:val="20"/>
        </w:rPr>
        <w:t>do</w:t>
      </w:r>
      <w:r w:rsidRPr="003C72B7">
        <w:rPr>
          <w:sz w:val="20"/>
        </w:rPr>
        <w:t xml:space="preserve"> las tasas.  Se trata de un </w:t>
      </w:r>
      <w:r>
        <w:rPr>
          <w:sz w:val="20"/>
        </w:rPr>
        <w:t xml:space="preserve">hecho </w:t>
      </w:r>
      <w:r w:rsidRPr="003C72B7">
        <w:rPr>
          <w:sz w:val="20"/>
        </w:rPr>
        <w:t>sin precedentes si se compara con los aumentos de tasas que se han llevado a cabo en las oficinas nacionales y regionales de P.I.</w:t>
      </w:r>
      <w:r>
        <w:rPr>
          <w:sz w:val="20"/>
        </w:rPr>
        <w:t>,</w:t>
      </w:r>
      <w:r w:rsidRPr="003C72B7">
        <w:rPr>
          <w:sz w:val="20"/>
        </w:rPr>
        <w:t xml:space="preserve"> por lo que, </w:t>
      </w:r>
      <w:r>
        <w:rPr>
          <w:sz w:val="20"/>
        </w:rPr>
        <w:t xml:space="preserve">como </w:t>
      </w:r>
      <w:r w:rsidRPr="003C72B7">
        <w:rPr>
          <w:sz w:val="20"/>
        </w:rPr>
        <w:t>es lógico, un día habrá que proceder a aumentos razonables en las tasas.</w:t>
      </w:r>
    </w:p>
    <w:p w:rsidR="00236E18" w:rsidRPr="003C72B7" w:rsidRDefault="00236E18" w:rsidP="00236E18">
      <w:pPr>
        <w:widowControl w:val="0"/>
        <w:jc w:val="both"/>
        <w:rPr>
          <w:sz w:val="20"/>
        </w:rPr>
      </w:pPr>
    </w:p>
    <w:p w:rsidR="00236E18" w:rsidRPr="003C72B7" w:rsidRDefault="00236E18" w:rsidP="00236E18">
      <w:pPr>
        <w:widowControl w:val="0"/>
        <w:jc w:val="both"/>
        <w:rPr>
          <w:sz w:val="20"/>
        </w:rPr>
      </w:pPr>
      <w:r w:rsidRPr="003C72B7">
        <w:rPr>
          <w:sz w:val="20"/>
        </w:rPr>
        <w:t>El inestable conte</w:t>
      </w:r>
      <w:r>
        <w:rPr>
          <w:sz w:val="20"/>
        </w:rPr>
        <w:t>x</w:t>
      </w:r>
      <w:r w:rsidRPr="003C72B7">
        <w:rPr>
          <w:sz w:val="20"/>
        </w:rPr>
        <w:t>to económico mundial y, en particular, los tipos de interés negativos constituyen un desafío financiero adicional.  Los tipos de interés negativo</w:t>
      </w:r>
      <w:r>
        <w:rPr>
          <w:sz w:val="20"/>
        </w:rPr>
        <w:t>s llegan en un</w:t>
      </w:r>
      <w:r w:rsidRPr="003C72B7">
        <w:rPr>
          <w:sz w:val="20"/>
        </w:rPr>
        <w:t xml:space="preserve"> momento en </w:t>
      </w:r>
      <w:r>
        <w:rPr>
          <w:sz w:val="20"/>
        </w:rPr>
        <w:t xml:space="preserve">el </w:t>
      </w:r>
      <w:r w:rsidRPr="003C72B7">
        <w:rPr>
          <w:sz w:val="20"/>
        </w:rPr>
        <w:t xml:space="preserve">que la Organización </w:t>
      </w:r>
      <w:r>
        <w:rPr>
          <w:sz w:val="20"/>
        </w:rPr>
        <w:t>se ve obligada a dejar</w:t>
      </w:r>
      <w:r w:rsidRPr="003C72B7">
        <w:rPr>
          <w:sz w:val="20"/>
        </w:rPr>
        <w:t xml:space="preserve"> </w:t>
      </w:r>
      <w:r>
        <w:rPr>
          <w:sz w:val="20"/>
        </w:rPr>
        <w:t xml:space="preserve">el </w:t>
      </w:r>
      <w:r w:rsidRPr="003C72B7">
        <w:rPr>
          <w:sz w:val="20"/>
        </w:rPr>
        <w:t xml:space="preserve">tradicional recurso seguro de inversión que ofrece el Departamento Federal de Finanzas de la Confederación Suiza.  Esos factores requieren la adopción de una política de inversiones prudente y responsable que permita que la Organización conserve su capital, y la adopción de una política </w:t>
      </w:r>
      <w:r>
        <w:rPr>
          <w:sz w:val="20"/>
        </w:rPr>
        <w:t xml:space="preserve">sensata </w:t>
      </w:r>
      <w:r w:rsidRPr="003C72B7">
        <w:rPr>
          <w:sz w:val="20"/>
        </w:rPr>
        <w:t xml:space="preserve">de cobertura de </w:t>
      </w:r>
      <w:r>
        <w:rPr>
          <w:sz w:val="20"/>
        </w:rPr>
        <w:t xml:space="preserve">los </w:t>
      </w:r>
      <w:r w:rsidRPr="003C72B7">
        <w:rPr>
          <w:sz w:val="20"/>
        </w:rPr>
        <w:t>riesgos</w:t>
      </w:r>
      <w:r>
        <w:rPr>
          <w:sz w:val="20"/>
        </w:rPr>
        <w:t xml:space="preserve"> que entraña</w:t>
      </w:r>
      <w:r w:rsidRPr="003C72B7">
        <w:rPr>
          <w:sz w:val="20"/>
        </w:rPr>
        <w:t xml:space="preserve"> la exposici</w:t>
      </w:r>
      <w:r>
        <w:rPr>
          <w:sz w:val="20"/>
        </w:rPr>
        <w:t>ón</w:t>
      </w:r>
      <w:r w:rsidRPr="003C72B7">
        <w:rPr>
          <w:sz w:val="20"/>
        </w:rPr>
        <w:t xml:space="preserve"> en distintas monedas</w:t>
      </w:r>
      <w:r>
        <w:rPr>
          <w:sz w:val="20"/>
        </w:rPr>
        <w:t xml:space="preserve"> para</w:t>
      </w:r>
      <w:r w:rsidRPr="003C72B7">
        <w:rPr>
          <w:sz w:val="20"/>
        </w:rPr>
        <w:t xml:space="preserve"> </w:t>
      </w:r>
      <w:r>
        <w:rPr>
          <w:sz w:val="20"/>
        </w:rPr>
        <w:t xml:space="preserve">el </w:t>
      </w:r>
      <w:r w:rsidRPr="003C72B7">
        <w:rPr>
          <w:sz w:val="20"/>
        </w:rPr>
        <w:t>pago de las tasas PCT.</w:t>
      </w:r>
    </w:p>
    <w:p w:rsidR="00236E18" w:rsidRPr="003C72B7" w:rsidRDefault="00236E18" w:rsidP="00236E18">
      <w:pPr>
        <w:widowControl w:val="0"/>
        <w:jc w:val="both"/>
        <w:rPr>
          <w:sz w:val="20"/>
        </w:rPr>
      </w:pPr>
    </w:p>
    <w:p w:rsidR="00236E18" w:rsidRPr="003C72B7" w:rsidRDefault="00236E18" w:rsidP="00236E18">
      <w:pPr>
        <w:widowControl w:val="0"/>
        <w:jc w:val="both"/>
        <w:rPr>
          <w:sz w:val="20"/>
        </w:rPr>
      </w:pPr>
      <w:r w:rsidRPr="003C72B7">
        <w:rPr>
          <w:sz w:val="20"/>
        </w:rPr>
        <w:t>En los párrafos 17 a 39 se exponen las principales prioridades programáticas propuestas para el próximo bienio.  Permítanme formular observaciones en cuatro ámbitos</w:t>
      </w:r>
      <w:r>
        <w:rPr>
          <w:sz w:val="20"/>
        </w:rPr>
        <w:t xml:space="preserve"> en particular y con</w:t>
      </w:r>
      <w:r w:rsidRPr="003C72B7">
        <w:rPr>
          <w:sz w:val="20"/>
        </w:rPr>
        <w:t xml:space="preserve"> una perspectiva que va más allá del próximo bienio.</w:t>
      </w:r>
    </w:p>
    <w:p w:rsidR="00236E18" w:rsidRPr="003C72B7" w:rsidRDefault="00236E18" w:rsidP="00236E18">
      <w:pPr>
        <w:widowControl w:val="0"/>
        <w:jc w:val="both"/>
        <w:rPr>
          <w:sz w:val="20"/>
        </w:rPr>
      </w:pPr>
    </w:p>
    <w:p w:rsidR="00236E18" w:rsidRPr="003C72B7" w:rsidRDefault="00236E18" w:rsidP="00236E18">
      <w:pPr>
        <w:widowControl w:val="0"/>
        <w:jc w:val="both"/>
        <w:rPr>
          <w:sz w:val="20"/>
        </w:rPr>
      </w:pPr>
      <w:r w:rsidRPr="003C72B7">
        <w:rPr>
          <w:sz w:val="20"/>
        </w:rPr>
        <w:t>En primer lugar</w:t>
      </w:r>
      <w:r>
        <w:rPr>
          <w:sz w:val="20"/>
        </w:rPr>
        <w:t>,</w:t>
      </w:r>
      <w:r w:rsidRPr="003C72B7">
        <w:rPr>
          <w:sz w:val="20"/>
        </w:rPr>
        <w:t xml:space="preserve"> deseo referirme a la agenda normativa (meta estratégica I) de la Organización.  En los últimos cuatro años, los Estados miembros han adoptado tres acuerdos internacionales, a saber, el Tratado de Beijing sobre Interpretaciones y Ejecuciones Audiovisuales, el </w:t>
      </w:r>
      <w:r w:rsidRPr="003C72B7">
        <w:rPr>
          <w:kern w:val="36"/>
          <w:sz w:val="20"/>
          <w:lang w:eastAsia="es-ES" w:bidi="lo-LA"/>
        </w:rPr>
        <w:t xml:space="preserve">Tratado de Marrakech para facilitar el acceso a las obras publicadas a las personas ciegas, con discapacidad visual o con otras </w:t>
      </w:r>
      <w:r w:rsidRPr="003C72B7">
        <w:rPr>
          <w:kern w:val="36"/>
          <w:sz w:val="20"/>
          <w:lang w:eastAsia="es-ES" w:bidi="lo-LA"/>
        </w:rPr>
        <w:lastRenderedPageBreak/>
        <w:t>dificultades para acceder al texto impreso</w:t>
      </w:r>
      <w:r>
        <w:rPr>
          <w:kern w:val="36"/>
          <w:sz w:val="20"/>
          <w:lang w:eastAsia="es-ES" w:bidi="lo-LA"/>
        </w:rPr>
        <w:t>,</w:t>
      </w:r>
      <w:r w:rsidRPr="003C72B7">
        <w:rPr>
          <w:sz w:val="20"/>
        </w:rPr>
        <w:t xml:space="preserve"> y el Acta de Ginebra del Arreglo de Lisboa relativo a las Denominaciones de Origen y las Indicaciones Geográficas.  El efecto y la legitimidad de dichos acuerdos dependerán de que sean objeto de una ratificación rápida y generalizada entre los Estados miembros.  En la agenda normativa de la Organización sigue habiendo importantes temas por resolver, algunos de ellos desde hace mucho tiempo.  A ello cabe añadir que, en un mundo globalizado y complejo, caracterizado por rapidísimos y fundamentales cambios tecnológicos, y en el </w:t>
      </w:r>
      <w:r>
        <w:rPr>
          <w:sz w:val="20"/>
        </w:rPr>
        <w:t xml:space="preserve">que </w:t>
      </w:r>
      <w:r w:rsidRPr="003C72B7">
        <w:rPr>
          <w:sz w:val="20"/>
        </w:rPr>
        <w:t xml:space="preserve">la propiedad intelectual desempeña una función cada vez más importante, ha llegado el momento de iniciar un diálogo sobre la futura agenda normativa de la Organización como foro multilateral de elaboración de la política internacional de propiedad intelectual.  Esas cuestiones y los interrogantes que plantean incumben a los Estados miembros.  </w:t>
      </w:r>
      <w:r>
        <w:rPr>
          <w:sz w:val="20"/>
        </w:rPr>
        <w:t>Y e</w:t>
      </w:r>
      <w:r w:rsidRPr="003C72B7">
        <w:rPr>
          <w:sz w:val="20"/>
        </w:rPr>
        <w:t>xigen compromiso con el multilateralismo, determinación y voluntad adecuada por parte de dichos Estados.  A falta de ello, nuestro marco multilateral permanecerá estancado y sin progreso</w:t>
      </w:r>
      <w:r>
        <w:rPr>
          <w:sz w:val="20"/>
        </w:rPr>
        <w:t>s</w:t>
      </w:r>
      <w:r w:rsidRPr="003C72B7">
        <w:rPr>
          <w:sz w:val="20"/>
        </w:rPr>
        <w:t>.</w:t>
      </w:r>
    </w:p>
    <w:p w:rsidR="00236E18" w:rsidRPr="003C72B7" w:rsidRDefault="00236E18" w:rsidP="00236E18">
      <w:pPr>
        <w:widowControl w:val="0"/>
        <w:jc w:val="both"/>
        <w:rPr>
          <w:sz w:val="20"/>
        </w:rPr>
      </w:pPr>
    </w:p>
    <w:p w:rsidR="00236E18" w:rsidRPr="003C72B7" w:rsidRDefault="00236E18" w:rsidP="00236E18">
      <w:pPr>
        <w:widowControl w:val="0"/>
        <w:jc w:val="both"/>
        <w:rPr>
          <w:sz w:val="20"/>
        </w:rPr>
      </w:pPr>
      <w:r w:rsidRPr="003C72B7">
        <w:rPr>
          <w:sz w:val="20"/>
        </w:rPr>
        <w:t xml:space="preserve">El segundo ámbito al que deseo referirme es el de los sistemas mundiales de P.I. (meta estratégica II).  Esos sistemas constituyen la base de los ingresos de la Organización y representan cerca del 95% de sus ingresos totales.  La composición de dichos sistemas, en particular, </w:t>
      </w:r>
      <w:r>
        <w:rPr>
          <w:sz w:val="20"/>
        </w:rPr>
        <w:t xml:space="preserve">la </w:t>
      </w:r>
      <w:r w:rsidRPr="003C72B7">
        <w:rPr>
          <w:sz w:val="20"/>
        </w:rPr>
        <w:t>de los sistemas de Madrid y de La Haya, es hoy objeto de una rápida expansión geográfica que parte de una base relativamente limitada (</w:t>
      </w:r>
      <w:r>
        <w:rPr>
          <w:sz w:val="20"/>
        </w:rPr>
        <w:t xml:space="preserve">hay </w:t>
      </w:r>
      <w:r w:rsidRPr="003C72B7">
        <w:rPr>
          <w:sz w:val="20"/>
        </w:rPr>
        <w:t>en la actualidad, 95 Partes Contratantes del Sistema de Madrid y 49 Partes Contratantes de la última Acta del Sistema de La Haya).  En aras de la legitimidad y la sostenibilidad de dichos sistemas, es importante que sigan ampliándose y dando cabida a una participación geográfica cada vez mayor.  También conviene que sigan modernizándose, labor de la que se ocupan varios grupos de trabajo de los Estados miembros constituidos en virtud de los respectivos tratados.</w:t>
      </w:r>
    </w:p>
    <w:p w:rsidR="00236E18" w:rsidRPr="003C72B7" w:rsidRDefault="00236E18" w:rsidP="00236E18">
      <w:pPr>
        <w:widowControl w:val="0"/>
        <w:jc w:val="both"/>
        <w:rPr>
          <w:sz w:val="20"/>
        </w:rPr>
      </w:pPr>
    </w:p>
    <w:p w:rsidR="00236E18" w:rsidRPr="003C72B7" w:rsidRDefault="00236E18" w:rsidP="00236E18">
      <w:pPr>
        <w:widowControl w:val="0"/>
        <w:jc w:val="both"/>
        <w:rPr>
          <w:sz w:val="20"/>
        </w:rPr>
      </w:pPr>
      <w:r w:rsidRPr="003C72B7">
        <w:rPr>
          <w:sz w:val="20"/>
        </w:rPr>
        <w:t>En tercer lugar, deseo destacar la vasta gama de plataformas de tecnologías de la información</w:t>
      </w:r>
      <w:r>
        <w:rPr>
          <w:sz w:val="20"/>
        </w:rPr>
        <w:t xml:space="preserve"> (T.I.)</w:t>
      </w:r>
      <w:r w:rsidRPr="003C72B7">
        <w:rPr>
          <w:sz w:val="20"/>
        </w:rPr>
        <w:t xml:space="preserve"> que gestiona la Organización (meta estratégica IV) y que sustentan el funcionamiento del sistema mundial de propiedad intelectual.  Enormes son los progresos que se han realizado en este ámbito en los últimos años.  </w:t>
      </w:r>
      <w:r>
        <w:rPr>
          <w:sz w:val="20"/>
        </w:rPr>
        <w:t>L</w:t>
      </w:r>
      <w:r w:rsidRPr="003C72B7">
        <w:rPr>
          <w:sz w:val="20"/>
        </w:rPr>
        <w:t xml:space="preserve">as plataformas de T.I. del PCT, el Sistema de Madrid y el Sistema de La Haya, a las que vienen a añadirse las bases de datos mundiales sobre P.I. (PATENTSCOPE, Base Mundial de Datos sobre Marcas y Base Mundial de Datos sobre Diseños) además de plataformas como el Servicio de Acceso Digital (DAS), WIPO CASE (Acceso Centralizado a la Búsqueda y el Examen) e IPAS (Sistema de Automatización de la Propiedad Industrial), utilizado en más de 80 países, aportan muchos de los elementos que hacen posible una verdadera infraestructura mundial de P.I.  Todas esas plataformas son objeto de una utilización generalizada en el mundo desarrollado y el mundo en desarrollo y en ellas participan comunidades muy diversas, a saber, oficinas de P.I., industria, ONG y el público en general.  Confiamos en </w:t>
      </w:r>
      <w:r>
        <w:rPr>
          <w:sz w:val="20"/>
        </w:rPr>
        <w:t xml:space="preserve">seguir avanzando </w:t>
      </w:r>
      <w:r w:rsidRPr="003C72B7">
        <w:rPr>
          <w:sz w:val="20"/>
        </w:rPr>
        <w:t>de modo que dichas plataformas formen parte de una plataf</w:t>
      </w:r>
      <w:r>
        <w:rPr>
          <w:sz w:val="20"/>
        </w:rPr>
        <w:t>orma mundial integrada de P.I.</w:t>
      </w:r>
    </w:p>
    <w:p w:rsidR="00236E18" w:rsidRPr="003C72B7" w:rsidRDefault="00236E18" w:rsidP="00236E18">
      <w:pPr>
        <w:widowControl w:val="0"/>
        <w:jc w:val="both"/>
        <w:rPr>
          <w:sz w:val="20"/>
        </w:rPr>
      </w:pPr>
    </w:p>
    <w:p w:rsidR="00236E18" w:rsidRPr="003C72B7" w:rsidRDefault="00236E18" w:rsidP="00236E18">
      <w:pPr>
        <w:widowControl w:val="0"/>
        <w:jc w:val="both"/>
        <w:rPr>
          <w:sz w:val="20"/>
        </w:rPr>
      </w:pPr>
      <w:r w:rsidRPr="003C72B7">
        <w:rPr>
          <w:sz w:val="20"/>
        </w:rPr>
        <w:t xml:space="preserve">Por último, cabe </w:t>
      </w:r>
      <w:r>
        <w:rPr>
          <w:sz w:val="20"/>
        </w:rPr>
        <w:t xml:space="preserve">mencionar </w:t>
      </w:r>
      <w:r w:rsidRPr="003C72B7">
        <w:rPr>
          <w:sz w:val="20"/>
        </w:rPr>
        <w:t xml:space="preserve">los </w:t>
      </w:r>
      <w:r>
        <w:rPr>
          <w:sz w:val="20"/>
        </w:rPr>
        <w:t xml:space="preserve">vastos </w:t>
      </w:r>
      <w:r w:rsidRPr="003C72B7">
        <w:rPr>
          <w:sz w:val="20"/>
        </w:rPr>
        <w:t>programas que dedica la Organización al desarrollo.  A instancias de los Estados miembros, el desarrollo ha pasado a incorporarse en todas las metas estratégicas sustantivas de la Organización.  Los programas que se dedican exclusivamente al desarrollo, concretamente, las oficinas regionales</w:t>
      </w:r>
      <w:r>
        <w:rPr>
          <w:sz w:val="20"/>
        </w:rPr>
        <w:t xml:space="preserve"> en la sede</w:t>
      </w:r>
      <w:r w:rsidRPr="003C72B7">
        <w:rPr>
          <w:sz w:val="20"/>
        </w:rPr>
        <w:t xml:space="preserve">, la Academia y la coordinación de la </w:t>
      </w:r>
      <w:r w:rsidRPr="003C72B7">
        <w:rPr>
          <w:sz w:val="20"/>
          <w:szCs w:val="24"/>
        </w:rPr>
        <w:t>Agenda para el Desarrollo</w:t>
      </w:r>
      <w:r w:rsidRPr="003C72B7">
        <w:rPr>
          <w:sz w:val="20"/>
        </w:rPr>
        <w:t>, tienen hoy que responder a desafíos cada vez mayores para responder al aumento de la demanda de servicios, consecuencia natural de la mayor importancia que ha adquirido la propiedad intelectual en la economía.  Parte de la respuesta a ese desafío</w:t>
      </w:r>
      <w:r>
        <w:rPr>
          <w:sz w:val="20"/>
        </w:rPr>
        <w:t xml:space="preserve">, en lo que seguimos esforzándonos, </w:t>
      </w:r>
      <w:r w:rsidRPr="003C72B7">
        <w:rPr>
          <w:sz w:val="20"/>
        </w:rPr>
        <w:t>es ser más coherente</w:t>
      </w:r>
      <w:r>
        <w:rPr>
          <w:sz w:val="20"/>
        </w:rPr>
        <w:t>s</w:t>
      </w:r>
      <w:r w:rsidRPr="003C72B7">
        <w:rPr>
          <w:sz w:val="20"/>
        </w:rPr>
        <w:t xml:space="preserve"> en la atribución de responsabilidades</w:t>
      </w:r>
      <w:r>
        <w:rPr>
          <w:sz w:val="20"/>
        </w:rPr>
        <w:t xml:space="preserve"> para la creación de capacidad</w:t>
      </w:r>
      <w:r w:rsidRPr="003C72B7">
        <w:rPr>
          <w:sz w:val="20"/>
        </w:rPr>
        <w:t>, cuestión que hoy impregna todo el programa de la Organización.</w:t>
      </w:r>
    </w:p>
    <w:p w:rsidR="00236E18" w:rsidRPr="003C72B7" w:rsidRDefault="00236E18" w:rsidP="00236E18">
      <w:pPr>
        <w:widowControl w:val="0"/>
        <w:jc w:val="both"/>
        <w:rPr>
          <w:sz w:val="20"/>
        </w:rPr>
      </w:pPr>
    </w:p>
    <w:p w:rsidR="00236E18" w:rsidRDefault="00236E18" w:rsidP="00236E18">
      <w:pPr>
        <w:widowControl w:val="0"/>
        <w:jc w:val="both"/>
        <w:rPr>
          <w:sz w:val="20"/>
        </w:rPr>
      </w:pPr>
    </w:p>
    <w:p w:rsidR="00236E18" w:rsidRDefault="00236E18" w:rsidP="00236E18">
      <w:pPr>
        <w:widowControl w:val="0"/>
        <w:jc w:val="both"/>
        <w:rPr>
          <w:sz w:val="20"/>
        </w:rPr>
      </w:pPr>
    </w:p>
    <w:p w:rsidR="00236E18" w:rsidRPr="003C72B7" w:rsidRDefault="00236E18" w:rsidP="00236E18">
      <w:pPr>
        <w:widowControl w:val="0"/>
        <w:jc w:val="both"/>
        <w:rPr>
          <w:sz w:val="20"/>
        </w:rPr>
      </w:pPr>
    </w:p>
    <w:p w:rsidR="00236E18" w:rsidRPr="003C72B7" w:rsidRDefault="00236E18" w:rsidP="00236E18">
      <w:pPr>
        <w:widowControl w:val="0"/>
        <w:ind w:left="6237"/>
        <w:jc w:val="both"/>
        <w:rPr>
          <w:sz w:val="20"/>
        </w:rPr>
      </w:pPr>
      <w:r w:rsidRPr="003C72B7">
        <w:rPr>
          <w:sz w:val="20"/>
        </w:rPr>
        <w:t xml:space="preserve">Francis </w:t>
      </w:r>
      <w:proofErr w:type="spellStart"/>
      <w:r w:rsidRPr="003C72B7">
        <w:rPr>
          <w:sz w:val="20"/>
        </w:rPr>
        <w:t>Gurry</w:t>
      </w:r>
      <w:proofErr w:type="spellEnd"/>
    </w:p>
    <w:p w:rsidR="00236E18" w:rsidRPr="003C72B7" w:rsidRDefault="00236E18" w:rsidP="00236E18">
      <w:pPr>
        <w:widowControl w:val="0"/>
        <w:ind w:left="6237"/>
        <w:jc w:val="both"/>
        <w:rPr>
          <w:sz w:val="20"/>
        </w:rPr>
      </w:pPr>
      <w:r w:rsidRPr="003C72B7">
        <w:rPr>
          <w:sz w:val="20"/>
        </w:rPr>
        <w:t>Director General</w:t>
      </w:r>
    </w:p>
    <w:p w:rsidR="00236E18" w:rsidRPr="00A94E7D" w:rsidRDefault="00236E18" w:rsidP="00236E18">
      <w:pPr>
        <w:rPr>
          <w:highlight w:val="lightGray"/>
        </w:rPr>
      </w:pPr>
      <w:r w:rsidRPr="00A94E7D">
        <w:rPr>
          <w:highlight w:val="lightGray"/>
        </w:rPr>
        <w:br w:type="page"/>
      </w:r>
    </w:p>
    <w:p w:rsidR="00236E18" w:rsidRPr="00A94E7D" w:rsidRDefault="00236E18" w:rsidP="00236E18">
      <w:pPr>
        <w:pStyle w:val="Heading1"/>
        <w:keepLines/>
        <w:rPr>
          <w:szCs w:val="20"/>
        </w:rPr>
      </w:pPr>
      <w:bookmarkStart w:id="9" w:name="_Toc367350562"/>
      <w:bookmarkStart w:id="10" w:name="_Toc419283233"/>
      <w:bookmarkStart w:id="11" w:name="_Toc431573532"/>
      <w:bookmarkStart w:id="12" w:name="_Toc431573932"/>
      <w:r w:rsidRPr="00A94E7D">
        <w:rPr>
          <w:szCs w:val="20"/>
        </w:rPr>
        <w:lastRenderedPageBreak/>
        <w:t>I.</w:t>
      </w:r>
      <w:r w:rsidRPr="00A94E7D">
        <w:rPr>
          <w:szCs w:val="20"/>
        </w:rPr>
        <w:tab/>
      </w:r>
      <w:bookmarkEnd w:id="9"/>
      <w:bookmarkEnd w:id="10"/>
      <w:r w:rsidRPr="00A94E7D">
        <w:rPr>
          <w:szCs w:val="20"/>
        </w:rPr>
        <w:t>PANORAMA FINANCIERO Y DE RESULTADOS</w:t>
      </w:r>
      <w:bookmarkEnd w:id="11"/>
      <w:bookmarkEnd w:id="12"/>
    </w:p>
    <w:p w:rsidR="00236E18" w:rsidRPr="00362498" w:rsidRDefault="00236E18" w:rsidP="00236E18">
      <w:pPr>
        <w:widowControl w:val="0"/>
        <w:jc w:val="both"/>
        <w:rPr>
          <w:sz w:val="20"/>
        </w:rPr>
      </w:pPr>
    </w:p>
    <w:p w:rsidR="00236E18" w:rsidRPr="00362498" w:rsidRDefault="00236E18" w:rsidP="00236E18">
      <w:pPr>
        <w:widowControl w:val="0"/>
        <w:jc w:val="both"/>
        <w:rPr>
          <w:sz w:val="20"/>
        </w:rPr>
      </w:pPr>
    </w:p>
    <w:p w:rsidR="00236E18" w:rsidRPr="00362498" w:rsidRDefault="00236E18" w:rsidP="00236E18">
      <w:pPr>
        <w:pStyle w:val="ListParagraph"/>
        <w:widowControl w:val="0"/>
        <w:numPr>
          <w:ilvl w:val="0"/>
          <w:numId w:val="5"/>
        </w:numPr>
        <w:tabs>
          <w:tab w:val="left" w:pos="567"/>
        </w:tabs>
        <w:ind w:left="0" w:firstLine="0"/>
        <w:jc w:val="both"/>
        <w:rPr>
          <w:rFonts w:ascii="Arial" w:hAnsi="Arial" w:cs="Arial"/>
          <w:bCs/>
          <w:sz w:val="20"/>
          <w:lang w:val="es-ES"/>
        </w:rPr>
      </w:pPr>
      <w:r w:rsidRPr="00362498">
        <w:rPr>
          <w:rFonts w:ascii="Arial" w:hAnsi="Arial"/>
          <w:sz w:val="20"/>
          <w:lang w:val="es-ES"/>
        </w:rPr>
        <w:t xml:space="preserve">En el presente presupuesto por programas se ofrece la planificación para el bienio 2016/17 orientada por las aportaciones recibidas de los Estados miembros.  En el cuadro 1 que figura a continuación se expone un panorama general de los principales parámetros de planificación financiera para </w:t>
      </w:r>
      <w:r w:rsidRPr="00362498">
        <w:rPr>
          <w:rFonts w:ascii="Arial" w:hAnsi="Arial" w:cs="Arial"/>
          <w:sz w:val="20"/>
          <w:lang w:val="es-ES"/>
        </w:rPr>
        <w:t xml:space="preserve">2016/17. </w:t>
      </w:r>
    </w:p>
    <w:p w:rsidR="00236E18" w:rsidRPr="00362498" w:rsidRDefault="00236E18" w:rsidP="00236E18">
      <w:pPr>
        <w:widowControl w:val="0"/>
        <w:jc w:val="both"/>
        <w:rPr>
          <w:bCs/>
          <w:sz w:val="20"/>
        </w:rPr>
      </w:pPr>
    </w:p>
    <w:p w:rsidR="00236E18" w:rsidRPr="00316A51" w:rsidRDefault="00236E18" w:rsidP="00236E18">
      <w:pPr>
        <w:pStyle w:val="ListParagraph"/>
        <w:widowControl w:val="0"/>
        <w:numPr>
          <w:ilvl w:val="0"/>
          <w:numId w:val="5"/>
        </w:numPr>
        <w:tabs>
          <w:tab w:val="left" w:pos="567"/>
        </w:tabs>
        <w:ind w:left="0" w:firstLine="0"/>
        <w:jc w:val="both"/>
        <w:rPr>
          <w:rFonts w:ascii="Arial" w:hAnsi="Arial" w:cs="Arial"/>
          <w:bCs/>
          <w:sz w:val="20"/>
          <w:lang w:val="es-ES"/>
        </w:rPr>
      </w:pPr>
      <w:r w:rsidRPr="00316A51">
        <w:rPr>
          <w:rFonts w:ascii="Arial" w:hAnsi="Arial" w:cs="Arial"/>
          <w:sz w:val="20"/>
          <w:lang w:val="es-ES"/>
        </w:rPr>
        <w:t xml:space="preserve">Se calcula que los ingresos del bienio 2016/17 </w:t>
      </w:r>
      <w:r>
        <w:rPr>
          <w:rFonts w:ascii="Arial" w:hAnsi="Arial" w:cs="Arial"/>
          <w:sz w:val="20"/>
          <w:lang w:val="es-ES"/>
        </w:rPr>
        <w:t>ascenderán a</w:t>
      </w:r>
      <w:r w:rsidRPr="00316A51">
        <w:rPr>
          <w:rFonts w:ascii="Arial" w:hAnsi="Arial" w:cs="Arial"/>
          <w:sz w:val="20"/>
          <w:lang w:val="es-ES"/>
        </w:rPr>
        <w:t xml:space="preserve"> 756,3 millones de francos suizos y la propuesta de gast</w:t>
      </w:r>
      <w:r>
        <w:rPr>
          <w:rFonts w:ascii="Arial" w:hAnsi="Arial" w:cs="Arial"/>
          <w:sz w:val="20"/>
          <w:lang w:val="es-ES"/>
        </w:rPr>
        <w:t>o presupuestado para el bienio a</w:t>
      </w:r>
      <w:r w:rsidRPr="00316A51">
        <w:rPr>
          <w:rFonts w:ascii="Arial" w:hAnsi="Arial" w:cs="Arial"/>
          <w:sz w:val="20"/>
          <w:lang w:val="es-ES"/>
        </w:rPr>
        <w:t xml:space="preserve"> </w:t>
      </w:r>
      <w:r w:rsidRPr="00316A51">
        <w:rPr>
          <w:rFonts w:ascii="Arial" w:hAnsi="Arial" w:cs="Arial"/>
          <w:bCs/>
          <w:sz w:val="20"/>
          <w:lang w:val="es-ES"/>
        </w:rPr>
        <w:t>707,0 millones de francos suizos.  Tras el cálculo de los ajustes efectuados en los ingresos y los gastos con arreglo a las Normas Internacionales de Contabilidad del Sector Público (IPSAS), se prevé un superávit de aproximadamente 20,8 millones de francos suizos al final del bienio.</w:t>
      </w:r>
      <w:r>
        <w:rPr>
          <w:rFonts w:ascii="Arial" w:hAnsi="Arial" w:cs="Arial"/>
          <w:bCs/>
          <w:sz w:val="20"/>
          <w:lang w:val="es-ES"/>
        </w:rPr>
        <w:t xml:space="preserve"> </w:t>
      </w:r>
    </w:p>
    <w:p w:rsidR="00236E18" w:rsidRPr="00A94E7D" w:rsidRDefault="00236E18" w:rsidP="00236E18">
      <w:pPr>
        <w:pStyle w:val="Body1"/>
        <w:jc w:val="center"/>
        <w:rPr>
          <w:rFonts w:ascii="Arial" w:hAnsi="Arial" w:cs="Arial"/>
          <w:color w:val="auto"/>
          <w:sz w:val="20"/>
          <w:lang w:val="es-ES"/>
        </w:rPr>
      </w:pPr>
    </w:p>
    <w:p w:rsidR="00236E18" w:rsidRPr="00A94E7D" w:rsidRDefault="00236E18" w:rsidP="00236E18">
      <w:pPr>
        <w:pStyle w:val="Body1"/>
        <w:jc w:val="center"/>
        <w:rPr>
          <w:rFonts w:ascii="Arial" w:hAnsi="Arial" w:cs="Arial"/>
          <w:b/>
          <w:color w:val="auto"/>
          <w:sz w:val="20"/>
          <w:lang w:val="es-ES"/>
        </w:rPr>
      </w:pPr>
      <w:r w:rsidRPr="00A94E7D">
        <w:rPr>
          <w:rFonts w:ascii="Arial" w:hAnsi="Arial" w:cs="Arial"/>
          <w:b/>
          <w:color w:val="auto"/>
          <w:sz w:val="20"/>
          <w:lang w:val="es-ES"/>
        </w:rPr>
        <w:t>Cuadro 1.  Propuesta de presupuesto para 2016/17 y principales parámetros de planificación</w:t>
      </w:r>
    </w:p>
    <w:p w:rsidR="00236E18" w:rsidRPr="00A94E7D" w:rsidRDefault="00236E18" w:rsidP="00236E18">
      <w:pPr>
        <w:pStyle w:val="Body1"/>
        <w:jc w:val="center"/>
        <w:rPr>
          <w:rFonts w:ascii="Arial" w:hAnsi="Arial" w:cs="Arial"/>
          <w:i/>
          <w:color w:val="auto"/>
          <w:sz w:val="20"/>
          <w:lang w:val="es-ES"/>
        </w:rPr>
      </w:pPr>
      <w:r w:rsidRPr="00A94E7D">
        <w:rPr>
          <w:rFonts w:ascii="Arial" w:hAnsi="Arial" w:cs="Arial"/>
          <w:i/>
          <w:color w:val="auto"/>
          <w:sz w:val="20"/>
          <w:lang w:val="es-ES"/>
        </w:rPr>
        <w:t>(</w:t>
      </w:r>
      <w:proofErr w:type="gramStart"/>
      <w:r w:rsidRPr="00A94E7D">
        <w:rPr>
          <w:rFonts w:ascii="Arial" w:hAnsi="Arial" w:cs="Arial"/>
          <w:i/>
          <w:color w:val="auto"/>
          <w:sz w:val="20"/>
          <w:lang w:val="es-ES"/>
        </w:rPr>
        <w:t>en</w:t>
      </w:r>
      <w:proofErr w:type="gramEnd"/>
      <w:r w:rsidRPr="00A94E7D">
        <w:rPr>
          <w:rFonts w:ascii="Arial" w:hAnsi="Arial" w:cs="Arial"/>
          <w:i/>
          <w:color w:val="auto"/>
          <w:sz w:val="20"/>
          <w:lang w:val="es-ES"/>
        </w:rPr>
        <w:t xml:space="preserve"> millones de francos suizos)</w:t>
      </w:r>
    </w:p>
    <w:p w:rsidR="00236E18" w:rsidRPr="00A94E7D" w:rsidRDefault="00236E18" w:rsidP="00236E18">
      <w:pPr>
        <w:pStyle w:val="Body1"/>
        <w:jc w:val="center"/>
        <w:rPr>
          <w:rFonts w:ascii="Arial" w:hAnsi="Arial" w:cs="Arial"/>
          <w:color w:val="auto"/>
          <w:sz w:val="20"/>
          <w:lang w:val="es-ES"/>
        </w:rPr>
      </w:pPr>
    </w:p>
    <w:p w:rsidR="00236E18" w:rsidRPr="00A94E7D" w:rsidRDefault="00236E18" w:rsidP="00236E18">
      <w:pPr>
        <w:pStyle w:val="Body1"/>
        <w:jc w:val="center"/>
        <w:rPr>
          <w:color w:val="auto"/>
          <w:lang w:val="es-ES"/>
        </w:rPr>
      </w:pPr>
      <w:r w:rsidRPr="00DA0EB0">
        <w:rPr>
          <w:noProof/>
        </w:rPr>
        <w:drawing>
          <wp:inline distT="0" distB="0" distL="0" distR="0" wp14:anchorId="11DD9B5C" wp14:editId="7D9DC4C7">
            <wp:extent cx="4230370" cy="244094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0370" cy="2440940"/>
                    </a:xfrm>
                    <a:prstGeom prst="rect">
                      <a:avLst/>
                    </a:prstGeom>
                    <a:noFill/>
                    <a:ln>
                      <a:noFill/>
                    </a:ln>
                  </pic:spPr>
                </pic:pic>
              </a:graphicData>
            </a:graphic>
          </wp:inline>
        </w:drawing>
      </w:r>
    </w:p>
    <w:p w:rsidR="00236E18" w:rsidRPr="00A94E7D" w:rsidRDefault="00236E18" w:rsidP="00236E18">
      <w:pPr>
        <w:pStyle w:val="Body1"/>
        <w:jc w:val="center"/>
        <w:rPr>
          <w:rFonts w:ascii="Arial" w:hAnsi="Arial" w:cs="Arial"/>
          <w:color w:val="auto"/>
          <w:sz w:val="20"/>
          <w:lang w:val="es-ES"/>
        </w:rPr>
      </w:pPr>
    </w:p>
    <w:p w:rsidR="00236E18" w:rsidRPr="00A94E7D" w:rsidRDefault="00236E18" w:rsidP="00236E18">
      <w:pPr>
        <w:pStyle w:val="Body1"/>
        <w:jc w:val="center"/>
        <w:rPr>
          <w:rFonts w:ascii="Arial" w:hAnsi="Arial" w:cs="Arial"/>
          <w:color w:val="auto"/>
          <w:sz w:val="20"/>
          <w:lang w:val="es-ES"/>
        </w:rPr>
      </w:pPr>
    </w:p>
    <w:p w:rsidR="00236E18" w:rsidRPr="00A94E7D" w:rsidRDefault="00236E18" w:rsidP="00236E18">
      <w:pPr>
        <w:pStyle w:val="StyleHeading3ComplexItalic"/>
        <w:tabs>
          <w:tab w:val="clear" w:pos="1985"/>
          <w:tab w:val="left" w:pos="1843"/>
        </w:tabs>
        <w:ind w:left="1843" w:hanging="1843"/>
        <w:rPr>
          <w:sz w:val="20"/>
          <w:lang w:val="es-ES"/>
        </w:rPr>
      </w:pPr>
      <w:bookmarkStart w:id="13" w:name="_Toc419540398"/>
      <w:bookmarkStart w:id="14" w:name="_Toc431573533"/>
      <w:bookmarkStart w:id="15" w:name="_Toc431573933"/>
      <w:r w:rsidRPr="00A94E7D">
        <w:rPr>
          <w:sz w:val="20"/>
          <w:lang w:val="es-ES"/>
        </w:rPr>
        <w:t>INGRESOS</w:t>
      </w:r>
      <w:bookmarkEnd w:id="13"/>
      <w:bookmarkEnd w:id="14"/>
      <w:bookmarkEnd w:id="15"/>
    </w:p>
    <w:p w:rsidR="00236E18" w:rsidRPr="00362498" w:rsidRDefault="00236E18" w:rsidP="00236E18">
      <w:pPr>
        <w:pStyle w:val="ListParagraph"/>
        <w:widowControl w:val="0"/>
        <w:ind w:left="0"/>
        <w:rPr>
          <w:rFonts w:ascii="Arial" w:hAnsi="Arial" w:cs="Arial"/>
          <w:sz w:val="20"/>
          <w:lang w:val="es-ES"/>
        </w:rPr>
      </w:pPr>
    </w:p>
    <w:p w:rsidR="00236E18" w:rsidRPr="00316A51" w:rsidRDefault="00236E18" w:rsidP="00236E18">
      <w:pPr>
        <w:pStyle w:val="ListParagraph"/>
        <w:widowControl w:val="0"/>
        <w:numPr>
          <w:ilvl w:val="0"/>
          <w:numId w:val="5"/>
        </w:numPr>
        <w:tabs>
          <w:tab w:val="left" w:pos="567"/>
        </w:tabs>
        <w:ind w:left="0" w:firstLine="0"/>
        <w:jc w:val="both"/>
        <w:rPr>
          <w:rFonts w:ascii="Arial" w:hAnsi="Arial" w:cs="Arial"/>
          <w:bCs/>
          <w:sz w:val="20"/>
          <w:lang w:val="es-ES"/>
        </w:rPr>
      </w:pPr>
      <w:r w:rsidRPr="00316A51">
        <w:rPr>
          <w:rFonts w:ascii="Arial" w:hAnsi="Arial" w:cs="Arial"/>
          <w:bCs/>
          <w:sz w:val="20"/>
          <w:lang w:val="es-ES"/>
        </w:rPr>
        <w:t>Está previsto que siga aumentando la demanda de servicios de registro internacional de la Organización.  Los parámetros de planificación del volumen de registros para el presupuesto 2016/17 </w:t>
      </w:r>
      <w:r>
        <w:rPr>
          <w:rFonts w:ascii="Arial" w:hAnsi="Arial" w:cs="Arial"/>
          <w:bCs/>
          <w:sz w:val="20"/>
          <w:lang w:val="es-ES"/>
        </w:rPr>
        <w:t>se resumen en el c</w:t>
      </w:r>
      <w:r w:rsidRPr="00316A51">
        <w:rPr>
          <w:rFonts w:ascii="Arial" w:hAnsi="Arial" w:cs="Arial"/>
          <w:bCs/>
          <w:sz w:val="20"/>
          <w:lang w:val="es-ES"/>
        </w:rPr>
        <w:t>uadro 2</w:t>
      </w:r>
      <w:r w:rsidRPr="00316A51">
        <w:rPr>
          <w:rFonts w:ascii="Arial" w:hAnsi="Arial"/>
          <w:sz w:val="20"/>
          <w:lang w:val="es-ES"/>
        </w:rPr>
        <w:t xml:space="preserve">.  </w:t>
      </w:r>
    </w:p>
    <w:p w:rsidR="00236E18" w:rsidRPr="00362498" w:rsidRDefault="00236E18" w:rsidP="00236E18">
      <w:pPr>
        <w:tabs>
          <w:tab w:val="left" w:pos="567"/>
        </w:tabs>
        <w:jc w:val="both"/>
        <w:rPr>
          <w:bCs/>
          <w:sz w:val="20"/>
        </w:rPr>
      </w:pPr>
    </w:p>
    <w:p w:rsidR="00236E18" w:rsidRPr="00433F95" w:rsidRDefault="00236E18" w:rsidP="00236E18">
      <w:pPr>
        <w:pStyle w:val="ListParagraph"/>
        <w:widowControl w:val="0"/>
        <w:numPr>
          <w:ilvl w:val="0"/>
          <w:numId w:val="5"/>
        </w:numPr>
        <w:tabs>
          <w:tab w:val="left" w:pos="567"/>
        </w:tabs>
        <w:ind w:left="0" w:firstLine="0"/>
        <w:jc w:val="both"/>
        <w:rPr>
          <w:rFonts w:ascii="Arial" w:hAnsi="Arial" w:cs="Arial"/>
          <w:bCs/>
          <w:sz w:val="20"/>
          <w:lang w:val="es-ES"/>
        </w:rPr>
      </w:pPr>
      <w:r w:rsidRPr="00433F95">
        <w:rPr>
          <w:rFonts w:ascii="Arial" w:hAnsi="Arial"/>
          <w:sz w:val="20"/>
          <w:lang w:val="es-ES"/>
        </w:rPr>
        <w:t>Las previsiones para 2016/17 se establecen, al igual que en los bienios precedentes, teniendo en cuenta las previsiones del Economista Jefe</w:t>
      </w:r>
      <w:r w:rsidRPr="00362498">
        <w:rPr>
          <w:rStyle w:val="FootnoteReference"/>
          <w:rFonts w:ascii="Arial" w:hAnsi="Arial"/>
          <w:lang w:val="es-ES"/>
        </w:rPr>
        <w:footnoteReference w:id="2"/>
      </w:r>
      <w:r w:rsidRPr="00433F95">
        <w:rPr>
          <w:rFonts w:ascii="Arial" w:hAnsi="Arial"/>
          <w:sz w:val="20"/>
          <w:lang w:val="es-ES"/>
        </w:rPr>
        <w:t>.  Las cifras de registros de la estimación de base del Economista Jefe sirven de parámetros de planificación para los siste</w:t>
      </w:r>
      <w:r>
        <w:rPr>
          <w:rFonts w:ascii="Arial" w:hAnsi="Arial"/>
          <w:sz w:val="20"/>
          <w:lang w:val="es-ES"/>
        </w:rPr>
        <w:t>mas de registro del PCT y de La Haya</w:t>
      </w:r>
      <w:r w:rsidRPr="00433F95">
        <w:rPr>
          <w:rFonts w:ascii="Arial" w:hAnsi="Arial"/>
          <w:sz w:val="20"/>
          <w:lang w:val="es-ES"/>
        </w:rPr>
        <w:t xml:space="preserve"> en 2016/17.  Las hipótesis de planificación del sistema de registro de Madrid se establecen ligeramente por debajo de la estimación de base prevista por los modelos.  En este cálculo se tienen en cuenta varios factores, entre ellos, las incertidumbres relativas a los volúmenes de solicitudes presentadas </w:t>
      </w:r>
      <w:r>
        <w:rPr>
          <w:rFonts w:ascii="Arial" w:hAnsi="Arial"/>
          <w:sz w:val="20"/>
          <w:lang w:val="es-ES"/>
        </w:rPr>
        <w:t xml:space="preserve">por </w:t>
      </w:r>
      <w:r w:rsidRPr="00433F95">
        <w:rPr>
          <w:rFonts w:ascii="Arial" w:hAnsi="Arial"/>
          <w:sz w:val="20"/>
          <w:lang w:val="es-ES"/>
        </w:rPr>
        <w:t>los nuevos miembros de esos sistemas</w:t>
      </w:r>
      <w:r w:rsidRPr="00433F95">
        <w:rPr>
          <w:rFonts w:ascii="Arial" w:hAnsi="Arial" w:cs="Arial"/>
          <w:bCs/>
          <w:sz w:val="20"/>
          <w:lang w:val="es-ES"/>
        </w:rPr>
        <w:t xml:space="preserve">. </w:t>
      </w:r>
    </w:p>
    <w:p w:rsidR="00236E18" w:rsidRPr="00362498" w:rsidRDefault="00236E18" w:rsidP="00236E18">
      <w:pPr>
        <w:tabs>
          <w:tab w:val="left" w:pos="567"/>
        </w:tabs>
        <w:jc w:val="center"/>
        <w:rPr>
          <w:b/>
          <w:sz w:val="18"/>
          <w:szCs w:val="18"/>
        </w:rPr>
      </w:pPr>
    </w:p>
    <w:p w:rsidR="00236E18" w:rsidRPr="00362498" w:rsidRDefault="00236E18" w:rsidP="00236E18">
      <w:pPr>
        <w:rPr>
          <w:rFonts w:eastAsia="Times New Roman"/>
          <w:b/>
          <w:sz w:val="20"/>
          <w:lang w:eastAsia="en-US"/>
        </w:rPr>
      </w:pPr>
      <w:r w:rsidRPr="00362498">
        <w:rPr>
          <w:b/>
          <w:sz w:val="20"/>
        </w:rPr>
        <w:br w:type="page"/>
      </w:r>
    </w:p>
    <w:p w:rsidR="00236E18" w:rsidRPr="00A94E7D" w:rsidRDefault="00236E18" w:rsidP="00236E18">
      <w:pPr>
        <w:pStyle w:val="BodyText"/>
        <w:jc w:val="center"/>
        <w:rPr>
          <w:b/>
          <w:sz w:val="20"/>
        </w:rPr>
      </w:pPr>
      <w:r w:rsidRPr="00A94E7D">
        <w:rPr>
          <w:b/>
          <w:sz w:val="20"/>
        </w:rPr>
        <w:lastRenderedPageBreak/>
        <w:t>Cuadro 2.  Estimación de la demanda de servicios (volumen de trabajo) en el marco de los Sistemas del PCT, Madrid y La Haya</w:t>
      </w:r>
    </w:p>
    <w:p w:rsidR="00236E18" w:rsidRPr="00362498" w:rsidRDefault="00236E18" w:rsidP="00236E18">
      <w:pPr>
        <w:pStyle w:val="BodyText"/>
        <w:rPr>
          <w:caps/>
        </w:rPr>
      </w:pPr>
      <w:bookmarkStart w:id="16" w:name="_Toc310950754"/>
      <w:bookmarkStart w:id="17" w:name="_Toc367350564"/>
      <w:r>
        <w:rPr>
          <w:noProof/>
          <w:lang w:val="en-US" w:eastAsia="en-US"/>
        </w:rPr>
        <w:drawing>
          <wp:inline distT="0" distB="0" distL="0" distR="0" wp14:anchorId="51EC84D7" wp14:editId="79B110CE">
            <wp:extent cx="5940425" cy="2322858"/>
            <wp:effectExtent l="0" t="0" r="3175" b="1270"/>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2322858"/>
                    </a:xfrm>
                    <a:prstGeom prst="rect">
                      <a:avLst/>
                    </a:prstGeom>
                    <a:noFill/>
                    <a:ln>
                      <a:noFill/>
                    </a:ln>
                  </pic:spPr>
                </pic:pic>
              </a:graphicData>
            </a:graphic>
          </wp:inline>
        </w:drawing>
      </w:r>
    </w:p>
    <w:bookmarkEnd w:id="16"/>
    <w:bookmarkEnd w:id="17"/>
    <w:p w:rsidR="00236E18" w:rsidRPr="00362498" w:rsidRDefault="00236E18" w:rsidP="00236E18">
      <w:pPr>
        <w:jc w:val="both"/>
        <w:rPr>
          <w:sz w:val="20"/>
        </w:rPr>
      </w:pPr>
    </w:p>
    <w:p w:rsidR="00236E18" w:rsidRPr="00362498"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Pr>
          <w:rFonts w:ascii="Arial" w:hAnsi="Arial" w:cs="Arial"/>
          <w:sz w:val="20"/>
          <w:lang w:val="es-ES"/>
        </w:rPr>
        <w:t xml:space="preserve">Los ingresos globales en </w:t>
      </w:r>
      <w:r w:rsidRPr="00362498">
        <w:rPr>
          <w:rFonts w:ascii="Arial" w:hAnsi="Arial" w:cs="Arial"/>
          <w:sz w:val="20"/>
          <w:lang w:val="es-ES"/>
        </w:rPr>
        <w:t xml:space="preserve">2016/17, </w:t>
      </w:r>
      <w:r>
        <w:rPr>
          <w:rFonts w:ascii="Arial" w:hAnsi="Arial" w:cs="Arial"/>
          <w:sz w:val="20"/>
          <w:lang w:val="es-ES"/>
        </w:rPr>
        <w:t>previstos a un nivel de 756,</w:t>
      </w:r>
      <w:r w:rsidRPr="00362498">
        <w:rPr>
          <w:rFonts w:ascii="Arial" w:hAnsi="Arial" w:cs="Arial"/>
          <w:sz w:val="20"/>
          <w:lang w:val="es-ES"/>
        </w:rPr>
        <w:t>3</w:t>
      </w:r>
      <w:r>
        <w:rPr>
          <w:rFonts w:ascii="Arial" w:hAnsi="Arial" w:cs="Arial"/>
          <w:sz w:val="20"/>
          <w:lang w:val="es-ES"/>
        </w:rPr>
        <w:t xml:space="preserve"> millones de francos suizos</w:t>
      </w:r>
      <w:r w:rsidRPr="00362498">
        <w:rPr>
          <w:rFonts w:ascii="Arial" w:hAnsi="Arial" w:cs="Arial"/>
          <w:sz w:val="20"/>
          <w:lang w:val="es-ES"/>
        </w:rPr>
        <w:t xml:space="preserve">, </w:t>
      </w:r>
      <w:r>
        <w:rPr>
          <w:rFonts w:ascii="Arial" w:hAnsi="Arial" w:cs="Arial"/>
          <w:sz w:val="20"/>
          <w:lang w:val="es-ES"/>
        </w:rPr>
        <w:t>representan un aumento del</w:t>
      </w:r>
      <w:r w:rsidRPr="00362498">
        <w:rPr>
          <w:rFonts w:ascii="Arial" w:hAnsi="Arial" w:cs="Arial"/>
          <w:sz w:val="20"/>
          <w:lang w:val="es-ES"/>
        </w:rPr>
        <w:t xml:space="preserve"> 6</w:t>
      </w:r>
      <w:r>
        <w:rPr>
          <w:rFonts w:ascii="Arial" w:hAnsi="Arial" w:cs="Arial"/>
          <w:sz w:val="20"/>
          <w:lang w:val="es-ES"/>
        </w:rPr>
        <w:t xml:space="preserve">,0% en relación con los ingresos presupuestados en </w:t>
      </w:r>
      <w:r w:rsidRPr="00362498">
        <w:rPr>
          <w:rFonts w:ascii="Arial" w:hAnsi="Arial" w:cs="Arial"/>
          <w:sz w:val="20"/>
          <w:lang w:val="es-ES"/>
        </w:rPr>
        <w:t xml:space="preserve">2014/15. </w:t>
      </w:r>
      <w:r>
        <w:rPr>
          <w:rFonts w:ascii="Arial" w:hAnsi="Arial" w:cs="Arial"/>
          <w:sz w:val="20"/>
          <w:lang w:val="es-ES"/>
        </w:rPr>
        <w:t xml:space="preserve"> En comparación con las previsiones de ingresos actualizadas de </w:t>
      </w:r>
      <w:r w:rsidRPr="00362498">
        <w:rPr>
          <w:rFonts w:ascii="Arial" w:hAnsi="Arial" w:cs="Arial"/>
          <w:sz w:val="20"/>
          <w:lang w:val="es-ES"/>
        </w:rPr>
        <w:t>2014/15 (</w:t>
      </w:r>
      <w:r>
        <w:rPr>
          <w:rFonts w:ascii="Arial" w:hAnsi="Arial" w:cs="Arial"/>
          <w:sz w:val="20"/>
          <w:lang w:val="es-ES"/>
        </w:rPr>
        <w:t xml:space="preserve">en abril de 2015) esto representa un aumento del </w:t>
      </w:r>
      <w:r w:rsidRPr="00362498">
        <w:rPr>
          <w:rFonts w:ascii="Arial" w:hAnsi="Arial" w:cs="Arial"/>
          <w:sz w:val="20"/>
          <w:lang w:val="es-ES"/>
        </w:rPr>
        <w:t>2</w:t>
      </w:r>
      <w:r>
        <w:rPr>
          <w:rFonts w:ascii="Arial" w:hAnsi="Arial" w:cs="Arial"/>
          <w:sz w:val="20"/>
          <w:lang w:val="es-ES"/>
        </w:rPr>
        <w:t>,</w:t>
      </w:r>
      <w:r w:rsidRPr="00362498">
        <w:rPr>
          <w:rFonts w:ascii="Arial" w:hAnsi="Arial" w:cs="Arial"/>
          <w:sz w:val="20"/>
          <w:lang w:val="es-ES"/>
        </w:rPr>
        <w:t>1</w:t>
      </w:r>
      <w:r>
        <w:rPr>
          <w:rFonts w:ascii="Arial" w:hAnsi="Arial" w:cs="Arial"/>
          <w:sz w:val="20"/>
          <w:lang w:val="es-ES"/>
        </w:rPr>
        <w:t>%</w:t>
      </w:r>
      <w:r w:rsidRPr="00362498">
        <w:rPr>
          <w:rFonts w:ascii="Arial" w:hAnsi="Arial" w:cs="Arial"/>
          <w:sz w:val="20"/>
          <w:lang w:val="es-ES"/>
        </w:rPr>
        <w:t>.</w:t>
      </w:r>
    </w:p>
    <w:p w:rsidR="00236E18" w:rsidRPr="00362498" w:rsidRDefault="00236E18" w:rsidP="00236E18">
      <w:pPr>
        <w:jc w:val="both"/>
        <w:rPr>
          <w:sz w:val="20"/>
        </w:rPr>
      </w:pPr>
    </w:p>
    <w:p w:rsidR="00236E18" w:rsidRPr="00362498" w:rsidRDefault="00236E18" w:rsidP="00236E18">
      <w:pPr>
        <w:jc w:val="both"/>
        <w:rPr>
          <w:sz w:val="20"/>
        </w:rPr>
      </w:pPr>
    </w:p>
    <w:p w:rsidR="00236E18" w:rsidRPr="00362498" w:rsidRDefault="00236E18" w:rsidP="00236E18">
      <w:pPr>
        <w:keepNext/>
        <w:keepLines/>
        <w:jc w:val="center"/>
        <w:rPr>
          <w:b/>
          <w:sz w:val="20"/>
        </w:rPr>
      </w:pPr>
      <w:r>
        <w:rPr>
          <w:b/>
          <w:sz w:val="20"/>
        </w:rPr>
        <w:t>Cuadro</w:t>
      </w:r>
      <w:r w:rsidRPr="00362498">
        <w:rPr>
          <w:b/>
          <w:sz w:val="20"/>
        </w:rPr>
        <w:t xml:space="preserve"> 3. </w:t>
      </w:r>
      <w:r>
        <w:rPr>
          <w:b/>
          <w:sz w:val="20"/>
        </w:rPr>
        <w:t xml:space="preserve"> Evolución de los ingresos de la Organización de </w:t>
      </w:r>
      <w:r w:rsidRPr="00362498">
        <w:rPr>
          <w:b/>
          <w:sz w:val="20"/>
        </w:rPr>
        <w:t xml:space="preserve">2006/07 </w:t>
      </w:r>
      <w:r>
        <w:rPr>
          <w:b/>
          <w:sz w:val="20"/>
        </w:rPr>
        <w:t xml:space="preserve">a </w:t>
      </w:r>
      <w:r w:rsidRPr="00362498">
        <w:rPr>
          <w:b/>
          <w:sz w:val="20"/>
        </w:rPr>
        <w:t>2016/17</w:t>
      </w:r>
    </w:p>
    <w:p w:rsidR="00236E18" w:rsidRPr="00362498" w:rsidRDefault="00236E18" w:rsidP="00236E18">
      <w:pPr>
        <w:keepNext/>
        <w:keepLines/>
        <w:jc w:val="center"/>
        <w:rPr>
          <w:i/>
          <w:sz w:val="20"/>
        </w:rPr>
      </w:pPr>
      <w:r w:rsidRPr="00362498">
        <w:rPr>
          <w:i/>
          <w:sz w:val="20"/>
        </w:rPr>
        <w:t>(</w:t>
      </w:r>
      <w:proofErr w:type="gramStart"/>
      <w:r w:rsidRPr="00362498">
        <w:rPr>
          <w:i/>
          <w:sz w:val="20"/>
        </w:rPr>
        <w:t>en</w:t>
      </w:r>
      <w:proofErr w:type="gramEnd"/>
      <w:r w:rsidRPr="00362498">
        <w:rPr>
          <w:i/>
          <w:sz w:val="20"/>
        </w:rPr>
        <w:t xml:space="preserve"> millones de francos suizos)</w:t>
      </w:r>
    </w:p>
    <w:p w:rsidR="00236E18" w:rsidRPr="00362498" w:rsidRDefault="00236E18" w:rsidP="00236E18">
      <w:pPr>
        <w:keepNext/>
        <w:keepLines/>
        <w:jc w:val="center"/>
        <w:rPr>
          <w:i/>
          <w:sz w:val="18"/>
          <w:szCs w:val="18"/>
        </w:rPr>
      </w:pPr>
    </w:p>
    <w:p w:rsidR="00236E18" w:rsidRPr="00362498" w:rsidRDefault="00236E18" w:rsidP="00236E18">
      <w:pPr>
        <w:jc w:val="center"/>
        <w:rPr>
          <w:sz w:val="20"/>
        </w:rPr>
      </w:pPr>
      <w:r>
        <w:rPr>
          <w:noProof/>
          <w:lang w:val="en-US" w:eastAsia="en-US"/>
        </w:rPr>
        <w:drawing>
          <wp:inline distT="0" distB="0" distL="0" distR="0" wp14:anchorId="688A69C5" wp14:editId="2108A0BB">
            <wp:extent cx="5940425" cy="2518334"/>
            <wp:effectExtent l="0" t="0" r="3175" b="0"/>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2518334"/>
                    </a:xfrm>
                    <a:prstGeom prst="rect">
                      <a:avLst/>
                    </a:prstGeom>
                    <a:noFill/>
                    <a:ln>
                      <a:noFill/>
                    </a:ln>
                  </pic:spPr>
                </pic:pic>
              </a:graphicData>
            </a:graphic>
          </wp:inline>
        </w:drawing>
      </w:r>
    </w:p>
    <w:p w:rsidR="00236E18" w:rsidRPr="00362498" w:rsidRDefault="00236E18" w:rsidP="00236E18">
      <w:pPr>
        <w:widowControl w:val="0"/>
        <w:shd w:val="clear" w:color="auto" w:fill="FFFFFF"/>
        <w:jc w:val="both"/>
        <w:rPr>
          <w:i/>
          <w:sz w:val="16"/>
          <w:szCs w:val="16"/>
        </w:rPr>
      </w:pPr>
      <w:r w:rsidRPr="00362498">
        <w:rPr>
          <w:i/>
          <w:sz w:val="16"/>
          <w:szCs w:val="16"/>
        </w:rPr>
        <w:t>*Not</w:t>
      </w:r>
      <w:r>
        <w:rPr>
          <w:i/>
          <w:sz w:val="16"/>
          <w:szCs w:val="16"/>
        </w:rPr>
        <w:t>a</w:t>
      </w:r>
      <w:proofErr w:type="gramStart"/>
      <w:r w:rsidRPr="00362498">
        <w:rPr>
          <w:i/>
          <w:sz w:val="16"/>
          <w:szCs w:val="16"/>
        </w:rPr>
        <w:t xml:space="preserve">: </w:t>
      </w:r>
      <w:r>
        <w:rPr>
          <w:i/>
          <w:sz w:val="16"/>
          <w:szCs w:val="16"/>
        </w:rPr>
        <w:t xml:space="preserve"> Ingresos</w:t>
      </w:r>
      <w:proofErr w:type="gramEnd"/>
      <w:r>
        <w:rPr>
          <w:i/>
          <w:sz w:val="16"/>
          <w:szCs w:val="16"/>
        </w:rPr>
        <w:t xml:space="preserve"> en concepto de tasas del Sistema de Lisboa </w:t>
      </w:r>
      <w:r w:rsidRPr="00362498">
        <w:rPr>
          <w:i/>
          <w:sz w:val="16"/>
          <w:szCs w:val="16"/>
        </w:rPr>
        <w:t>(</w:t>
      </w:r>
      <w:r>
        <w:rPr>
          <w:i/>
          <w:sz w:val="16"/>
          <w:szCs w:val="16"/>
        </w:rPr>
        <w:t>estimación presupuestaria de 2014/15</w:t>
      </w:r>
      <w:r w:rsidRPr="00362498">
        <w:rPr>
          <w:i/>
          <w:sz w:val="16"/>
          <w:szCs w:val="16"/>
        </w:rPr>
        <w:t>: 8</w:t>
      </w:r>
      <w:r>
        <w:rPr>
          <w:i/>
          <w:sz w:val="16"/>
          <w:szCs w:val="16"/>
        </w:rPr>
        <w:t>.</w:t>
      </w:r>
      <w:r w:rsidRPr="00362498">
        <w:rPr>
          <w:i/>
          <w:sz w:val="16"/>
          <w:szCs w:val="16"/>
        </w:rPr>
        <w:t xml:space="preserve">000 </w:t>
      </w:r>
      <w:r>
        <w:rPr>
          <w:i/>
          <w:sz w:val="16"/>
          <w:szCs w:val="16"/>
        </w:rPr>
        <w:t>francos suizos</w:t>
      </w:r>
      <w:r w:rsidRPr="00362498">
        <w:rPr>
          <w:i/>
          <w:sz w:val="16"/>
          <w:szCs w:val="16"/>
        </w:rPr>
        <w:t xml:space="preserve">; </w:t>
      </w:r>
      <w:r>
        <w:rPr>
          <w:i/>
          <w:sz w:val="16"/>
          <w:szCs w:val="16"/>
        </w:rPr>
        <w:t xml:space="preserve"> </w:t>
      </w:r>
      <w:r w:rsidRPr="00362498">
        <w:rPr>
          <w:i/>
          <w:sz w:val="16"/>
          <w:szCs w:val="16"/>
        </w:rPr>
        <w:t xml:space="preserve">2016/17: </w:t>
      </w:r>
      <w:r>
        <w:rPr>
          <w:i/>
          <w:sz w:val="16"/>
          <w:szCs w:val="16"/>
        </w:rPr>
        <w:t xml:space="preserve"> </w:t>
      </w:r>
      <w:r w:rsidRPr="00362498">
        <w:rPr>
          <w:i/>
          <w:sz w:val="16"/>
          <w:szCs w:val="16"/>
        </w:rPr>
        <w:t>30</w:t>
      </w:r>
      <w:r>
        <w:rPr>
          <w:i/>
          <w:sz w:val="16"/>
          <w:szCs w:val="16"/>
        </w:rPr>
        <w:t>.</w:t>
      </w:r>
      <w:r w:rsidRPr="00362498">
        <w:rPr>
          <w:i/>
          <w:sz w:val="16"/>
          <w:szCs w:val="16"/>
        </w:rPr>
        <w:t xml:space="preserve">000 </w:t>
      </w:r>
      <w:r>
        <w:rPr>
          <w:i/>
          <w:sz w:val="16"/>
          <w:szCs w:val="16"/>
        </w:rPr>
        <w:t>francos suizos</w:t>
      </w:r>
      <w:r w:rsidRPr="00362498">
        <w:rPr>
          <w:i/>
          <w:sz w:val="16"/>
          <w:szCs w:val="16"/>
        </w:rPr>
        <w:t>)</w:t>
      </w:r>
      <w:r>
        <w:rPr>
          <w:i/>
          <w:sz w:val="16"/>
          <w:szCs w:val="16"/>
        </w:rPr>
        <w:t>.</w:t>
      </w:r>
    </w:p>
    <w:p w:rsidR="00236E18" w:rsidRPr="00362498" w:rsidRDefault="00236E18" w:rsidP="00236E18">
      <w:pPr>
        <w:widowControl w:val="0"/>
        <w:shd w:val="clear" w:color="auto" w:fill="FFFFFF"/>
        <w:jc w:val="both"/>
        <w:rPr>
          <w:sz w:val="20"/>
        </w:rPr>
      </w:pPr>
    </w:p>
    <w:p w:rsidR="00236E18" w:rsidRPr="003B001E"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sidRPr="003B001E">
        <w:rPr>
          <w:rFonts w:ascii="Arial" w:hAnsi="Arial" w:cs="Arial"/>
          <w:sz w:val="20"/>
          <w:lang w:val="es-ES"/>
        </w:rPr>
        <w:t>Está previsto que aumenten los ingresos en 2016/17 en todos los sistemas de registro, y que aumente</w:t>
      </w:r>
      <w:r>
        <w:rPr>
          <w:rFonts w:ascii="Arial" w:hAnsi="Arial" w:cs="Arial"/>
          <w:sz w:val="20"/>
          <w:lang w:val="es-ES"/>
        </w:rPr>
        <w:t>n el</w:t>
      </w:r>
      <w:r w:rsidRPr="003B001E">
        <w:rPr>
          <w:rFonts w:ascii="Arial" w:hAnsi="Arial" w:cs="Arial"/>
          <w:sz w:val="20"/>
          <w:lang w:val="es-ES"/>
        </w:rPr>
        <w:t xml:space="preserve"> 5,5%, </w:t>
      </w:r>
      <w:r>
        <w:rPr>
          <w:rFonts w:ascii="Arial" w:hAnsi="Arial" w:cs="Arial"/>
          <w:sz w:val="20"/>
          <w:lang w:val="es-ES"/>
        </w:rPr>
        <w:t xml:space="preserve">el </w:t>
      </w:r>
      <w:r w:rsidRPr="003B001E">
        <w:rPr>
          <w:rFonts w:ascii="Arial" w:hAnsi="Arial" w:cs="Arial"/>
          <w:sz w:val="20"/>
          <w:lang w:val="es-ES"/>
        </w:rPr>
        <w:t xml:space="preserve">12,3% y el 20,3%, respectivamente, en los sistemas del PCT, </w:t>
      </w:r>
      <w:r>
        <w:rPr>
          <w:rFonts w:ascii="Arial" w:hAnsi="Arial" w:cs="Arial"/>
          <w:sz w:val="20"/>
          <w:lang w:val="es-ES"/>
        </w:rPr>
        <w:t xml:space="preserve">de </w:t>
      </w:r>
      <w:r w:rsidRPr="003B001E">
        <w:rPr>
          <w:rFonts w:ascii="Arial" w:hAnsi="Arial" w:cs="Arial"/>
          <w:sz w:val="20"/>
          <w:lang w:val="es-ES"/>
        </w:rPr>
        <w:t xml:space="preserve">Madrid y </w:t>
      </w:r>
      <w:r>
        <w:rPr>
          <w:rFonts w:ascii="Arial" w:hAnsi="Arial" w:cs="Arial"/>
          <w:sz w:val="20"/>
          <w:lang w:val="es-ES"/>
        </w:rPr>
        <w:t>de La </w:t>
      </w:r>
      <w:r w:rsidRPr="003B001E">
        <w:rPr>
          <w:rFonts w:ascii="Arial" w:hAnsi="Arial" w:cs="Arial"/>
          <w:sz w:val="20"/>
          <w:lang w:val="es-ES"/>
        </w:rPr>
        <w:t>Haya, en comparación con el presupuesto de 2014/15</w:t>
      </w:r>
      <w:r>
        <w:rPr>
          <w:rFonts w:ascii="Arial" w:hAnsi="Arial" w:cs="Arial"/>
          <w:sz w:val="20"/>
          <w:lang w:val="es-ES"/>
        </w:rPr>
        <w:t>.</w:t>
      </w:r>
      <w:r w:rsidRPr="00362498">
        <w:rPr>
          <w:rStyle w:val="FootnoteReference"/>
          <w:rFonts w:ascii="Arial" w:hAnsi="Arial" w:cs="Arial"/>
          <w:sz w:val="20"/>
          <w:szCs w:val="20"/>
          <w:lang w:val="es-ES"/>
        </w:rPr>
        <w:footnoteReference w:id="3"/>
      </w:r>
    </w:p>
    <w:p w:rsidR="00236E18" w:rsidRPr="00362498" w:rsidRDefault="00236E18" w:rsidP="00236E18">
      <w:pPr>
        <w:widowControl w:val="0"/>
        <w:shd w:val="clear" w:color="auto" w:fill="FFFFFF"/>
        <w:jc w:val="both"/>
        <w:rPr>
          <w:sz w:val="20"/>
        </w:rPr>
      </w:pPr>
    </w:p>
    <w:p w:rsidR="00236E18" w:rsidRDefault="00236E18" w:rsidP="00236E18">
      <w:pPr>
        <w:pStyle w:val="ListParagraph"/>
        <w:widowControl w:val="0"/>
        <w:numPr>
          <w:ilvl w:val="0"/>
          <w:numId w:val="5"/>
        </w:numPr>
        <w:tabs>
          <w:tab w:val="left" w:pos="567"/>
        </w:tabs>
        <w:ind w:left="0" w:firstLine="0"/>
        <w:jc w:val="both"/>
        <w:rPr>
          <w:rFonts w:ascii="Arial" w:hAnsi="Arial" w:cs="Arial"/>
          <w:bCs/>
          <w:sz w:val="20"/>
          <w:lang w:val="es-ES"/>
        </w:rPr>
      </w:pPr>
      <w:r w:rsidRPr="003B001E">
        <w:rPr>
          <w:rFonts w:ascii="Arial" w:hAnsi="Arial" w:cs="Arial"/>
          <w:bCs/>
          <w:sz w:val="20"/>
          <w:lang w:val="es-ES"/>
        </w:rPr>
        <w:t>Los ingresos procedentes de contribuciones de los Estados miembros ascienden a 34,7 millones de francos suizos para el bienio 2016/17, un ligero descenso en comparación con 2014/15.</w:t>
      </w:r>
      <w:r>
        <w:rPr>
          <w:rFonts w:ascii="Arial" w:hAnsi="Arial" w:cs="Arial"/>
          <w:bCs/>
          <w:sz w:val="20"/>
          <w:lang w:val="es-ES"/>
        </w:rPr>
        <w:t xml:space="preserve">  Sigue sin modificarse el valor de una unidad de contribución de los Estados miembros para 2016 y 2017</w:t>
      </w:r>
      <w:r w:rsidRPr="00362498">
        <w:rPr>
          <w:rStyle w:val="FootnoteReference"/>
          <w:rFonts w:ascii="Arial" w:hAnsi="Arial" w:cs="Arial"/>
          <w:bCs/>
          <w:sz w:val="20"/>
          <w:lang w:val="es-ES"/>
        </w:rPr>
        <w:footnoteReference w:id="4"/>
      </w:r>
      <w:r w:rsidRPr="003B001E">
        <w:rPr>
          <w:rFonts w:ascii="Arial" w:hAnsi="Arial" w:cs="Arial"/>
          <w:bCs/>
          <w:sz w:val="20"/>
          <w:lang w:val="es-ES"/>
        </w:rPr>
        <w:t xml:space="preserve"> </w:t>
      </w:r>
      <w:r>
        <w:rPr>
          <w:rFonts w:ascii="Arial" w:hAnsi="Arial" w:cs="Arial"/>
          <w:bCs/>
          <w:sz w:val="20"/>
          <w:lang w:val="es-ES"/>
        </w:rPr>
        <w:t>en comparación con 2014 y 2015.</w:t>
      </w:r>
    </w:p>
    <w:p w:rsidR="00236E18" w:rsidRPr="00362498" w:rsidRDefault="00236E18" w:rsidP="00236E18">
      <w:pPr>
        <w:widowControl w:val="0"/>
        <w:shd w:val="clear" w:color="auto" w:fill="FFFFFF"/>
        <w:jc w:val="both"/>
        <w:rPr>
          <w:sz w:val="20"/>
        </w:rPr>
      </w:pPr>
    </w:p>
    <w:p w:rsidR="00236E18" w:rsidRPr="0047315D"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sidRPr="0047315D">
        <w:rPr>
          <w:rFonts w:ascii="Arial" w:hAnsi="Arial" w:cs="Arial"/>
          <w:sz w:val="20"/>
          <w:lang w:val="es-ES"/>
        </w:rPr>
        <w:lastRenderedPageBreak/>
        <w:t>Se prevé que los ingres</w:t>
      </w:r>
      <w:r>
        <w:rPr>
          <w:rFonts w:ascii="Arial" w:hAnsi="Arial" w:cs="Arial"/>
          <w:sz w:val="20"/>
          <w:lang w:val="es-ES"/>
        </w:rPr>
        <w:t>os procedentes de otras fuentes</w:t>
      </w:r>
      <w:r w:rsidRPr="00362498">
        <w:rPr>
          <w:rStyle w:val="FootnoteReference"/>
          <w:rFonts w:ascii="Arial" w:hAnsi="Arial" w:cs="Arial"/>
          <w:sz w:val="20"/>
          <w:lang w:val="es-ES"/>
        </w:rPr>
        <w:footnoteReference w:id="5"/>
      </w:r>
      <w:r w:rsidRPr="0047315D">
        <w:rPr>
          <w:rFonts w:ascii="Arial" w:hAnsi="Arial" w:cs="Arial"/>
          <w:sz w:val="20"/>
          <w:lang w:val="es-ES"/>
        </w:rPr>
        <w:t xml:space="preserve"> </w:t>
      </w:r>
      <w:r>
        <w:rPr>
          <w:rFonts w:ascii="Arial" w:hAnsi="Arial" w:cs="Arial"/>
          <w:sz w:val="20"/>
          <w:lang w:val="es-ES"/>
        </w:rPr>
        <w:t xml:space="preserve">(los </w:t>
      </w:r>
      <w:r w:rsidRPr="0047315D">
        <w:rPr>
          <w:rFonts w:ascii="Arial" w:hAnsi="Arial" w:cs="Arial"/>
          <w:bCs/>
          <w:sz w:val="20"/>
          <w:lang w:val="es-ES"/>
        </w:rPr>
        <w:t>servicios proporcionados por el Centro de Arbitraje y Mediación, las publicaciones y los ingresos correspondientes a intereses</w:t>
      </w:r>
      <w:r>
        <w:rPr>
          <w:rFonts w:ascii="Arial" w:hAnsi="Arial" w:cs="Arial"/>
          <w:bCs/>
          <w:sz w:val="20"/>
          <w:lang w:val="es-ES"/>
        </w:rPr>
        <w:t>)</w:t>
      </w:r>
      <w:r w:rsidRPr="0047315D">
        <w:rPr>
          <w:rFonts w:ascii="Arial" w:hAnsi="Arial" w:cs="Arial"/>
          <w:bCs/>
          <w:sz w:val="20"/>
          <w:lang w:val="es-ES"/>
        </w:rPr>
        <w:t xml:space="preserve">, </w:t>
      </w:r>
      <w:r>
        <w:rPr>
          <w:rFonts w:ascii="Arial" w:hAnsi="Arial" w:cs="Arial"/>
          <w:bCs/>
          <w:sz w:val="20"/>
          <w:lang w:val="es-ES"/>
        </w:rPr>
        <w:t>desciendan</w:t>
      </w:r>
      <w:r w:rsidRPr="0047315D">
        <w:rPr>
          <w:rFonts w:ascii="Arial" w:hAnsi="Arial" w:cs="Arial"/>
          <w:bCs/>
          <w:sz w:val="20"/>
          <w:lang w:val="es-ES"/>
        </w:rPr>
        <w:t xml:space="preserve"> en un </w:t>
      </w:r>
      <w:r w:rsidRPr="0047315D">
        <w:rPr>
          <w:rFonts w:ascii="Arial" w:hAnsi="Arial" w:cs="Arial"/>
          <w:sz w:val="20"/>
          <w:lang w:val="es-ES"/>
        </w:rPr>
        <w:t>10</w:t>
      </w:r>
      <w:r>
        <w:rPr>
          <w:rFonts w:ascii="Arial" w:hAnsi="Arial" w:cs="Arial"/>
          <w:sz w:val="20"/>
          <w:lang w:val="es-ES"/>
        </w:rPr>
        <w:t>,</w:t>
      </w:r>
      <w:r w:rsidRPr="0047315D">
        <w:rPr>
          <w:rFonts w:ascii="Arial" w:hAnsi="Arial" w:cs="Arial"/>
          <w:sz w:val="20"/>
          <w:lang w:val="es-ES"/>
        </w:rPr>
        <w:t>7</w:t>
      </w:r>
      <w:r>
        <w:rPr>
          <w:rFonts w:ascii="Arial" w:hAnsi="Arial" w:cs="Arial"/>
          <w:sz w:val="20"/>
          <w:lang w:val="es-ES"/>
        </w:rPr>
        <w:t>%</w:t>
      </w:r>
      <w:r w:rsidRPr="0047315D">
        <w:rPr>
          <w:rFonts w:ascii="Arial" w:hAnsi="Arial" w:cs="Arial"/>
          <w:sz w:val="20"/>
          <w:lang w:val="es-ES"/>
        </w:rPr>
        <w:t xml:space="preserve">, </w:t>
      </w:r>
      <w:r>
        <w:rPr>
          <w:rFonts w:ascii="Arial" w:hAnsi="Arial" w:cs="Arial"/>
          <w:sz w:val="20"/>
          <w:lang w:val="es-ES"/>
        </w:rPr>
        <w:t xml:space="preserve">un </w:t>
      </w:r>
      <w:r w:rsidRPr="0047315D">
        <w:rPr>
          <w:rFonts w:ascii="Arial" w:hAnsi="Arial" w:cs="Arial"/>
          <w:sz w:val="20"/>
          <w:lang w:val="es-ES"/>
        </w:rPr>
        <w:t>74</w:t>
      </w:r>
      <w:r>
        <w:rPr>
          <w:rFonts w:ascii="Arial" w:hAnsi="Arial" w:cs="Arial"/>
          <w:sz w:val="20"/>
          <w:lang w:val="es-ES"/>
        </w:rPr>
        <w:t>,</w:t>
      </w:r>
      <w:r w:rsidRPr="0047315D">
        <w:rPr>
          <w:rFonts w:ascii="Arial" w:hAnsi="Arial" w:cs="Arial"/>
          <w:sz w:val="20"/>
          <w:lang w:val="es-ES"/>
        </w:rPr>
        <w:t>2</w:t>
      </w:r>
      <w:r>
        <w:rPr>
          <w:rFonts w:ascii="Arial" w:hAnsi="Arial" w:cs="Arial"/>
          <w:sz w:val="20"/>
          <w:lang w:val="es-ES"/>
        </w:rPr>
        <w:t>%</w:t>
      </w:r>
      <w:r w:rsidRPr="0047315D">
        <w:rPr>
          <w:rFonts w:ascii="Arial" w:hAnsi="Arial" w:cs="Arial"/>
          <w:sz w:val="20"/>
          <w:lang w:val="es-ES"/>
        </w:rPr>
        <w:t xml:space="preserve"> </w:t>
      </w:r>
      <w:r>
        <w:rPr>
          <w:rFonts w:ascii="Arial" w:hAnsi="Arial" w:cs="Arial"/>
          <w:sz w:val="20"/>
          <w:lang w:val="es-ES"/>
        </w:rPr>
        <w:t xml:space="preserve">y un </w:t>
      </w:r>
      <w:r w:rsidRPr="0047315D">
        <w:rPr>
          <w:rFonts w:ascii="Arial" w:hAnsi="Arial" w:cs="Arial"/>
          <w:sz w:val="20"/>
          <w:lang w:val="es-ES"/>
        </w:rPr>
        <w:t>100</w:t>
      </w:r>
      <w:r>
        <w:rPr>
          <w:rFonts w:ascii="Arial" w:hAnsi="Arial" w:cs="Arial"/>
          <w:sz w:val="20"/>
          <w:lang w:val="es-ES"/>
        </w:rPr>
        <w:t>%, respectivamente, en comparación con el presupuesto de </w:t>
      </w:r>
      <w:r w:rsidRPr="0047315D">
        <w:rPr>
          <w:rFonts w:ascii="Arial" w:hAnsi="Arial" w:cs="Arial"/>
          <w:sz w:val="20"/>
          <w:lang w:val="es-ES"/>
        </w:rPr>
        <w:t xml:space="preserve">2014/15. </w:t>
      </w:r>
      <w:r>
        <w:rPr>
          <w:rFonts w:ascii="Arial" w:hAnsi="Arial" w:cs="Arial"/>
          <w:sz w:val="20"/>
          <w:lang w:val="es-ES"/>
        </w:rPr>
        <w:t xml:space="preserve"> Se prevé que se mantengan estables los ingresos correspondientes a otras fuentes. </w:t>
      </w:r>
    </w:p>
    <w:p w:rsidR="00236E18" w:rsidRPr="00362498" w:rsidRDefault="00236E18" w:rsidP="00236E18">
      <w:pPr>
        <w:widowControl w:val="0"/>
        <w:shd w:val="clear" w:color="auto" w:fill="FFFFFF"/>
        <w:jc w:val="both"/>
        <w:rPr>
          <w:sz w:val="20"/>
        </w:rPr>
      </w:pPr>
    </w:p>
    <w:p w:rsidR="00236E18" w:rsidRPr="00DC0D05" w:rsidRDefault="00236E18" w:rsidP="00236E18">
      <w:pPr>
        <w:pStyle w:val="ListParagraph"/>
        <w:widowControl w:val="0"/>
        <w:numPr>
          <w:ilvl w:val="0"/>
          <w:numId w:val="5"/>
        </w:numPr>
        <w:tabs>
          <w:tab w:val="left" w:pos="567"/>
        </w:tabs>
        <w:ind w:left="0" w:firstLine="0"/>
        <w:jc w:val="both"/>
        <w:rPr>
          <w:rFonts w:ascii="Arial" w:hAnsi="Arial" w:cs="Arial"/>
          <w:bCs/>
          <w:sz w:val="20"/>
          <w:lang w:val="es-ES"/>
        </w:rPr>
      </w:pPr>
      <w:r w:rsidRPr="00DC0D05">
        <w:rPr>
          <w:rFonts w:ascii="Arial" w:hAnsi="Arial" w:cs="Arial"/>
          <w:bCs/>
          <w:sz w:val="20"/>
          <w:lang w:val="es-ES"/>
        </w:rPr>
        <w:t>El descenso en las previsiones de ingresos del Centro de Arbitraje y Mediación tiene que ver fundamentalmente con la repercusión negativa que podría tener el aumento de la competencia en el mercado en el número de demandas tramitadas con arreglo a la Política Uniforme de solución de controversias.  Se prevé que disminuyan los ingresos correspondientes a la venta de publicaciones  a raíz de la nueva política de difusión de datos mediante la que las publicaciones de la OMPI estarán disponibles al público en general a costo reducido o gratuitamente.  Se prevé que la OMPI obtenga ingresos nulos en concepto de intereses debido a los tipos de interés negativos de</w:t>
      </w:r>
      <w:r>
        <w:rPr>
          <w:rFonts w:ascii="Arial" w:hAnsi="Arial" w:cs="Arial"/>
          <w:bCs/>
          <w:sz w:val="20"/>
          <w:lang w:val="es-ES"/>
        </w:rPr>
        <w:t xml:space="preserve"> </w:t>
      </w:r>
      <w:r w:rsidRPr="00DC0D05">
        <w:rPr>
          <w:rFonts w:ascii="Arial" w:hAnsi="Arial" w:cs="Arial"/>
          <w:bCs/>
          <w:sz w:val="20"/>
          <w:lang w:val="es-ES"/>
        </w:rPr>
        <w:t>l</w:t>
      </w:r>
      <w:r>
        <w:rPr>
          <w:rFonts w:ascii="Arial" w:hAnsi="Arial" w:cs="Arial"/>
          <w:bCs/>
          <w:sz w:val="20"/>
          <w:lang w:val="es-ES"/>
        </w:rPr>
        <w:t>os depósitos en</w:t>
      </w:r>
      <w:r w:rsidRPr="00DC0D05">
        <w:rPr>
          <w:rFonts w:ascii="Arial" w:hAnsi="Arial" w:cs="Arial"/>
          <w:bCs/>
          <w:sz w:val="20"/>
          <w:lang w:val="es-ES"/>
        </w:rPr>
        <w:t xml:space="preserve"> franco</w:t>
      </w:r>
      <w:r>
        <w:rPr>
          <w:rFonts w:ascii="Arial" w:hAnsi="Arial" w:cs="Arial"/>
          <w:bCs/>
          <w:sz w:val="20"/>
          <w:lang w:val="es-ES"/>
        </w:rPr>
        <w:t>s</w:t>
      </w:r>
      <w:r w:rsidRPr="00DC0D05">
        <w:rPr>
          <w:rFonts w:ascii="Arial" w:hAnsi="Arial" w:cs="Arial"/>
          <w:bCs/>
          <w:sz w:val="20"/>
          <w:lang w:val="es-ES"/>
        </w:rPr>
        <w:t xml:space="preserve"> suizo</w:t>
      </w:r>
      <w:r>
        <w:rPr>
          <w:rFonts w:ascii="Arial" w:hAnsi="Arial" w:cs="Arial"/>
          <w:bCs/>
          <w:sz w:val="20"/>
          <w:lang w:val="es-ES"/>
        </w:rPr>
        <w:t>s</w:t>
      </w:r>
      <w:r w:rsidRPr="00DC0D05">
        <w:rPr>
          <w:rFonts w:ascii="Arial" w:hAnsi="Arial" w:cs="Arial"/>
          <w:bCs/>
          <w:sz w:val="20"/>
          <w:lang w:val="es-ES"/>
        </w:rPr>
        <w:t>.  Los ingresos correspondientes a otras fuentes están presupuestados en el bienio siguiente al mismo nivel que en el presupuesto aprobado de 2014/15.</w:t>
      </w:r>
    </w:p>
    <w:p w:rsidR="00236E18" w:rsidRPr="00362498" w:rsidRDefault="00236E18" w:rsidP="00236E18">
      <w:pPr>
        <w:jc w:val="both"/>
        <w:rPr>
          <w:bCs/>
          <w:sz w:val="20"/>
        </w:rPr>
      </w:pPr>
    </w:p>
    <w:p w:rsidR="00236E18" w:rsidRPr="00362498" w:rsidRDefault="00236E18" w:rsidP="00236E18">
      <w:pPr>
        <w:pStyle w:val="ListParagraph"/>
        <w:widowControl w:val="0"/>
        <w:numPr>
          <w:ilvl w:val="0"/>
          <w:numId w:val="5"/>
        </w:numPr>
        <w:tabs>
          <w:tab w:val="left" w:pos="567"/>
        </w:tabs>
        <w:ind w:left="0" w:firstLine="0"/>
        <w:jc w:val="both"/>
        <w:rPr>
          <w:rFonts w:ascii="Arial" w:hAnsi="Arial" w:cs="Arial"/>
          <w:bCs/>
          <w:sz w:val="20"/>
          <w:lang w:val="es-ES"/>
        </w:rPr>
      </w:pPr>
      <w:r w:rsidRPr="00F363FE">
        <w:rPr>
          <w:rFonts w:ascii="Arial" w:hAnsi="Arial" w:cs="Arial"/>
          <w:bCs/>
          <w:sz w:val="20"/>
          <w:lang w:val="es-ES"/>
        </w:rPr>
        <w:t xml:space="preserve">El nivel global de ingresos ha seguido aumentando de forma sostenida en el decenio pasado, según ilustra el </w:t>
      </w:r>
      <w:r>
        <w:rPr>
          <w:rFonts w:ascii="Arial" w:hAnsi="Arial" w:cs="Arial"/>
          <w:bCs/>
          <w:sz w:val="20"/>
          <w:lang w:val="es-ES"/>
        </w:rPr>
        <w:t>gráfico 1 que figura a continuación</w:t>
      </w:r>
      <w:r w:rsidRPr="00362498">
        <w:rPr>
          <w:rFonts w:ascii="Arial" w:hAnsi="Arial" w:cs="Arial"/>
          <w:bCs/>
          <w:sz w:val="20"/>
          <w:lang w:val="es-ES"/>
        </w:rPr>
        <w:t>.</w:t>
      </w:r>
    </w:p>
    <w:p w:rsidR="00236E18" w:rsidRPr="00540685" w:rsidRDefault="00236E18" w:rsidP="00236E18">
      <w:pPr>
        <w:jc w:val="both"/>
        <w:rPr>
          <w:bCs/>
          <w:sz w:val="20"/>
        </w:rPr>
      </w:pPr>
    </w:p>
    <w:p w:rsidR="00236E18" w:rsidRPr="00540685" w:rsidRDefault="00236E18" w:rsidP="00236E18">
      <w:pPr>
        <w:jc w:val="center"/>
        <w:rPr>
          <w:sz w:val="20"/>
        </w:rPr>
      </w:pPr>
    </w:p>
    <w:p w:rsidR="00236E18" w:rsidRPr="00540685" w:rsidRDefault="00236E18" w:rsidP="00236E18">
      <w:pPr>
        <w:keepNext/>
        <w:keepLines/>
        <w:jc w:val="center"/>
        <w:rPr>
          <w:b/>
          <w:sz w:val="20"/>
          <w:szCs w:val="16"/>
        </w:rPr>
      </w:pPr>
      <w:r w:rsidRPr="00540685">
        <w:rPr>
          <w:b/>
          <w:sz w:val="20"/>
          <w:szCs w:val="16"/>
        </w:rPr>
        <w:t>Gráfico 1.  Evolución de los ingresos entre 1990/91 y 2016/17*</w:t>
      </w:r>
    </w:p>
    <w:p w:rsidR="00236E18" w:rsidRPr="00362498" w:rsidRDefault="00236E18" w:rsidP="00236E18">
      <w:pPr>
        <w:keepNext/>
        <w:keepLines/>
        <w:jc w:val="center"/>
        <w:rPr>
          <w:sz w:val="18"/>
          <w:szCs w:val="18"/>
        </w:rPr>
      </w:pPr>
    </w:p>
    <w:p w:rsidR="00236E18" w:rsidRPr="00362498" w:rsidRDefault="00236E18" w:rsidP="00236E18">
      <w:pPr>
        <w:keepNext/>
        <w:keepLines/>
        <w:rPr>
          <w:bCs/>
          <w:sz w:val="20"/>
        </w:rPr>
      </w:pPr>
      <w:r w:rsidRPr="006F6B72">
        <w:rPr>
          <w:noProof/>
          <w:lang w:val="en-US" w:eastAsia="en-US"/>
        </w:rPr>
        <w:drawing>
          <wp:inline distT="0" distB="0" distL="0" distR="0" wp14:anchorId="50031153" wp14:editId="20BC85D4">
            <wp:extent cx="5940425" cy="3923950"/>
            <wp:effectExtent l="0" t="0" r="3175" b="635"/>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3923950"/>
                    </a:xfrm>
                    <a:prstGeom prst="rect">
                      <a:avLst/>
                    </a:prstGeom>
                    <a:noFill/>
                    <a:ln>
                      <a:noFill/>
                    </a:ln>
                  </pic:spPr>
                </pic:pic>
              </a:graphicData>
            </a:graphic>
          </wp:inline>
        </w:drawing>
      </w:r>
    </w:p>
    <w:p w:rsidR="00236E18" w:rsidRPr="00362498" w:rsidRDefault="00236E18" w:rsidP="00236E18">
      <w:pPr>
        <w:keepNext/>
        <w:keepLines/>
        <w:widowControl w:val="0"/>
        <w:rPr>
          <w:i/>
          <w:sz w:val="16"/>
          <w:szCs w:val="16"/>
        </w:rPr>
      </w:pPr>
    </w:p>
    <w:p w:rsidR="00236E18" w:rsidRPr="00362498" w:rsidRDefault="00236E18" w:rsidP="00236E18">
      <w:pPr>
        <w:keepNext/>
        <w:keepLines/>
        <w:widowControl w:val="0"/>
        <w:rPr>
          <w:i/>
          <w:sz w:val="16"/>
          <w:szCs w:val="16"/>
        </w:rPr>
      </w:pPr>
      <w:r w:rsidRPr="00362498">
        <w:rPr>
          <w:i/>
          <w:sz w:val="16"/>
          <w:szCs w:val="16"/>
        </w:rPr>
        <w:tab/>
        <w:t>*</w:t>
      </w:r>
      <w:r>
        <w:rPr>
          <w:i/>
          <w:sz w:val="16"/>
          <w:szCs w:val="16"/>
        </w:rPr>
        <w:t>Las cifras de</w:t>
      </w:r>
      <w:r w:rsidRPr="00362498">
        <w:rPr>
          <w:i/>
          <w:sz w:val="16"/>
          <w:szCs w:val="16"/>
        </w:rPr>
        <w:t xml:space="preserve"> 2014/15 </w:t>
      </w:r>
      <w:r>
        <w:rPr>
          <w:i/>
          <w:sz w:val="16"/>
          <w:szCs w:val="16"/>
        </w:rPr>
        <w:t xml:space="preserve">y </w:t>
      </w:r>
      <w:r w:rsidRPr="00362498">
        <w:rPr>
          <w:i/>
          <w:sz w:val="16"/>
          <w:szCs w:val="16"/>
        </w:rPr>
        <w:t xml:space="preserve">2016/17 </w:t>
      </w:r>
      <w:r>
        <w:rPr>
          <w:i/>
          <w:sz w:val="16"/>
          <w:szCs w:val="16"/>
        </w:rPr>
        <w:t>son estimaciones presupuestadas de ingresos.</w:t>
      </w:r>
    </w:p>
    <w:p w:rsidR="00236E18" w:rsidRPr="00362498" w:rsidRDefault="00236E18" w:rsidP="00236E18">
      <w:pPr>
        <w:widowControl w:val="0"/>
      </w:pPr>
    </w:p>
    <w:p w:rsidR="00236E18" w:rsidRPr="00362498" w:rsidRDefault="00236E18" w:rsidP="00236E18">
      <w:pPr>
        <w:pStyle w:val="ListParagraph"/>
        <w:widowControl w:val="0"/>
        <w:numPr>
          <w:ilvl w:val="0"/>
          <w:numId w:val="5"/>
        </w:numPr>
        <w:tabs>
          <w:tab w:val="left" w:pos="567"/>
        </w:tabs>
        <w:ind w:left="0" w:firstLine="0"/>
        <w:jc w:val="both"/>
        <w:rPr>
          <w:rFonts w:ascii="Arial" w:hAnsi="Arial" w:cs="Arial"/>
          <w:bCs/>
          <w:sz w:val="20"/>
          <w:lang w:val="es-ES"/>
        </w:rPr>
      </w:pPr>
      <w:r>
        <w:rPr>
          <w:rFonts w:ascii="Arial" w:hAnsi="Arial" w:cs="Arial"/>
          <w:bCs/>
          <w:sz w:val="20"/>
          <w:lang w:val="es-ES"/>
        </w:rPr>
        <w:t>La principal fuente de ingresos de la Organización sigue siendo los ingresos procedentes de las tasas de sus servicios de registro internacional.  Ha seguido creciendo el porcentaje de ingresos en concepto de tasas del total de ingresos de la Organización y se calcula en un 94,5% en 2016/17, según ilustra el gráfico que figura a continuación.</w:t>
      </w:r>
    </w:p>
    <w:p w:rsidR="00236E18" w:rsidRPr="00362498" w:rsidRDefault="00236E18" w:rsidP="00236E18">
      <w:pPr>
        <w:jc w:val="both"/>
        <w:rPr>
          <w:sz w:val="20"/>
        </w:rPr>
      </w:pPr>
    </w:p>
    <w:p w:rsidR="00236E18" w:rsidRPr="00362498" w:rsidRDefault="00236E18" w:rsidP="00236E18">
      <w:pPr>
        <w:keepNext/>
        <w:keepLines/>
        <w:jc w:val="center"/>
        <w:rPr>
          <w:b/>
          <w:sz w:val="20"/>
          <w:szCs w:val="16"/>
        </w:rPr>
      </w:pPr>
      <w:r>
        <w:rPr>
          <w:b/>
          <w:sz w:val="20"/>
          <w:szCs w:val="16"/>
        </w:rPr>
        <w:lastRenderedPageBreak/>
        <w:t>Gráfico</w:t>
      </w:r>
      <w:r w:rsidRPr="00362498">
        <w:rPr>
          <w:b/>
          <w:sz w:val="20"/>
          <w:szCs w:val="16"/>
        </w:rPr>
        <w:t xml:space="preserve"> 2.  </w:t>
      </w:r>
      <w:r>
        <w:rPr>
          <w:b/>
          <w:sz w:val="20"/>
          <w:szCs w:val="16"/>
        </w:rPr>
        <w:t xml:space="preserve">Porcentaje de ingresos en concepto de tasas </w:t>
      </w:r>
      <w:r w:rsidRPr="00362498">
        <w:rPr>
          <w:b/>
          <w:sz w:val="20"/>
          <w:szCs w:val="16"/>
        </w:rPr>
        <w:t xml:space="preserve">/ Total </w:t>
      </w:r>
      <w:r>
        <w:rPr>
          <w:b/>
          <w:sz w:val="20"/>
          <w:szCs w:val="16"/>
        </w:rPr>
        <w:t xml:space="preserve">de ingresos de </w:t>
      </w:r>
      <w:r w:rsidRPr="00362498">
        <w:rPr>
          <w:b/>
          <w:sz w:val="20"/>
          <w:szCs w:val="16"/>
        </w:rPr>
        <w:t xml:space="preserve">2004/05 </w:t>
      </w:r>
      <w:r>
        <w:rPr>
          <w:b/>
          <w:sz w:val="20"/>
          <w:szCs w:val="16"/>
        </w:rPr>
        <w:t xml:space="preserve">a </w:t>
      </w:r>
      <w:r w:rsidRPr="00362498">
        <w:rPr>
          <w:b/>
          <w:sz w:val="20"/>
          <w:szCs w:val="16"/>
        </w:rPr>
        <w:t>2016/17</w:t>
      </w:r>
    </w:p>
    <w:p w:rsidR="00236E18" w:rsidRPr="00362498" w:rsidRDefault="00236E18" w:rsidP="00236E18">
      <w:pPr>
        <w:keepNext/>
        <w:keepLines/>
        <w:jc w:val="both"/>
        <w:rPr>
          <w:sz w:val="20"/>
        </w:rPr>
      </w:pPr>
    </w:p>
    <w:p w:rsidR="00236E18" w:rsidRPr="00362498" w:rsidRDefault="00236E18" w:rsidP="00236E18">
      <w:pPr>
        <w:keepNext/>
        <w:keepLines/>
        <w:jc w:val="both"/>
        <w:rPr>
          <w:sz w:val="20"/>
        </w:rPr>
      </w:pPr>
      <w:r w:rsidRPr="006F6B72">
        <w:rPr>
          <w:noProof/>
          <w:lang w:val="en-US" w:eastAsia="en-US"/>
        </w:rPr>
        <w:drawing>
          <wp:inline distT="0" distB="0" distL="0" distR="0" wp14:anchorId="34967544" wp14:editId="0B1D6E66">
            <wp:extent cx="5940425" cy="3426552"/>
            <wp:effectExtent l="0" t="0" r="3175" b="2540"/>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3426552"/>
                    </a:xfrm>
                    <a:prstGeom prst="rect">
                      <a:avLst/>
                    </a:prstGeom>
                    <a:noFill/>
                    <a:ln>
                      <a:noFill/>
                    </a:ln>
                  </pic:spPr>
                </pic:pic>
              </a:graphicData>
            </a:graphic>
          </wp:inline>
        </w:drawing>
      </w:r>
    </w:p>
    <w:p w:rsidR="00236E18" w:rsidRPr="00540685" w:rsidRDefault="00236E18" w:rsidP="00236E18">
      <w:pPr>
        <w:keepNext/>
        <w:keepLines/>
        <w:jc w:val="both"/>
        <w:rPr>
          <w:sz w:val="20"/>
        </w:rPr>
      </w:pPr>
    </w:p>
    <w:p w:rsidR="00236E18" w:rsidRPr="00540685" w:rsidRDefault="00236E18" w:rsidP="00236E18">
      <w:pPr>
        <w:pStyle w:val="ListParagraph"/>
        <w:widowControl w:val="0"/>
        <w:numPr>
          <w:ilvl w:val="0"/>
          <w:numId w:val="5"/>
        </w:numPr>
        <w:tabs>
          <w:tab w:val="left" w:pos="567"/>
        </w:tabs>
        <w:ind w:left="0" w:firstLine="0"/>
        <w:jc w:val="both"/>
        <w:rPr>
          <w:rFonts w:ascii="Arial" w:hAnsi="Arial" w:cs="Arial"/>
          <w:sz w:val="18"/>
          <w:szCs w:val="18"/>
          <w:lang w:val="es-ES"/>
        </w:rPr>
      </w:pPr>
      <w:r w:rsidRPr="00540685">
        <w:rPr>
          <w:rFonts w:ascii="Arial" w:hAnsi="Arial"/>
          <w:sz w:val="20"/>
          <w:lang w:val="es-ES"/>
        </w:rPr>
        <w:t>La Organización sigue obteniendo aproximadamente el 76% de sus ingresos (en 2016/17) de las tasas del PCT, lo que constituye un alto grado de dependencia de una única fuente de ingresos.  En respuesta a este riesgo estratégico, la Organización seguirá estudiando las posibilidades de mejorar la sostenibilidad financiera por medio de la ampliación de otras fuentes de ingresos, sin olvidarse de las oportunidades de recuperación de costos.</w:t>
      </w:r>
    </w:p>
    <w:p w:rsidR="00236E18" w:rsidRPr="00540685" w:rsidRDefault="00236E18" w:rsidP="00236E18">
      <w:pPr>
        <w:widowControl w:val="0"/>
      </w:pPr>
    </w:p>
    <w:p w:rsidR="00236E18" w:rsidRPr="00362498" w:rsidRDefault="00236E18" w:rsidP="00236E18">
      <w:pPr>
        <w:keepNext/>
        <w:keepLines/>
        <w:jc w:val="center"/>
        <w:rPr>
          <w:b/>
          <w:sz w:val="20"/>
          <w:szCs w:val="16"/>
        </w:rPr>
      </w:pPr>
      <w:r>
        <w:rPr>
          <w:b/>
          <w:sz w:val="20"/>
          <w:szCs w:val="16"/>
        </w:rPr>
        <w:t>Gráfico</w:t>
      </w:r>
      <w:r w:rsidRPr="00362498">
        <w:rPr>
          <w:b/>
          <w:sz w:val="20"/>
          <w:szCs w:val="16"/>
        </w:rPr>
        <w:t xml:space="preserve"> 3.  </w:t>
      </w:r>
      <w:r>
        <w:rPr>
          <w:b/>
          <w:sz w:val="20"/>
          <w:szCs w:val="16"/>
        </w:rPr>
        <w:t xml:space="preserve">Porcentaje de ingresos en concepto de tasas del </w:t>
      </w:r>
      <w:r w:rsidRPr="00362498">
        <w:rPr>
          <w:b/>
          <w:sz w:val="20"/>
          <w:szCs w:val="16"/>
        </w:rPr>
        <w:t xml:space="preserve">PCT / Total </w:t>
      </w:r>
      <w:r>
        <w:rPr>
          <w:b/>
          <w:sz w:val="20"/>
          <w:szCs w:val="16"/>
        </w:rPr>
        <w:t>de ingresos</w:t>
      </w:r>
      <w:r>
        <w:rPr>
          <w:b/>
          <w:sz w:val="20"/>
          <w:szCs w:val="16"/>
        </w:rPr>
        <w:br/>
        <w:t xml:space="preserve">de </w:t>
      </w:r>
      <w:r w:rsidRPr="00362498">
        <w:rPr>
          <w:b/>
          <w:sz w:val="20"/>
          <w:szCs w:val="16"/>
        </w:rPr>
        <w:t xml:space="preserve">2004/05 </w:t>
      </w:r>
      <w:r>
        <w:rPr>
          <w:b/>
          <w:sz w:val="20"/>
          <w:szCs w:val="16"/>
        </w:rPr>
        <w:t xml:space="preserve">a </w:t>
      </w:r>
      <w:r w:rsidRPr="00362498">
        <w:rPr>
          <w:b/>
          <w:sz w:val="20"/>
          <w:szCs w:val="16"/>
        </w:rPr>
        <w:t>2016/17</w:t>
      </w:r>
    </w:p>
    <w:p w:rsidR="00236E18" w:rsidRPr="00362498" w:rsidRDefault="00236E18" w:rsidP="00236E18">
      <w:pPr>
        <w:keepNext/>
        <w:keepLines/>
        <w:widowControl w:val="0"/>
        <w:rPr>
          <w:sz w:val="20"/>
        </w:rPr>
      </w:pPr>
    </w:p>
    <w:p w:rsidR="00236E18" w:rsidRPr="00362498" w:rsidRDefault="00236E18" w:rsidP="00236E18">
      <w:pPr>
        <w:keepNext/>
        <w:keepLines/>
        <w:widowControl w:val="0"/>
        <w:rPr>
          <w:sz w:val="18"/>
        </w:rPr>
      </w:pPr>
      <w:r w:rsidRPr="006F6B72">
        <w:rPr>
          <w:noProof/>
          <w:lang w:val="en-US" w:eastAsia="en-US"/>
        </w:rPr>
        <w:drawing>
          <wp:inline distT="0" distB="0" distL="0" distR="0" wp14:anchorId="4F9EF00B" wp14:editId="1F6BC5A4">
            <wp:extent cx="5940425" cy="3426552"/>
            <wp:effectExtent l="0" t="0" r="3175" b="2540"/>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3426552"/>
                    </a:xfrm>
                    <a:prstGeom prst="rect">
                      <a:avLst/>
                    </a:prstGeom>
                    <a:noFill/>
                    <a:ln>
                      <a:noFill/>
                    </a:ln>
                  </pic:spPr>
                </pic:pic>
              </a:graphicData>
            </a:graphic>
          </wp:inline>
        </w:drawing>
      </w:r>
    </w:p>
    <w:p w:rsidR="00236E18" w:rsidRPr="00362498" w:rsidRDefault="00236E18" w:rsidP="00236E18">
      <w:pPr>
        <w:keepNext/>
        <w:keepLines/>
        <w:widowControl w:val="0"/>
      </w:pPr>
    </w:p>
    <w:p w:rsidR="00236E18" w:rsidRPr="00A94E7D" w:rsidRDefault="00236E18" w:rsidP="00236E18">
      <w:pPr>
        <w:widowControl w:val="0"/>
        <w:tabs>
          <w:tab w:val="num" w:pos="690"/>
        </w:tabs>
        <w:rPr>
          <w:caps/>
          <w:sz w:val="20"/>
          <w:highlight w:val="lightGray"/>
        </w:rPr>
      </w:pPr>
      <w:r>
        <w:rPr>
          <w:sz w:val="20"/>
        </w:rPr>
        <w:t>En el Anexo III figuran las estimaciones de ingresos por Unión</w:t>
      </w:r>
      <w:r w:rsidRPr="00362498">
        <w:rPr>
          <w:caps/>
          <w:sz w:val="20"/>
        </w:rPr>
        <w:t>.</w:t>
      </w:r>
    </w:p>
    <w:p w:rsidR="00236E18" w:rsidRPr="00A94E7D" w:rsidRDefault="00236E18" w:rsidP="00236E18">
      <w:pPr>
        <w:rPr>
          <w:szCs w:val="22"/>
          <w:highlight w:val="lightGray"/>
        </w:rPr>
        <w:sectPr w:rsidR="00236E18" w:rsidRPr="00A94E7D" w:rsidSect="00EF4308">
          <w:headerReference w:type="even" r:id="rId19"/>
          <w:headerReference w:type="default" r:id="rId20"/>
          <w:footerReference w:type="even" r:id="rId21"/>
          <w:headerReference w:type="first" r:id="rId22"/>
          <w:footerReference w:type="first" r:id="rId23"/>
          <w:pgSz w:w="11907" w:h="16840" w:code="9"/>
          <w:pgMar w:top="567" w:right="1134" w:bottom="1134" w:left="1418" w:header="510" w:footer="1021" w:gutter="0"/>
          <w:pgNumType w:start="3"/>
          <w:cols w:space="720"/>
          <w:titlePg/>
          <w:docGrid w:linePitch="299"/>
        </w:sectPr>
      </w:pPr>
    </w:p>
    <w:p w:rsidR="00236E18" w:rsidRPr="00BE7B0B" w:rsidRDefault="00236E18" w:rsidP="00236E18">
      <w:pPr>
        <w:jc w:val="center"/>
        <w:rPr>
          <w:sz w:val="16"/>
          <w:szCs w:val="16"/>
          <w:highlight w:val="lightGray"/>
        </w:rPr>
      </w:pPr>
      <w:r w:rsidRPr="00BE7B0B">
        <w:rPr>
          <w:b/>
          <w:sz w:val="20"/>
        </w:rPr>
        <w:lastRenderedPageBreak/>
        <w:t>MARCO DE RESULTADOS Y PRESUPUESTO POR PROGRAMAS DE 2016/17, INCLUIDA LA CUOTA PARA EL DESARROLLO, POR RESULTADO</w:t>
      </w:r>
      <w:r w:rsidRPr="00BE7B0B">
        <w:rPr>
          <w:b/>
          <w:sz w:val="20"/>
        </w:rPr>
        <w:br/>
      </w:r>
      <w:r w:rsidRPr="00BE7B0B">
        <w:rPr>
          <w:b/>
          <w:sz w:val="18"/>
        </w:rPr>
        <w:t xml:space="preserve"> (en miles de francos suizos)</w:t>
      </w:r>
      <w:r w:rsidRPr="00BE7B0B">
        <w:rPr>
          <w:b/>
          <w:sz w:val="18"/>
        </w:rPr>
        <w:br/>
      </w:r>
    </w:p>
    <w:tbl>
      <w:tblPr>
        <w:tblW w:w="21679" w:type="dxa"/>
        <w:tblLayout w:type="fixed"/>
        <w:tblCellMar>
          <w:left w:w="28" w:type="dxa"/>
          <w:right w:w="28" w:type="dxa"/>
        </w:tblCellMar>
        <w:tblLook w:val="0000" w:firstRow="0" w:lastRow="0" w:firstColumn="0" w:lastColumn="0" w:noHBand="0" w:noVBand="0"/>
      </w:tblPr>
      <w:tblGrid>
        <w:gridCol w:w="387"/>
        <w:gridCol w:w="3040"/>
        <w:gridCol w:w="3041"/>
        <w:gridCol w:w="3043"/>
        <w:gridCol w:w="3041"/>
        <w:gridCol w:w="3040"/>
        <w:gridCol w:w="3041"/>
        <w:gridCol w:w="3046"/>
      </w:tblGrid>
      <w:tr w:rsidR="00236E18" w:rsidRPr="00F922F0" w:rsidTr="00294272">
        <w:trPr>
          <w:trHeight w:val="294"/>
        </w:trPr>
        <w:tc>
          <w:tcPr>
            <w:tcW w:w="387" w:type="dxa"/>
            <w:vMerge w:val="restart"/>
            <w:tcBorders>
              <w:top w:val="single" w:sz="8" w:space="0" w:color="auto"/>
              <w:left w:val="single" w:sz="8" w:space="0" w:color="auto"/>
              <w:bottom w:val="single" w:sz="4" w:space="0" w:color="000000"/>
              <w:right w:val="nil"/>
            </w:tcBorders>
            <w:shd w:val="clear" w:color="auto" w:fill="99CCFF"/>
            <w:textDirection w:val="btLr"/>
            <w:vAlign w:val="center"/>
          </w:tcPr>
          <w:p w:rsidR="00236E18" w:rsidRPr="00F922F0" w:rsidRDefault="00236E18" w:rsidP="00294272">
            <w:pPr>
              <w:tabs>
                <w:tab w:val="right" w:pos="2835"/>
              </w:tabs>
              <w:jc w:val="center"/>
              <w:rPr>
                <w:b/>
                <w:bCs/>
                <w:sz w:val="16"/>
                <w:szCs w:val="16"/>
              </w:rPr>
            </w:pPr>
            <w:r w:rsidRPr="00F922F0">
              <w:rPr>
                <w:b/>
                <w:bCs/>
                <w:sz w:val="16"/>
                <w:szCs w:val="16"/>
              </w:rPr>
              <w:t>Integración de la meta estratégica III - Facilitar el uso de la P.I. en aras del desarrollo y Agenda para el Desarrollo</w:t>
            </w:r>
          </w:p>
        </w:tc>
        <w:tc>
          <w:tcPr>
            <w:tcW w:w="21292" w:type="dxa"/>
            <w:gridSpan w:val="7"/>
            <w:tcBorders>
              <w:top w:val="single" w:sz="4" w:space="0" w:color="auto"/>
              <w:left w:val="single" w:sz="4" w:space="0" w:color="auto"/>
              <w:bottom w:val="single" w:sz="4" w:space="0" w:color="auto"/>
              <w:right w:val="single" w:sz="4" w:space="0" w:color="000000"/>
            </w:tcBorders>
            <w:shd w:val="clear" w:color="auto" w:fill="C6D9F1"/>
            <w:vAlign w:val="center"/>
          </w:tcPr>
          <w:p w:rsidR="00236E18" w:rsidRPr="00F922F0" w:rsidRDefault="00236E18" w:rsidP="00294272">
            <w:pPr>
              <w:tabs>
                <w:tab w:val="right" w:pos="2835"/>
              </w:tabs>
              <w:jc w:val="center"/>
              <w:rPr>
                <w:b/>
                <w:bCs/>
                <w:sz w:val="16"/>
                <w:szCs w:val="16"/>
              </w:rPr>
            </w:pPr>
            <w:r w:rsidRPr="00F922F0">
              <w:rPr>
                <w:b/>
                <w:bCs/>
                <w:sz w:val="16"/>
                <w:szCs w:val="16"/>
              </w:rPr>
              <w:t>Meta estratégica VIII</w:t>
            </w:r>
            <w:r>
              <w:rPr>
                <w:b/>
                <w:bCs/>
                <w:sz w:val="16"/>
                <w:szCs w:val="16"/>
              </w:rPr>
              <w:t xml:space="preserve">:  </w:t>
            </w:r>
            <w:r w:rsidRPr="00F922F0">
              <w:rPr>
                <w:b/>
                <w:bCs/>
                <w:sz w:val="16"/>
                <w:szCs w:val="16"/>
              </w:rPr>
              <w:t>Comunicación eficaz entre la OMPI, sus Estados miembros y todas las partes interesadas</w:t>
            </w:r>
          </w:p>
        </w:tc>
      </w:tr>
      <w:tr w:rsidR="00236E18" w:rsidRPr="00F922F0" w:rsidTr="00294272">
        <w:trPr>
          <w:trHeight w:val="145"/>
        </w:trPr>
        <w:tc>
          <w:tcPr>
            <w:tcW w:w="387" w:type="dxa"/>
            <w:vMerge/>
            <w:tcBorders>
              <w:top w:val="single" w:sz="8" w:space="0" w:color="auto"/>
              <w:left w:val="single" w:sz="8" w:space="0" w:color="auto"/>
              <w:bottom w:val="single" w:sz="4" w:space="0" w:color="000000"/>
              <w:right w:val="nil"/>
            </w:tcBorders>
            <w:vAlign w:val="center"/>
          </w:tcPr>
          <w:p w:rsidR="00236E18" w:rsidRPr="00F922F0" w:rsidRDefault="00236E18" w:rsidP="00294272">
            <w:pPr>
              <w:tabs>
                <w:tab w:val="right" w:pos="2835"/>
              </w:tabs>
              <w:rPr>
                <w:b/>
                <w:bCs/>
                <w:sz w:val="16"/>
                <w:szCs w:val="16"/>
              </w:rPr>
            </w:pPr>
          </w:p>
        </w:tc>
        <w:tc>
          <w:tcPr>
            <w:tcW w:w="3040" w:type="dxa"/>
            <w:tcBorders>
              <w:top w:val="nil"/>
              <w:left w:val="single" w:sz="4" w:space="0" w:color="auto"/>
              <w:bottom w:val="nil"/>
              <w:right w:val="nil"/>
            </w:tcBorders>
            <w:shd w:val="clear" w:color="auto" w:fill="auto"/>
            <w:vAlign w:val="center"/>
          </w:tcPr>
          <w:p w:rsidR="00236E18" w:rsidRPr="00F922F0" w:rsidRDefault="00236E18" w:rsidP="00294272">
            <w:pPr>
              <w:tabs>
                <w:tab w:val="right" w:pos="2835"/>
              </w:tabs>
              <w:jc w:val="center"/>
              <w:rPr>
                <w:sz w:val="15"/>
                <w:szCs w:val="15"/>
              </w:rPr>
            </w:pPr>
            <w:r w:rsidRPr="00F922F0">
              <w:rPr>
                <w:sz w:val="15"/>
                <w:szCs w:val="15"/>
              </w:rPr>
              <w:t> </w:t>
            </w:r>
          </w:p>
        </w:tc>
        <w:tc>
          <w:tcPr>
            <w:tcW w:w="3041" w:type="dxa"/>
            <w:tcBorders>
              <w:top w:val="nil"/>
              <w:left w:val="nil"/>
              <w:bottom w:val="nil"/>
              <w:right w:val="nil"/>
            </w:tcBorders>
            <w:shd w:val="clear" w:color="auto" w:fill="auto"/>
            <w:vAlign w:val="center"/>
          </w:tcPr>
          <w:p w:rsidR="00236E18" w:rsidRPr="00F922F0" w:rsidRDefault="00236E18" w:rsidP="00294272">
            <w:pPr>
              <w:tabs>
                <w:tab w:val="right" w:pos="2835"/>
              </w:tabs>
              <w:rPr>
                <w:sz w:val="14"/>
                <w:szCs w:val="14"/>
              </w:rPr>
            </w:pPr>
          </w:p>
          <w:p w:rsidR="00236E18" w:rsidRPr="00F922F0" w:rsidRDefault="00236E18" w:rsidP="00294272">
            <w:pPr>
              <w:tabs>
                <w:tab w:val="right" w:pos="2835"/>
              </w:tabs>
              <w:spacing w:after="60"/>
              <w:rPr>
                <w:sz w:val="14"/>
                <w:szCs w:val="14"/>
              </w:rPr>
            </w:pPr>
            <w:r w:rsidRPr="00F922F0">
              <w:rPr>
                <w:sz w:val="14"/>
                <w:szCs w:val="14"/>
              </w:rPr>
              <w:t>VIII.1</w:t>
            </w:r>
            <w:r>
              <w:rPr>
                <w:sz w:val="14"/>
                <w:szCs w:val="14"/>
              </w:rPr>
              <w:t xml:space="preserve">  </w:t>
            </w:r>
            <w:r w:rsidRPr="008C3520">
              <w:rPr>
                <w:sz w:val="14"/>
                <w:szCs w:val="14"/>
              </w:rPr>
              <w:t>Comunicación más eficaz con el público en general acerca de la P.I. y la función de la OMPI</w:t>
            </w:r>
          </w:p>
          <w:p w:rsidR="00236E18" w:rsidRPr="00F922F0" w:rsidRDefault="00236E18" w:rsidP="00294272">
            <w:pPr>
              <w:tabs>
                <w:tab w:val="left" w:pos="335"/>
                <w:tab w:val="right" w:pos="2173"/>
              </w:tabs>
              <w:rPr>
                <w:i/>
                <w:iCs/>
                <w:sz w:val="14"/>
                <w:szCs w:val="14"/>
              </w:rPr>
            </w:pPr>
            <w:r w:rsidRPr="00F922F0">
              <w:rPr>
                <w:i/>
                <w:iCs/>
                <w:sz w:val="14"/>
                <w:szCs w:val="14"/>
              </w:rPr>
              <w:tab/>
              <w:t>Presupuesto propuesto 16/17:</w:t>
            </w:r>
            <w:r w:rsidRPr="00F922F0">
              <w:rPr>
                <w:iCs/>
                <w:sz w:val="14"/>
                <w:szCs w:val="14"/>
              </w:rPr>
              <w:t xml:space="preserve"> </w:t>
            </w:r>
            <w:r w:rsidRPr="00F922F0">
              <w:rPr>
                <w:i/>
                <w:iCs/>
                <w:sz w:val="14"/>
                <w:szCs w:val="14"/>
              </w:rPr>
              <w:t>12.033</w:t>
            </w:r>
          </w:p>
          <w:p w:rsidR="00236E18" w:rsidRPr="00F922F0" w:rsidRDefault="00236E18" w:rsidP="00294272">
            <w:pPr>
              <w:tabs>
                <w:tab w:val="left" w:pos="348"/>
                <w:tab w:val="right" w:pos="2173"/>
              </w:tabs>
              <w:rPr>
                <w:i/>
                <w:iCs/>
                <w:sz w:val="14"/>
                <w:szCs w:val="14"/>
              </w:rPr>
            </w:pPr>
            <w:r w:rsidRPr="00F922F0">
              <w:rPr>
                <w:i/>
                <w:iCs/>
                <w:sz w:val="14"/>
                <w:szCs w:val="14"/>
              </w:rPr>
              <w:tab/>
            </w:r>
            <w:r w:rsidRPr="00F922F0">
              <w:rPr>
                <w:i/>
                <w:iCs/>
                <w:color w:val="0000FF"/>
                <w:sz w:val="14"/>
                <w:szCs w:val="14"/>
              </w:rPr>
              <w:t xml:space="preserve">Cuota </w:t>
            </w:r>
            <w:r>
              <w:rPr>
                <w:i/>
                <w:iCs/>
                <w:color w:val="0000FF"/>
                <w:sz w:val="14"/>
                <w:szCs w:val="14"/>
              </w:rPr>
              <w:t>para el</w:t>
            </w:r>
            <w:r w:rsidRPr="00F922F0">
              <w:rPr>
                <w:i/>
                <w:iCs/>
                <w:color w:val="0000FF"/>
                <w:sz w:val="14"/>
                <w:szCs w:val="14"/>
              </w:rPr>
              <w:t xml:space="preserve"> desarrollo:</w:t>
            </w:r>
            <w:r>
              <w:rPr>
                <w:i/>
                <w:iCs/>
                <w:color w:val="0000FF"/>
                <w:sz w:val="14"/>
                <w:szCs w:val="14"/>
              </w:rPr>
              <w:tab/>
            </w:r>
            <w:r>
              <w:rPr>
                <w:i/>
                <w:iCs/>
                <w:color w:val="0000FF"/>
                <w:sz w:val="14"/>
                <w:szCs w:val="14"/>
              </w:rPr>
              <w:tab/>
            </w:r>
            <w:r w:rsidRPr="00F922F0">
              <w:rPr>
                <w:i/>
                <w:iCs/>
                <w:color w:val="0000FF"/>
                <w:sz w:val="14"/>
                <w:szCs w:val="14"/>
              </w:rPr>
              <w:t>4.268</w:t>
            </w:r>
          </w:p>
          <w:p w:rsidR="00236E18" w:rsidRPr="00F922F0" w:rsidRDefault="00236E18" w:rsidP="00294272">
            <w:pPr>
              <w:tabs>
                <w:tab w:val="right" w:pos="2835"/>
              </w:tabs>
              <w:rPr>
                <w:sz w:val="14"/>
                <w:szCs w:val="14"/>
              </w:rPr>
            </w:pPr>
          </w:p>
        </w:tc>
        <w:tc>
          <w:tcPr>
            <w:tcW w:w="3043" w:type="dxa"/>
            <w:tcBorders>
              <w:top w:val="nil"/>
              <w:left w:val="nil"/>
              <w:bottom w:val="nil"/>
              <w:right w:val="nil"/>
            </w:tcBorders>
            <w:shd w:val="clear" w:color="auto" w:fill="auto"/>
          </w:tcPr>
          <w:p w:rsidR="00236E18" w:rsidRPr="00F922F0" w:rsidRDefault="00236E18" w:rsidP="00294272">
            <w:pPr>
              <w:tabs>
                <w:tab w:val="right" w:pos="2835"/>
              </w:tabs>
              <w:rPr>
                <w:sz w:val="14"/>
                <w:szCs w:val="14"/>
              </w:rPr>
            </w:pPr>
          </w:p>
          <w:p w:rsidR="00236E18" w:rsidRPr="00F922F0" w:rsidRDefault="00236E18" w:rsidP="00294272">
            <w:pPr>
              <w:tabs>
                <w:tab w:val="right" w:pos="2835"/>
              </w:tabs>
              <w:spacing w:after="60"/>
              <w:rPr>
                <w:sz w:val="14"/>
                <w:szCs w:val="14"/>
              </w:rPr>
            </w:pPr>
            <w:r w:rsidRPr="00F922F0">
              <w:rPr>
                <w:sz w:val="14"/>
                <w:szCs w:val="14"/>
              </w:rPr>
              <w:t>VIII.2</w:t>
            </w:r>
            <w:r>
              <w:rPr>
                <w:sz w:val="14"/>
                <w:szCs w:val="14"/>
              </w:rPr>
              <w:t xml:space="preserve">  </w:t>
            </w:r>
            <w:r w:rsidRPr="008C3520">
              <w:rPr>
                <w:sz w:val="14"/>
                <w:szCs w:val="14"/>
              </w:rPr>
              <w:t>Mejora en la prestación de servicios y la atención de consultas</w:t>
            </w:r>
          </w:p>
          <w:p w:rsidR="00236E18" w:rsidRPr="00F922F0" w:rsidRDefault="00236E18" w:rsidP="00294272">
            <w:pPr>
              <w:tabs>
                <w:tab w:val="left" w:pos="325"/>
                <w:tab w:val="right" w:pos="2040"/>
              </w:tabs>
              <w:rPr>
                <w:i/>
                <w:iCs/>
                <w:sz w:val="14"/>
                <w:szCs w:val="14"/>
              </w:rPr>
            </w:pPr>
            <w:r w:rsidRPr="00F922F0">
              <w:rPr>
                <w:i/>
                <w:iCs/>
                <w:sz w:val="14"/>
                <w:szCs w:val="14"/>
              </w:rPr>
              <w:tab/>
            </w:r>
          </w:p>
          <w:p w:rsidR="00236E18" w:rsidRPr="00F922F0" w:rsidRDefault="00236E18" w:rsidP="00294272">
            <w:pPr>
              <w:tabs>
                <w:tab w:val="left" w:pos="325"/>
                <w:tab w:val="right" w:pos="2189"/>
              </w:tabs>
              <w:rPr>
                <w:sz w:val="14"/>
                <w:szCs w:val="14"/>
              </w:rPr>
            </w:pPr>
            <w:r w:rsidRPr="00F922F0">
              <w:rPr>
                <w:i/>
                <w:iCs/>
                <w:sz w:val="14"/>
                <w:szCs w:val="14"/>
              </w:rPr>
              <w:tab/>
              <w:t>Presupuesto propuesto 16/17:  6.219</w:t>
            </w: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1C77E2">
              <w:rPr>
                <w:i/>
                <w:iCs/>
                <w:color w:val="0000FF"/>
                <w:sz w:val="14"/>
                <w:szCs w:val="14"/>
              </w:rPr>
              <w:t>:</w:t>
            </w:r>
            <w:r w:rsidRPr="001C77E2">
              <w:rPr>
                <w:i/>
                <w:iCs/>
                <w:color w:val="0000FF"/>
                <w:sz w:val="14"/>
                <w:szCs w:val="14"/>
              </w:rPr>
              <w:tab/>
            </w:r>
            <w:r w:rsidRPr="001C77E2">
              <w:rPr>
                <w:i/>
                <w:iCs/>
                <w:color w:val="0000FF"/>
                <w:sz w:val="14"/>
                <w:szCs w:val="14"/>
              </w:rPr>
              <w:tab/>
              <w:t>2.779</w:t>
            </w:r>
          </w:p>
        </w:tc>
        <w:tc>
          <w:tcPr>
            <w:tcW w:w="3041" w:type="dxa"/>
            <w:tcBorders>
              <w:top w:val="nil"/>
              <w:left w:val="nil"/>
              <w:bottom w:val="nil"/>
              <w:right w:val="nil"/>
            </w:tcBorders>
            <w:shd w:val="clear" w:color="auto" w:fill="auto"/>
          </w:tcPr>
          <w:p w:rsidR="00236E18" w:rsidRPr="00F922F0" w:rsidRDefault="00236E18" w:rsidP="00294272">
            <w:pPr>
              <w:tabs>
                <w:tab w:val="right" w:pos="2835"/>
              </w:tabs>
              <w:rPr>
                <w:sz w:val="14"/>
                <w:szCs w:val="14"/>
              </w:rPr>
            </w:pPr>
          </w:p>
          <w:p w:rsidR="00236E18" w:rsidRPr="00F922F0" w:rsidRDefault="00236E18" w:rsidP="00294272">
            <w:pPr>
              <w:tabs>
                <w:tab w:val="right" w:pos="2835"/>
              </w:tabs>
              <w:rPr>
                <w:sz w:val="14"/>
                <w:szCs w:val="14"/>
              </w:rPr>
            </w:pPr>
            <w:r>
              <w:rPr>
                <w:sz w:val="14"/>
                <w:szCs w:val="14"/>
              </w:rPr>
              <w:t xml:space="preserve">VIII.3 </w:t>
            </w:r>
            <w:r w:rsidRPr="00F922F0">
              <w:rPr>
                <w:sz w:val="14"/>
                <w:szCs w:val="14"/>
              </w:rPr>
              <w:t xml:space="preserve"> </w:t>
            </w:r>
            <w:r w:rsidRPr="008C3520">
              <w:rPr>
                <w:sz w:val="14"/>
                <w:szCs w:val="14"/>
              </w:rPr>
              <w:t>Atención eficaz a los Estados miembros</w:t>
            </w:r>
          </w:p>
          <w:p w:rsidR="00236E18" w:rsidRPr="00F922F0" w:rsidRDefault="00236E18" w:rsidP="00294272">
            <w:pPr>
              <w:tabs>
                <w:tab w:val="left" w:pos="378"/>
                <w:tab w:val="right" w:pos="2040"/>
              </w:tabs>
              <w:rPr>
                <w:i/>
                <w:iCs/>
                <w:sz w:val="14"/>
                <w:szCs w:val="14"/>
              </w:rPr>
            </w:pPr>
            <w:r w:rsidRPr="00F922F0">
              <w:rPr>
                <w:i/>
                <w:iCs/>
                <w:sz w:val="14"/>
                <w:szCs w:val="14"/>
              </w:rPr>
              <w:tab/>
            </w:r>
          </w:p>
          <w:p w:rsidR="00236E18" w:rsidRPr="00F922F0" w:rsidRDefault="00236E18" w:rsidP="00294272">
            <w:pPr>
              <w:tabs>
                <w:tab w:val="left" w:pos="378"/>
                <w:tab w:val="right" w:pos="2040"/>
              </w:tabs>
              <w:rPr>
                <w:i/>
                <w:iCs/>
                <w:sz w:val="14"/>
                <w:szCs w:val="14"/>
              </w:rPr>
            </w:pPr>
            <w:r w:rsidRPr="00F922F0">
              <w:rPr>
                <w:i/>
                <w:iCs/>
                <w:sz w:val="14"/>
                <w:szCs w:val="14"/>
              </w:rPr>
              <w:tab/>
            </w:r>
          </w:p>
          <w:p w:rsidR="00236E18" w:rsidRPr="00F922F0" w:rsidRDefault="00236E18" w:rsidP="00294272">
            <w:pPr>
              <w:tabs>
                <w:tab w:val="left" w:pos="378"/>
                <w:tab w:val="right" w:pos="220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 xml:space="preserve">      </w:t>
            </w:r>
            <w:r w:rsidRPr="00F922F0">
              <w:rPr>
                <w:i/>
                <w:iCs/>
                <w:sz w:val="14"/>
                <w:szCs w:val="14"/>
              </w:rPr>
              <w:t>7.099</w:t>
            </w:r>
          </w:p>
          <w:p w:rsidR="00236E18" w:rsidRPr="00F922F0" w:rsidRDefault="00236E18" w:rsidP="00294272">
            <w:pPr>
              <w:tabs>
                <w:tab w:val="left" w:pos="353"/>
                <w:tab w:val="right" w:pos="1938"/>
              </w:tabs>
              <w:rPr>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F922F0">
              <w:rPr>
                <w:i/>
                <w:iCs/>
                <w:color w:val="0000FF"/>
                <w:sz w:val="14"/>
                <w:szCs w:val="14"/>
              </w:rPr>
              <w:t>:</w:t>
            </w:r>
            <w:r>
              <w:rPr>
                <w:i/>
                <w:iCs/>
                <w:color w:val="0000FF"/>
                <w:sz w:val="14"/>
                <w:szCs w:val="14"/>
              </w:rPr>
              <w:tab/>
            </w:r>
            <w:r>
              <w:rPr>
                <w:i/>
                <w:iCs/>
                <w:color w:val="0000FF"/>
                <w:sz w:val="14"/>
                <w:szCs w:val="14"/>
              </w:rPr>
              <w:tab/>
            </w:r>
            <w:r w:rsidRPr="00AC50B8">
              <w:rPr>
                <w:i/>
                <w:iCs/>
                <w:color w:val="0000FF"/>
                <w:sz w:val="14"/>
                <w:szCs w:val="14"/>
              </w:rPr>
              <w:tab/>
              <w:t>-</w:t>
            </w:r>
            <w:r w:rsidRPr="00F922F0">
              <w:rPr>
                <w:i/>
                <w:iCs/>
                <w:sz w:val="14"/>
                <w:szCs w:val="14"/>
              </w:rPr>
              <w:t xml:space="preserve">               </w:t>
            </w:r>
          </w:p>
        </w:tc>
        <w:tc>
          <w:tcPr>
            <w:tcW w:w="3040" w:type="dxa"/>
            <w:tcBorders>
              <w:top w:val="nil"/>
              <w:left w:val="nil"/>
              <w:bottom w:val="nil"/>
              <w:right w:val="nil"/>
            </w:tcBorders>
            <w:shd w:val="clear" w:color="auto" w:fill="auto"/>
          </w:tcPr>
          <w:p w:rsidR="00236E18" w:rsidRPr="00F922F0" w:rsidRDefault="00236E18" w:rsidP="00294272">
            <w:pPr>
              <w:tabs>
                <w:tab w:val="right" w:pos="2835"/>
              </w:tabs>
              <w:rPr>
                <w:sz w:val="14"/>
                <w:szCs w:val="14"/>
              </w:rPr>
            </w:pPr>
          </w:p>
          <w:p w:rsidR="00236E18" w:rsidRPr="00F922F0" w:rsidRDefault="00236E18" w:rsidP="00294272">
            <w:pPr>
              <w:tabs>
                <w:tab w:val="right" w:pos="2835"/>
              </w:tabs>
              <w:rPr>
                <w:sz w:val="14"/>
                <w:szCs w:val="14"/>
              </w:rPr>
            </w:pPr>
            <w:r w:rsidRPr="00F922F0">
              <w:rPr>
                <w:sz w:val="14"/>
                <w:szCs w:val="14"/>
              </w:rPr>
              <w:t>VIII.4</w:t>
            </w:r>
            <w:r>
              <w:rPr>
                <w:sz w:val="14"/>
                <w:szCs w:val="14"/>
              </w:rPr>
              <w:t xml:space="preserve">  </w:t>
            </w:r>
            <w:r w:rsidRPr="008C3520">
              <w:rPr>
                <w:sz w:val="14"/>
                <w:szCs w:val="14"/>
              </w:rPr>
              <w:t>Intercambios abiertos, transparentes y dinámicos con las partes interesadas no gubernamentales</w:t>
            </w:r>
          </w:p>
          <w:p w:rsidR="00236E18" w:rsidRPr="00F922F0" w:rsidRDefault="00236E18" w:rsidP="00294272">
            <w:pPr>
              <w:tabs>
                <w:tab w:val="left" w:pos="368"/>
                <w:tab w:val="right" w:pos="2040"/>
              </w:tabs>
              <w:rPr>
                <w:i/>
                <w:iCs/>
                <w:sz w:val="14"/>
                <w:szCs w:val="14"/>
              </w:rPr>
            </w:pPr>
            <w:r w:rsidRPr="00F922F0">
              <w:rPr>
                <w:i/>
                <w:iCs/>
                <w:sz w:val="14"/>
                <w:szCs w:val="14"/>
              </w:rPr>
              <w:tab/>
            </w:r>
          </w:p>
          <w:p w:rsidR="00236E18" w:rsidRPr="00F922F0" w:rsidRDefault="00236E18" w:rsidP="00294272">
            <w:pPr>
              <w:tabs>
                <w:tab w:val="left" w:pos="368"/>
                <w:tab w:val="right" w:pos="2221"/>
                <w:tab w:val="right" w:pos="2673"/>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1.128</w:t>
            </w:r>
          </w:p>
          <w:p w:rsidR="00236E18" w:rsidRPr="00F922F0" w:rsidRDefault="00236E18" w:rsidP="00294272">
            <w:pPr>
              <w:tabs>
                <w:tab w:val="left" w:pos="368"/>
                <w:tab w:val="right" w:pos="1955"/>
                <w:tab w:val="right" w:pos="2643"/>
              </w:tabs>
              <w:rPr>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F6717D">
              <w:rPr>
                <w:i/>
                <w:iCs/>
                <w:color w:val="0000FF"/>
                <w:sz w:val="14"/>
                <w:szCs w:val="14"/>
              </w:rPr>
              <w:t>:</w:t>
            </w:r>
            <w:r w:rsidRPr="00F6717D">
              <w:rPr>
                <w:i/>
                <w:iCs/>
                <w:color w:val="0000FF"/>
                <w:sz w:val="14"/>
                <w:szCs w:val="14"/>
              </w:rPr>
              <w:tab/>
            </w:r>
            <w:r w:rsidRPr="00F6717D">
              <w:rPr>
                <w:i/>
                <w:iCs/>
                <w:color w:val="0000FF"/>
                <w:sz w:val="14"/>
                <w:szCs w:val="14"/>
              </w:rPr>
              <w:tab/>
              <w:t>-</w:t>
            </w:r>
          </w:p>
        </w:tc>
        <w:tc>
          <w:tcPr>
            <w:tcW w:w="3041" w:type="dxa"/>
            <w:tcBorders>
              <w:top w:val="nil"/>
              <w:left w:val="nil"/>
              <w:bottom w:val="nil"/>
              <w:right w:val="nil"/>
            </w:tcBorders>
            <w:shd w:val="clear" w:color="auto" w:fill="auto"/>
          </w:tcPr>
          <w:p w:rsidR="00236E18" w:rsidRPr="00F922F0" w:rsidRDefault="00236E18" w:rsidP="00294272">
            <w:pPr>
              <w:tabs>
                <w:tab w:val="right" w:pos="2835"/>
              </w:tabs>
              <w:rPr>
                <w:sz w:val="14"/>
                <w:szCs w:val="14"/>
              </w:rPr>
            </w:pPr>
          </w:p>
          <w:p w:rsidR="00236E18" w:rsidRPr="00F922F0" w:rsidRDefault="00236E18" w:rsidP="00294272">
            <w:pPr>
              <w:tabs>
                <w:tab w:val="right" w:pos="2835"/>
              </w:tabs>
              <w:spacing w:after="60"/>
              <w:rPr>
                <w:sz w:val="14"/>
                <w:szCs w:val="14"/>
              </w:rPr>
            </w:pPr>
            <w:r w:rsidRPr="00F922F0">
              <w:rPr>
                <w:sz w:val="14"/>
                <w:szCs w:val="14"/>
              </w:rPr>
              <w:t>VIII.5</w:t>
            </w:r>
            <w:r>
              <w:rPr>
                <w:sz w:val="14"/>
                <w:szCs w:val="14"/>
              </w:rPr>
              <w:t xml:space="preserve"> </w:t>
            </w:r>
            <w:r w:rsidRPr="00F922F0">
              <w:rPr>
                <w:sz w:val="14"/>
                <w:szCs w:val="14"/>
              </w:rPr>
              <w:t xml:space="preserve"> </w:t>
            </w:r>
            <w:r w:rsidRPr="008C3520">
              <w:rPr>
                <w:sz w:val="14"/>
                <w:szCs w:val="14"/>
              </w:rPr>
              <w:t>La OMPI participa y colabora eficazmente en los procesos y negociaciones de las NN.UU. y otras OIG</w:t>
            </w:r>
          </w:p>
          <w:p w:rsidR="00236E18" w:rsidRPr="00F922F0" w:rsidRDefault="00236E18" w:rsidP="00294272">
            <w:pPr>
              <w:tabs>
                <w:tab w:val="left" w:pos="397"/>
                <w:tab w:val="right" w:pos="2694"/>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6.196</w:t>
            </w:r>
          </w:p>
          <w:p w:rsidR="00236E18" w:rsidRPr="00F922F0" w:rsidRDefault="00236E18" w:rsidP="00294272">
            <w:pPr>
              <w:tabs>
                <w:tab w:val="left" w:pos="409"/>
                <w:tab w:val="right" w:pos="2694"/>
              </w:tabs>
              <w:rPr>
                <w:i/>
                <w:iCs/>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F6717D">
              <w:rPr>
                <w:i/>
                <w:iCs/>
                <w:color w:val="0000FF"/>
                <w:sz w:val="14"/>
                <w:szCs w:val="14"/>
              </w:rPr>
              <w:t xml:space="preserve">: </w:t>
            </w:r>
            <w:r w:rsidRPr="00F6717D">
              <w:rPr>
                <w:i/>
                <w:iCs/>
                <w:color w:val="0000FF"/>
                <w:sz w:val="14"/>
                <w:szCs w:val="14"/>
              </w:rPr>
              <w:tab/>
              <w:t>3.784</w:t>
            </w:r>
          </w:p>
        </w:tc>
        <w:tc>
          <w:tcPr>
            <w:tcW w:w="3046" w:type="dxa"/>
            <w:tcBorders>
              <w:top w:val="nil"/>
              <w:left w:val="nil"/>
              <w:bottom w:val="nil"/>
              <w:right w:val="single" w:sz="4" w:space="0" w:color="auto"/>
            </w:tcBorders>
            <w:shd w:val="clear" w:color="auto" w:fill="auto"/>
            <w:vAlign w:val="bottom"/>
          </w:tcPr>
          <w:p w:rsidR="00236E18" w:rsidRPr="00F922F0" w:rsidRDefault="00236E18" w:rsidP="00294272">
            <w:pPr>
              <w:tabs>
                <w:tab w:val="right" w:pos="2253"/>
              </w:tabs>
              <w:rPr>
                <w:i/>
                <w:iCs/>
                <w:sz w:val="14"/>
                <w:szCs w:val="14"/>
              </w:rPr>
            </w:pPr>
            <w:r w:rsidRPr="00F922F0">
              <w:rPr>
                <w:i/>
                <w:iCs/>
                <w:sz w:val="14"/>
                <w:szCs w:val="14"/>
              </w:rPr>
              <w:t>Total del presupuesto propuesto, meta VIII:</w:t>
            </w:r>
            <w:r>
              <w:rPr>
                <w:i/>
                <w:iCs/>
                <w:sz w:val="14"/>
                <w:szCs w:val="14"/>
              </w:rPr>
              <w:tab/>
              <w:t>32.675</w:t>
            </w:r>
          </w:p>
          <w:p w:rsidR="00236E18" w:rsidRPr="00740337" w:rsidRDefault="00236E18" w:rsidP="00294272">
            <w:pPr>
              <w:tabs>
                <w:tab w:val="right" w:pos="2350"/>
              </w:tabs>
              <w:rPr>
                <w:i/>
                <w:iCs/>
                <w:color w:val="0000FF"/>
                <w:sz w:val="14"/>
                <w:szCs w:val="14"/>
              </w:rPr>
            </w:pPr>
            <w:r w:rsidRPr="00740337">
              <w:rPr>
                <w:i/>
                <w:iCs/>
                <w:color w:val="0000FF"/>
                <w:sz w:val="14"/>
                <w:szCs w:val="14"/>
              </w:rPr>
              <w:t>Tota</w:t>
            </w:r>
            <w:r>
              <w:rPr>
                <w:i/>
                <w:iCs/>
                <w:color w:val="0000FF"/>
                <w:sz w:val="14"/>
                <w:szCs w:val="14"/>
              </w:rPr>
              <w:t>l</w:t>
            </w:r>
            <w:r w:rsidRPr="00740337">
              <w:rPr>
                <w:i/>
                <w:iCs/>
                <w:color w:val="0000FF"/>
                <w:sz w:val="14"/>
                <w:szCs w:val="14"/>
              </w:rPr>
              <w:t xml:space="preserve"> cuota</w:t>
            </w:r>
            <w:r>
              <w:rPr>
                <w:i/>
                <w:iCs/>
                <w:color w:val="0000FF"/>
                <w:sz w:val="14"/>
                <w:szCs w:val="14"/>
              </w:rPr>
              <w:t xml:space="preserve"> p/desarrollo</w:t>
            </w:r>
            <w:r w:rsidRPr="00740337">
              <w:rPr>
                <w:i/>
                <w:iCs/>
                <w:color w:val="0000FF"/>
                <w:sz w:val="14"/>
                <w:szCs w:val="14"/>
              </w:rPr>
              <w:t xml:space="preserve">, meta VIII: </w:t>
            </w:r>
            <w:r>
              <w:rPr>
                <w:i/>
                <w:iCs/>
                <w:color w:val="0000FF"/>
                <w:sz w:val="14"/>
                <w:szCs w:val="14"/>
              </w:rPr>
              <w:tab/>
            </w:r>
            <w:r w:rsidRPr="00740337">
              <w:rPr>
                <w:i/>
                <w:iCs/>
                <w:color w:val="0000FF"/>
                <w:sz w:val="14"/>
                <w:szCs w:val="14"/>
              </w:rPr>
              <w:t>10.831</w:t>
            </w:r>
          </w:p>
          <w:p w:rsidR="00236E18" w:rsidRPr="00F922F0" w:rsidRDefault="00236E18" w:rsidP="00294272">
            <w:pPr>
              <w:tabs>
                <w:tab w:val="right" w:pos="2350"/>
              </w:tabs>
              <w:rPr>
                <w:i/>
                <w:iCs/>
                <w:sz w:val="14"/>
                <w:szCs w:val="14"/>
              </w:rPr>
            </w:pPr>
          </w:p>
        </w:tc>
      </w:tr>
      <w:tr w:rsidR="00236E18" w:rsidRPr="00F922F0" w:rsidTr="00294272">
        <w:trPr>
          <w:trHeight w:val="883"/>
        </w:trPr>
        <w:tc>
          <w:tcPr>
            <w:tcW w:w="387" w:type="dxa"/>
            <w:vMerge/>
            <w:tcBorders>
              <w:top w:val="single" w:sz="8" w:space="0" w:color="auto"/>
              <w:left w:val="single" w:sz="8" w:space="0" w:color="auto"/>
              <w:bottom w:val="single" w:sz="4" w:space="0" w:color="000000"/>
              <w:right w:val="nil"/>
            </w:tcBorders>
            <w:vAlign w:val="center"/>
          </w:tcPr>
          <w:p w:rsidR="00236E18" w:rsidRPr="00F922F0" w:rsidRDefault="00236E18" w:rsidP="00294272">
            <w:pPr>
              <w:tabs>
                <w:tab w:val="right" w:pos="2835"/>
              </w:tabs>
              <w:rPr>
                <w:b/>
                <w:bCs/>
                <w:sz w:val="16"/>
                <w:szCs w:val="16"/>
              </w:rPr>
            </w:pPr>
          </w:p>
        </w:tc>
        <w:tc>
          <w:tcPr>
            <w:tcW w:w="3040" w:type="dxa"/>
            <w:tcBorders>
              <w:top w:val="single" w:sz="4" w:space="0" w:color="auto"/>
              <w:left w:val="single" w:sz="4" w:space="0" w:color="auto"/>
              <w:bottom w:val="single" w:sz="4" w:space="0" w:color="auto"/>
              <w:right w:val="single" w:sz="4" w:space="0" w:color="auto"/>
            </w:tcBorders>
            <w:shd w:val="clear" w:color="auto" w:fill="C6D9F1"/>
            <w:vAlign w:val="center"/>
          </w:tcPr>
          <w:p w:rsidR="00236E18" w:rsidRPr="00F922F0" w:rsidRDefault="00236E18" w:rsidP="00294272">
            <w:pPr>
              <w:tabs>
                <w:tab w:val="right" w:pos="2835"/>
              </w:tabs>
              <w:jc w:val="center"/>
              <w:rPr>
                <w:b/>
                <w:bCs/>
                <w:sz w:val="16"/>
                <w:szCs w:val="16"/>
              </w:rPr>
            </w:pPr>
            <w:r w:rsidRPr="00F922F0">
              <w:rPr>
                <w:b/>
                <w:bCs/>
                <w:sz w:val="16"/>
                <w:szCs w:val="16"/>
              </w:rPr>
              <w:t>Meta estratégica I:</w:t>
            </w:r>
          </w:p>
          <w:p w:rsidR="00236E18" w:rsidRPr="00F922F0" w:rsidRDefault="00236E18" w:rsidP="00294272">
            <w:pPr>
              <w:tabs>
                <w:tab w:val="right" w:pos="2835"/>
              </w:tabs>
              <w:jc w:val="center"/>
              <w:rPr>
                <w:b/>
                <w:bCs/>
                <w:sz w:val="16"/>
                <w:szCs w:val="16"/>
              </w:rPr>
            </w:pPr>
            <w:r w:rsidRPr="00F922F0">
              <w:rPr>
                <w:b/>
                <w:bCs/>
                <w:sz w:val="16"/>
                <w:szCs w:val="16"/>
              </w:rPr>
              <w:t>Evolución equilibrada del marco normativo internacional de P.I.</w:t>
            </w:r>
          </w:p>
          <w:p w:rsidR="00236E18" w:rsidRPr="00F922F0" w:rsidRDefault="00236E18" w:rsidP="00294272">
            <w:pPr>
              <w:tabs>
                <w:tab w:val="right" w:pos="2835"/>
              </w:tabs>
              <w:jc w:val="center"/>
              <w:rPr>
                <w:b/>
                <w:bCs/>
                <w:sz w:val="16"/>
                <w:szCs w:val="16"/>
              </w:rPr>
            </w:pPr>
          </w:p>
        </w:tc>
        <w:tc>
          <w:tcPr>
            <w:tcW w:w="3041" w:type="dxa"/>
            <w:tcBorders>
              <w:top w:val="single" w:sz="4" w:space="0" w:color="auto"/>
              <w:left w:val="nil"/>
              <w:bottom w:val="single" w:sz="4" w:space="0" w:color="auto"/>
              <w:right w:val="single" w:sz="4" w:space="0" w:color="auto"/>
            </w:tcBorders>
            <w:shd w:val="clear" w:color="auto" w:fill="C6D9F1"/>
            <w:vAlign w:val="center"/>
          </w:tcPr>
          <w:p w:rsidR="00236E18" w:rsidRPr="00F922F0" w:rsidRDefault="00236E18" w:rsidP="00294272">
            <w:pPr>
              <w:tabs>
                <w:tab w:val="right" w:pos="2835"/>
              </w:tabs>
              <w:jc w:val="center"/>
              <w:rPr>
                <w:b/>
                <w:bCs/>
                <w:sz w:val="16"/>
                <w:szCs w:val="16"/>
              </w:rPr>
            </w:pPr>
            <w:r w:rsidRPr="00F922F0">
              <w:rPr>
                <w:b/>
                <w:bCs/>
                <w:sz w:val="16"/>
                <w:szCs w:val="16"/>
              </w:rPr>
              <w:t>Meta estratégica II:</w:t>
            </w:r>
          </w:p>
          <w:p w:rsidR="00236E18" w:rsidRPr="00F922F0" w:rsidRDefault="00236E18" w:rsidP="00294272">
            <w:pPr>
              <w:tabs>
                <w:tab w:val="right" w:pos="2835"/>
              </w:tabs>
              <w:jc w:val="center"/>
              <w:rPr>
                <w:b/>
                <w:bCs/>
                <w:sz w:val="16"/>
                <w:szCs w:val="16"/>
              </w:rPr>
            </w:pPr>
            <w:r w:rsidRPr="00F922F0">
              <w:rPr>
                <w:b/>
                <w:bCs/>
                <w:sz w:val="16"/>
                <w:szCs w:val="16"/>
              </w:rPr>
              <w:t>Prestación de servicios mundiales de P.I. de calidad</w:t>
            </w:r>
          </w:p>
          <w:p w:rsidR="00236E18" w:rsidRPr="00F922F0" w:rsidRDefault="00236E18" w:rsidP="00294272">
            <w:pPr>
              <w:tabs>
                <w:tab w:val="right" w:pos="2835"/>
              </w:tabs>
              <w:jc w:val="center"/>
              <w:rPr>
                <w:b/>
                <w:bCs/>
                <w:sz w:val="16"/>
                <w:szCs w:val="16"/>
              </w:rPr>
            </w:pPr>
          </w:p>
        </w:tc>
        <w:tc>
          <w:tcPr>
            <w:tcW w:w="3043" w:type="dxa"/>
            <w:tcBorders>
              <w:top w:val="single" w:sz="4" w:space="0" w:color="auto"/>
              <w:left w:val="nil"/>
              <w:bottom w:val="single" w:sz="4" w:space="0" w:color="auto"/>
              <w:right w:val="single" w:sz="4" w:space="0" w:color="auto"/>
            </w:tcBorders>
            <w:shd w:val="clear" w:color="auto" w:fill="C6D9F1"/>
            <w:vAlign w:val="center"/>
          </w:tcPr>
          <w:p w:rsidR="00236E18" w:rsidRPr="00F922F0" w:rsidRDefault="00236E18" w:rsidP="00294272">
            <w:pPr>
              <w:tabs>
                <w:tab w:val="right" w:pos="2835"/>
              </w:tabs>
              <w:jc w:val="center"/>
              <w:rPr>
                <w:b/>
                <w:bCs/>
                <w:sz w:val="16"/>
                <w:szCs w:val="16"/>
              </w:rPr>
            </w:pPr>
            <w:r w:rsidRPr="00F922F0">
              <w:rPr>
                <w:b/>
                <w:bCs/>
                <w:sz w:val="16"/>
                <w:szCs w:val="16"/>
              </w:rPr>
              <w:t>Meta estratégica III:</w:t>
            </w:r>
          </w:p>
          <w:p w:rsidR="00236E18" w:rsidRPr="00F922F0" w:rsidRDefault="00236E18" w:rsidP="00294272">
            <w:pPr>
              <w:tabs>
                <w:tab w:val="right" w:pos="2835"/>
              </w:tabs>
              <w:jc w:val="center"/>
              <w:rPr>
                <w:b/>
                <w:bCs/>
                <w:sz w:val="16"/>
                <w:szCs w:val="16"/>
              </w:rPr>
            </w:pPr>
            <w:r w:rsidRPr="00F922F0">
              <w:rPr>
                <w:b/>
                <w:bCs/>
                <w:sz w:val="16"/>
                <w:szCs w:val="16"/>
              </w:rPr>
              <w:t xml:space="preserve">Facilitar el uso de la P.I. en aras del desarrollo </w:t>
            </w:r>
          </w:p>
          <w:p w:rsidR="00236E18" w:rsidRPr="00F922F0" w:rsidRDefault="00236E18" w:rsidP="00294272">
            <w:pPr>
              <w:tabs>
                <w:tab w:val="right" w:pos="2835"/>
              </w:tabs>
              <w:jc w:val="center"/>
              <w:rPr>
                <w:b/>
                <w:bCs/>
                <w:sz w:val="16"/>
                <w:szCs w:val="16"/>
              </w:rPr>
            </w:pPr>
          </w:p>
        </w:tc>
        <w:tc>
          <w:tcPr>
            <w:tcW w:w="3041" w:type="dxa"/>
            <w:tcBorders>
              <w:top w:val="single" w:sz="4" w:space="0" w:color="auto"/>
              <w:left w:val="nil"/>
              <w:bottom w:val="single" w:sz="4" w:space="0" w:color="auto"/>
              <w:right w:val="single" w:sz="4" w:space="0" w:color="auto"/>
            </w:tcBorders>
            <w:shd w:val="clear" w:color="auto" w:fill="C6D9F1"/>
            <w:vAlign w:val="center"/>
          </w:tcPr>
          <w:p w:rsidR="00236E18" w:rsidRPr="00F922F0" w:rsidRDefault="00236E18" w:rsidP="00294272">
            <w:pPr>
              <w:tabs>
                <w:tab w:val="right" w:pos="2835"/>
              </w:tabs>
              <w:jc w:val="center"/>
              <w:rPr>
                <w:b/>
                <w:bCs/>
                <w:sz w:val="16"/>
                <w:szCs w:val="16"/>
              </w:rPr>
            </w:pPr>
            <w:r w:rsidRPr="00F922F0">
              <w:rPr>
                <w:b/>
                <w:bCs/>
                <w:sz w:val="16"/>
                <w:szCs w:val="16"/>
              </w:rPr>
              <w:t>Meta estratégica IV:</w:t>
            </w:r>
          </w:p>
          <w:p w:rsidR="00236E18" w:rsidRPr="00F922F0" w:rsidRDefault="00236E18" w:rsidP="00294272">
            <w:pPr>
              <w:tabs>
                <w:tab w:val="right" w:pos="2835"/>
              </w:tabs>
              <w:jc w:val="center"/>
              <w:rPr>
                <w:b/>
                <w:bCs/>
                <w:sz w:val="16"/>
                <w:szCs w:val="16"/>
              </w:rPr>
            </w:pPr>
            <w:r w:rsidRPr="00F922F0">
              <w:rPr>
                <w:b/>
                <w:bCs/>
                <w:sz w:val="16"/>
                <w:szCs w:val="16"/>
              </w:rPr>
              <w:t>Coordinación y desarrollo de la infraestructura mundial de P.I.</w:t>
            </w:r>
          </w:p>
          <w:p w:rsidR="00236E18" w:rsidRPr="00F922F0" w:rsidRDefault="00236E18" w:rsidP="00294272">
            <w:pPr>
              <w:tabs>
                <w:tab w:val="right" w:pos="2835"/>
              </w:tabs>
              <w:jc w:val="center"/>
              <w:rPr>
                <w:b/>
                <w:bCs/>
                <w:sz w:val="16"/>
                <w:szCs w:val="16"/>
              </w:rPr>
            </w:pPr>
          </w:p>
        </w:tc>
        <w:tc>
          <w:tcPr>
            <w:tcW w:w="3040" w:type="dxa"/>
            <w:tcBorders>
              <w:top w:val="single" w:sz="4" w:space="0" w:color="auto"/>
              <w:left w:val="nil"/>
              <w:bottom w:val="single" w:sz="4" w:space="0" w:color="auto"/>
              <w:right w:val="single" w:sz="4" w:space="0" w:color="auto"/>
            </w:tcBorders>
            <w:shd w:val="clear" w:color="auto" w:fill="C6D9F1"/>
            <w:vAlign w:val="center"/>
          </w:tcPr>
          <w:p w:rsidR="00236E18" w:rsidRPr="00F922F0" w:rsidRDefault="00236E18" w:rsidP="00294272">
            <w:pPr>
              <w:tabs>
                <w:tab w:val="right" w:pos="2835"/>
              </w:tabs>
              <w:jc w:val="center"/>
              <w:rPr>
                <w:b/>
                <w:bCs/>
                <w:sz w:val="16"/>
                <w:szCs w:val="16"/>
              </w:rPr>
            </w:pPr>
          </w:p>
          <w:p w:rsidR="00236E18" w:rsidRPr="00F922F0" w:rsidRDefault="00236E18" w:rsidP="00294272">
            <w:pPr>
              <w:tabs>
                <w:tab w:val="right" w:pos="2835"/>
              </w:tabs>
              <w:jc w:val="center"/>
              <w:rPr>
                <w:b/>
                <w:bCs/>
                <w:sz w:val="16"/>
                <w:szCs w:val="16"/>
              </w:rPr>
            </w:pPr>
            <w:r w:rsidRPr="00F922F0">
              <w:rPr>
                <w:b/>
                <w:bCs/>
                <w:sz w:val="16"/>
                <w:szCs w:val="16"/>
              </w:rPr>
              <w:t>Meta estratégica V:</w:t>
            </w:r>
          </w:p>
          <w:p w:rsidR="00236E18" w:rsidRPr="00F922F0" w:rsidRDefault="00236E18" w:rsidP="00294272">
            <w:pPr>
              <w:tabs>
                <w:tab w:val="right" w:pos="2835"/>
              </w:tabs>
              <w:jc w:val="center"/>
              <w:rPr>
                <w:b/>
                <w:bCs/>
                <w:sz w:val="16"/>
                <w:szCs w:val="16"/>
              </w:rPr>
            </w:pPr>
            <w:r w:rsidRPr="00F922F0">
              <w:rPr>
                <w:b/>
                <w:bCs/>
                <w:sz w:val="16"/>
                <w:szCs w:val="16"/>
              </w:rPr>
              <w:t xml:space="preserve">Fuente de referencia en el mundo de información y análisis en materia de P.I. </w:t>
            </w:r>
          </w:p>
          <w:p w:rsidR="00236E18" w:rsidRPr="00F922F0" w:rsidRDefault="00236E18" w:rsidP="00294272">
            <w:pPr>
              <w:tabs>
                <w:tab w:val="right" w:pos="2835"/>
              </w:tabs>
              <w:jc w:val="center"/>
              <w:rPr>
                <w:b/>
                <w:bCs/>
                <w:sz w:val="16"/>
                <w:szCs w:val="16"/>
              </w:rPr>
            </w:pPr>
          </w:p>
        </w:tc>
        <w:tc>
          <w:tcPr>
            <w:tcW w:w="3041" w:type="dxa"/>
            <w:tcBorders>
              <w:top w:val="single" w:sz="4" w:space="0" w:color="auto"/>
              <w:left w:val="nil"/>
              <w:bottom w:val="single" w:sz="4" w:space="0" w:color="auto"/>
              <w:right w:val="single" w:sz="4" w:space="0" w:color="auto"/>
            </w:tcBorders>
            <w:shd w:val="clear" w:color="auto" w:fill="C6D9F1"/>
            <w:vAlign w:val="center"/>
          </w:tcPr>
          <w:p w:rsidR="00236E18" w:rsidRPr="00F922F0" w:rsidRDefault="00236E18" w:rsidP="00294272">
            <w:pPr>
              <w:tabs>
                <w:tab w:val="right" w:pos="2835"/>
              </w:tabs>
              <w:jc w:val="center"/>
              <w:rPr>
                <w:b/>
                <w:bCs/>
                <w:sz w:val="16"/>
                <w:szCs w:val="16"/>
              </w:rPr>
            </w:pPr>
            <w:r w:rsidRPr="00F922F0">
              <w:rPr>
                <w:b/>
                <w:bCs/>
                <w:sz w:val="16"/>
                <w:szCs w:val="16"/>
              </w:rPr>
              <w:t>Meta estratégica VI:</w:t>
            </w:r>
          </w:p>
          <w:p w:rsidR="00236E18" w:rsidRPr="00F922F0" w:rsidRDefault="00236E18" w:rsidP="00294272">
            <w:pPr>
              <w:tabs>
                <w:tab w:val="right" w:pos="2835"/>
              </w:tabs>
              <w:jc w:val="center"/>
              <w:rPr>
                <w:b/>
                <w:bCs/>
                <w:sz w:val="16"/>
                <w:szCs w:val="16"/>
              </w:rPr>
            </w:pPr>
            <w:r w:rsidRPr="00F922F0">
              <w:rPr>
                <w:b/>
                <w:bCs/>
                <w:sz w:val="16"/>
                <w:szCs w:val="16"/>
              </w:rPr>
              <w:t>Cooperación internacional para cultivar el respeto por la P.I.</w:t>
            </w:r>
          </w:p>
          <w:p w:rsidR="00236E18" w:rsidRPr="00F922F0" w:rsidRDefault="00236E18" w:rsidP="00294272">
            <w:pPr>
              <w:tabs>
                <w:tab w:val="right" w:pos="2835"/>
              </w:tabs>
              <w:jc w:val="center"/>
              <w:rPr>
                <w:b/>
                <w:bCs/>
                <w:sz w:val="16"/>
                <w:szCs w:val="16"/>
              </w:rPr>
            </w:pPr>
          </w:p>
        </w:tc>
        <w:tc>
          <w:tcPr>
            <w:tcW w:w="3046" w:type="dxa"/>
            <w:tcBorders>
              <w:top w:val="single" w:sz="4" w:space="0" w:color="auto"/>
              <w:left w:val="nil"/>
              <w:bottom w:val="single" w:sz="4" w:space="0" w:color="auto"/>
              <w:right w:val="single" w:sz="4" w:space="0" w:color="auto"/>
            </w:tcBorders>
            <w:shd w:val="clear" w:color="auto" w:fill="C6D9F1"/>
            <w:vAlign w:val="center"/>
          </w:tcPr>
          <w:p w:rsidR="00236E18" w:rsidRPr="00F922F0" w:rsidRDefault="00236E18" w:rsidP="00294272">
            <w:pPr>
              <w:tabs>
                <w:tab w:val="right" w:pos="2835"/>
              </w:tabs>
              <w:jc w:val="center"/>
              <w:rPr>
                <w:b/>
                <w:bCs/>
                <w:sz w:val="16"/>
                <w:szCs w:val="16"/>
              </w:rPr>
            </w:pPr>
            <w:r w:rsidRPr="00F922F0">
              <w:rPr>
                <w:b/>
                <w:bCs/>
                <w:sz w:val="16"/>
                <w:szCs w:val="16"/>
              </w:rPr>
              <w:t>Meta estratégica VII:</w:t>
            </w:r>
          </w:p>
          <w:p w:rsidR="00236E18" w:rsidRPr="00F922F0" w:rsidRDefault="00236E18" w:rsidP="00294272">
            <w:pPr>
              <w:tabs>
                <w:tab w:val="right" w:pos="2835"/>
              </w:tabs>
              <w:jc w:val="center"/>
              <w:rPr>
                <w:b/>
                <w:bCs/>
                <w:sz w:val="16"/>
                <w:szCs w:val="16"/>
              </w:rPr>
            </w:pPr>
            <w:r w:rsidRPr="00F922F0">
              <w:rPr>
                <w:b/>
                <w:bCs/>
                <w:sz w:val="16"/>
                <w:szCs w:val="16"/>
              </w:rPr>
              <w:t>Vínculos entre la P.I. y los problemas mundiales de política pública</w:t>
            </w:r>
          </w:p>
          <w:p w:rsidR="00236E18" w:rsidRPr="00F922F0" w:rsidRDefault="00236E18" w:rsidP="00294272">
            <w:pPr>
              <w:tabs>
                <w:tab w:val="right" w:pos="2835"/>
              </w:tabs>
              <w:jc w:val="center"/>
              <w:rPr>
                <w:b/>
                <w:bCs/>
                <w:sz w:val="16"/>
                <w:szCs w:val="16"/>
              </w:rPr>
            </w:pPr>
          </w:p>
        </w:tc>
      </w:tr>
      <w:tr w:rsidR="00236E18" w:rsidRPr="00F922F0" w:rsidTr="00294272">
        <w:trPr>
          <w:trHeight w:val="145"/>
        </w:trPr>
        <w:tc>
          <w:tcPr>
            <w:tcW w:w="387" w:type="dxa"/>
            <w:vMerge/>
            <w:tcBorders>
              <w:top w:val="single" w:sz="8" w:space="0" w:color="auto"/>
              <w:left w:val="single" w:sz="8" w:space="0" w:color="auto"/>
              <w:bottom w:val="single" w:sz="4" w:space="0" w:color="000000"/>
              <w:right w:val="nil"/>
            </w:tcBorders>
            <w:vAlign w:val="center"/>
          </w:tcPr>
          <w:p w:rsidR="00236E18" w:rsidRPr="00F922F0" w:rsidRDefault="00236E18" w:rsidP="00294272">
            <w:pPr>
              <w:tabs>
                <w:tab w:val="right" w:pos="2835"/>
              </w:tabs>
              <w:rPr>
                <w:b/>
                <w:bCs/>
                <w:sz w:val="16"/>
                <w:szCs w:val="16"/>
              </w:rPr>
            </w:pPr>
          </w:p>
        </w:tc>
        <w:tc>
          <w:tcPr>
            <w:tcW w:w="3040" w:type="dxa"/>
            <w:tcBorders>
              <w:top w:val="nil"/>
              <w:left w:val="single" w:sz="4" w:space="0" w:color="auto"/>
              <w:right w:val="nil"/>
            </w:tcBorders>
            <w:shd w:val="clear" w:color="auto" w:fill="auto"/>
          </w:tcPr>
          <w:p w:rsidR="00236E18" w:rsidRPr="00F922F0" w:rsidRDefault="00236E18" w:rsidP="00294272">
            <w:pPr>
              <w:tabs>
                <w:tab w:val="left" w:pos="307"/>
                <w:tab w:val="left" w:pos="2157"/>
                <w:tab w:val="right" w:pos="2835"/>
              </w:tabs>
              <w:rPr>
                <w:sz w:val="14"/>
                <w:szCs w:val="14"/>
              </w:rPr>
            </w:pPr>
            <w:r>
              <w:rPr>
                <w:sz w:val="14"/>
                <w:szCs w:val="14"/>
              </w:rPr>
              <w:t xml:space="preserve">I.1 </w:t>
            </w:r>
            <w:r w:rsidRPr="00F922F0">
              <w:rPr>
                <w:sz w:val="14"/>
                <w:szCs w:val="14"/>
              </w:rPr>
              <w:t xml:space="preserve"> </w:t>
            </w:r>
            <w:r w:rsidRPr="00BF4D0F">
              <w:rPr>
                <w:sz w:val="14"/>
                <w:szCs w:val="14"/>
              </w:rPr>
              <w:t>Mayor cooperación entre los Estados miembros en la elaboración de marcos normativos internacionales de P.I. equilibrados</w:t>
            </w:r>
          </w:p>
          <w:p w:rsidR="00236E18" w:rsidRPr="00F922F0" w:rsidRDefault="00236E18" w:rsidP="00294272">
            <w:pPr>
              <w:tabs>
                <w:tab w:val="left" w:pos="307"/>
                <w:tab w:val="left" w:pos="2157"/>
                <w:tab w:val="right" w:pos="2835"/>
              </w:tabs>
              <w:rPr>
                <w:sz w:val="14"/>
                <w:szCs w:val="14"/>
              </w:rPr>
            </w:pPr>
          </w:p>
          <w:p w:rsidR="00236E18" w:rsidRPr="00F922F0" w:rsidRDefault="00236E18" w:rsidP="00294272">
            <w:pPr>
              <w:tabs>
                <w:tab w:val="left" w:pos="307"/>
                <w:tab w:val="left" w:pos="2157"/>
                <w:tab w:val="right" w:pos="2835"/>
              </w:tabs>
              <w:rPr>
                <w:i/>
                <w:iCs/>
                <w:sz w:val="14"/>
                <w:szCs w:val="14"/>
              </w:rPr>
            </w:pPr>
            <w:r w:rsidRPr="00F922F0">
              <w:rPr>
                <w:i/>
                <w:iCs/>
                <w:sz w:val="14"/>
                <w:szCs w:val="14"/>
              </w:rPr>
              <w:tab/>
              <w:t>Presupuesto propuesto 16/17:</w:t>
            </w:r>
            <w:r>
              <w:rPr>
                <w:iCs/>
                <w:sz w:val="14"/>
                <w:szCs w:val="14"/>
              </w:rPr>
              <w:tab/>
            </w:r>
            <w:r w:rsidRPr="00F922F0">
              <w:rPr>
                <w:i/>
                <w:iCs/>
                <w:sz w:val="14"/>
                <w:szCs w:val="14"/>
              </w:rPr>
              <w:t>13.976</w:t>
            </w:r>
          </w:p>
          <w:p w:rsidR="00236E18" w:rsidRPr="00F922F0" w:rsidRDefault="00236E18" w:rsidP="00294272">
            <w:pPr>
              <w:tabs>
                <w:tab w:val="left" w:pos="319"/>
                <w:tab w:val="left" w:pos="2157"/>
                <w:tab w:val="right" w:pos="2835"/>
              </w:tabs>
              <w:rPr>
                <w:i/>
                <w:iCs/>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F922F0">
              <w:rPr>
                <w:i/>
                <w:iCs/>
                <w:color w:val="0000FF"/>
                <w:sz w:val="14"/>
                <w:szCs w:val="14"/>
              </w:rPr>
              <w:t xml:space="preserve">: </w:t>
            </w:r>
            <w:r>
              <w:rPr>
                <w:i/>
                <w:iCs/>
                <w:color w:val="0000FF"/>
                <w:sz w:val="14"/>
                <w:szCs w:val="14"/>
              </w:rPr>
              <w:tab/>
            </w:r>
            <w:r>
              <w:rPr>
                <w:i/>
                <w:iCs/>
                <w:color w:val="0000FF"/>
                <w:sz w:val="14"/>
                <w:szCs w:val="14"/>
              </w:rPr>
              <w:tab/>
            </w:r>
            <w:r w:rsidRPr="00F922F0">
              <w:rPr>
                <w:i/>
                <w:iCs/>
                <w:color w:val="0000FF"/>
                <w:sz w:val="14"/>
                <w:szCs w:val="14"/>
              </w:rPr>
              <w:t>8.712</w:t>
            </w:r>
            <w:r w:rsidRPr="00F922F0">
              <w:rPr>
                <w:i/>
                <w:iCs/>
                <w:color w:val="0000FF"/>
                <w:sz w:val="14"/>
                <w:szCs w:val="14"/>
              </w:rPr>
              <w:tab/>
            </w:r>
          </w:p>
          <w:p w:rsidR="00236E18" w:rsidRPr="00F922F0" w:rsidRDefault="00236E18" w:rsidP="00294272">
            <w:pPr>
              <w:tabs>
                <w:tab w:val="right" w:pos="2835"/>
              </w:tabs>
              <w:rPr>
                <w:sz w:val="14"/>
                <w:szCs w:val="14"/>
              </w:rPr>
            </w:pPr>
          </w:p>
          <w:p w:rsidR="00236E18" w:rsidRPr="00F922F0" w:rsidRDefault="00236E18" w:rsidP="00294272">
            <w:pPr>
              <w:tabs>
                <w:tab w:val="right" w:pos="2835"/>
              </w:tabs>
              <w:rPr>
                <w:sz w:val="14"/>
                <w:szCs w:val="14"/>
              </w:rPr>
            </w:pPr>
          </w:p>
          <w:p w:rsidR="00236E18" w:rsidRPr="00F922F0" w:rsidRDefault="00236E18" w:rsidP="00294272">
            <w:pPr>
              <w:tabs>
                <w:tab w:val="right" w:pos="2835"/>
              </w:tabs>
              <w:spacing w:after="60"/>
              <w:rPr>
                <w:sz w:val="14"/>
                <w:szCs w:val="14"/>
              </w:rPr>
            </w:pPr>
            <w:r w:rsidRPr="00F922F0">
              <w:rPr>
                <w:sz w:val="14"/>
                <w:szCs w:val="14"/>
              </w:rPr>
              <w:t xml:space="preserve">I.2. </w:t>
            </w:r>
            <w:r w:rsidRPr="00BF4D0F">
              <w:rPr>
                <w:sz w:val="14"/>
                <w:szCs w:val="14"/>
              </w:rPr>
              <w:t>Marcos de P.I. adaptados y equilibrados en el ámbito legislativo, regulador y de política</w:t>
            </w:r>
          </w:p>
          <w:p w:rsidR="00236E18" w:rsidRPr="00F922F0" w:rsidRDefault="00236E18" w:rsidP="00294272">
            <w:pPr>
              <w:tabs>
                <w:tab w:val="left" w:pos="307"/>
                <w:tab w:val="left" w:pos="2157"/>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 xml:space="preserve"> </w:t>
            </w:r>
            <w:r>
              <w:rPr>
                <w:iCs/>
                <w:sz w:val="14"/>
                <w:szCs w:val="14"/>
              </w:rPr>
              <w:tab/>
            </w:r>
            <w:r w:rsidRPr="00F922F0">
              <w:rPr>
                <w:i/>
                <w:iCs/>
                <w:sz w:val="14"/>
                <w:szCs w:val="14"/>
              </w:rPr>
              <w:t>9.748</w:t>
            </w:r>
          </w:p>
          <w:p w:rsidR="00236E18" w:rsidRPr="00F922F0" w:rsidRDefault="00236E18" w:rsidP="00294272">
            <w:pPr>
              <w:tabs>
                <w:tab w:val="left" w:pos="307"/>
                <w:tab w:val="left" w:pos="2157"/>
                <w:tab w:val="right" w:pos="2835"/>
              </w:tabs>
              <w:rPr>
                <w:i/>
                <w:iCs/>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F922F0">
              <w:rPr>
                <w:i/>
                <w:iCs/>
                <w:color w:val="0000FF"/>
                <w:sz w:val="14"/>
                <w:szCs w:val="14"/>
              </w:rPr>
              <w:t xml:space="preserve">:  </w:t>
            </w:r>
            <w:r>
              <w:rPr>
                <w:i/>
                <w:iCs/>
                <w:color w:val="0000FF"/>
                <w:sz w:val="14"/>
                <w:szCs w:val="14"/>
              </w:rPr>
              <w:tab/>
            </w:r>
            <w:r>
              <w:rPr>
                <w:i/>
                <w:iCs/>
                <w:color w:val="0000FF"/>
                <w:sz w:val="14"/>
                <w:szCs w:val="14"/>
              </w:rPr>
              <w:tab/>
            </w:r>
            <w:r w:rsidRPr="00F922F0">
              <w:rPr>
                <w:i/>
                <w:iCs/>
                <w:color w:val="0000FF"/>
                <w:sz w:val="14"/>
                <w:szCs w:val="14"/>
              </w:rPr>
              <w:t>8.292</w:t>
            </w:r>
          </w:p>
          <w:p w:rsidR="00236E18" w:rsidRPr="00F922F0" w:rsidRDefault="00236E18" w:rsidP="00294272">
            <w:pPr>
              <w:tabs>
                <w:tab w:val="right" w:pos="2835"/>
              </w:tabs>
              <w:rPr>
                <w:sz w:val="14"/>
                <w:szCs w:val="14"/>
              </w:rPr>
            </w:pPr>
          </w:p>
          <w:p w:rsidR="00236E18" w:rsidRPr="00F922F0" w:rsidRDefault="00236E18" w:rsidP="00294272">
            <w:pPr>
              <w:tabs>
                <w:tab w:val="right" w:pos="2835"/>
              </w:tabs>
              <w:rPr>
                <w:sz w:val="14"/>
                <w:szCs w:val="14"/>
              </w:rPr>
            </w:pPr>
          </w:p>
          <w:p w:rsidR="00236E18" w:rsidRPr="00F922F0" w:rsidRDefault="00236E18" w:rsidP="00294272">
            <w:pPr>
              <w:tabs>
                <w:tab w:val="right" w:pos="2835"/>
              </w:tabs>
              <w:spacing w:after="60"/>
              <w:rPr>
                <w:sz w:val="14"/>
                <w:szCs w:val="14"/>
              </w:rPr>
            </w:pPr>
            <w:r>
              <w:rPr>
                <w:sz w:val="14"/>
                <w:szCs w:val="14"/>
              </w:rPr>
              <w:t xml:space="preserve">I.3  </w:t>
            </w:r>
            <w:r w:rsidRPr="00BF4D0F">
              <w:rPr>
                <w:sz w:val="14"/>
                <w:szCs w:val="14"/>
              </w:rPr>
              <w:t>Aumento de la protección de los emblemas de Estado y de los nombres y emblemas de organizaciones intergubernamentales internacionales</w:t>
            </w:r>
          </w:p>
          <w:p w:rsidR="00236E18" w:rsidRPr="00F922F0" w:rsidRDefault="00236E18" w:rsidP="00294272">
            <w:pPr>
              <w:tabs>
                <w:tab w:val="left" w:pos="307"/>
                <w:tab w:val="left" w:pos="2157"/>
                <w:tab w:val="right" w:pos="2835"/>
              </w:tabs>
              <w:rPr>
                <w:i/>
                <w:iCs/>
                <w:sz w:val="14"/>
                <w:szCs w:val="14"/>
              </w:rPr>
            </w:pPr>
            <w:r w:rsidRPr="00F922F0">
              <w:rPr>
                <w:i/>
                <w:iCs/>
                <w:sz w:val="14"/>
                <w:szCs w:val="14"/>
              </w:rPr>
              <w:tab/>
              <w:t>Presupuesto propuesto 16/17:</w:t>
            </w:r>
            <w:r>
              <w:rPr>
                <w:iCs/>
                <w:sz w:val="14"/>
                <w:szCs w:val="14"/>
              </w:rPr>
              <w:tab/>
            </w:r>
            <w:r w:rsidRPr="00F922F0">
              <w:rPr>
                <w:i/>
                <w:iCs/>
                <w:sz w:val="14"/>
                <w:szCs w:val="14"/>
              </w:rPr>
              <w:t>544</w:t>
            </w:r>
            <w:r w:rsidRPr="00F922F0">
              <w:rPr>
                <w:i/>
                <w:iCs/>
                <w:sz w:val="14"/>
                <w:szCs w:val="14"/>
              </w:rPr>
              <w:tab/>
            </w:r>
          </w:p>
          <w:p w:rsidR="00236E18" w:rsidRPr="001C77E2" w:rsidRDefault="00236E18" w:rsidP="00294272">
            <w:pPr>
              <w:tabs>
                <w:tab w:val="left" w:pos="307"/>
                <w:tab w:val="left" w:pos="2157"/>
                <w:tab w:val="right" w:pos="2835"/>
              </w:tabs>
              <w:rPr>
                <w:i/>
                <w:iCs/>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1C77E2">
              <w:rPr>
                <w:i/>
                <w:iCs/>
                <w:color w:val="0000FF"/>
                <w:sz w:val="14"/>
                <w:szCs w:val="14"/>
              </w:rPr>
              <w:t>:</w:t>
            </w:r>
            <w:r w:rsidRPr="001C77E2">
              <w:rPr>
                <w:i/>
                <w:iCs/>
                <w:color w:val="0000FF"/>
                <w:sz w:val="14"/>
                <w:szCs w:val="14"/>
              </w:rPr>
              <w:tab/>
            </w:r>
            <w:r w:rsidRPr="001C77E2">
              <w:rPr>
                <w:i/>
                <w:iCs/>
                <w:color w:val="0000FF"/>
                <w:sz w:val="14"/>
                <w:szCs w:val="14"/>
              </w:rPr>
              <w:tab/>
              <w:t>-</w:t>
            </w:r>
          </w:p>
          <w:p w:rsidR="00236E18" w:rsidRPr="00F922F0" w:rsidRDefault="00236E18" w:rsidP="00294272">
            <w:pPr>
              <w:tabs>
                <w:tab w:val="right" w:pos="2835"/>
              </w:tabs>
              <w:rPr>
                <w:sz w:val="14"/>
                <w:szCs w:val="14"/>
              </w:rPr>
            </w:pPr>
            <w:r w:rsidRPr="00F922F0">
              <w:rPr>
                <w:sz w:val="14"/>
                <w:szCs w:val="14"/>
              </w:rPr>
              <w:t> </w:t>
            </w:r>
          </w:p>
          <w:p w:rsidR="00236E18" w:rsidRPr="00F922F0" w:rsidRDefault="00236E18" w:rsidP="00294272">
            <w:pPr>
              <w:tabs>
                <w:tab w:val="left" w:pos="307"/>
                <w:tab w:val="left" w:pos="2157"/>
                <w:tab w:val="right" w:pos="2835"/>
              </w:tabs>
              <w:rPr>
                <w:sz w:val="14"/>
                <w:szCs w:val="14"/>
              </w:rPr>
            </w:pPr>
            <w:r>
              <w:rPr>
                <w:sz w:val="14"/>
                <w:szCs w:val="14"/>
              </w:rPr>
              <w:t xml:space="preserve">I.4  </w:t>
            </w:r>
            <w:r w:rsidRPr="00BF4D0F">
              <w:rPr>
                <w:sz w:val="14"/>
                <w:szCs w:val="14"/>
              </w:rPr>
              <w:t>Interés creciente en que la OMPI sea un foro de análisis de cuestiones relacionadas con la protección internacional de</w:t>
            </w:r>
            <w:r>
              <w:rPr>
                <w:sz w:val="14"/>
                <w:szCs w:val="14"/>
              </w:rPr>
              <w:t xml:space="preserve"> las patentes, los modelos de utilidad, los esquemas de trazado (topografías) de circuitos integrados y</w:t>
            </w:r>
            <w:r w:rsidRPr="00BF4D0F">
              <w:rPr>
                <w:sz w:val="14"/>
                <w:szCs w:val="14"/>
              </w:rPr>
              <w:t xml:space="preserve"> la información confidencial</w:t>
            </w:r>
          </w:p>
          <w:p w:rsidR="00236E18" w:rsidRPr="00F922F0" w:rsidRDefault="00236E18" w:rsidP="00294272">
            <w:pPr>
              <w:tabs>
                <w:tab w:val="left" w:pos="307"/>
                <w:tab w:val="left" w:pos="2157"/>
                <w:tab w:val="right" w:pos="2835"/>
              </w:tabs>
              <w:rPr>
                <w:sz w:val="14"/>
                <w:szCs w:val="14"/>
              </w:rPr>
            </w:pPr>
          </w:p>
          <w:p w:rsidR="00236E18" w:rsidRPr="00F922F0" w:rsidRDefault="00236E18" w:rsidP="00294272">
            <w:pPr>
              <w:tabs>
                <w:tab w:val="left" w:pos="307"/>
                <w:tab w:val="left" w:pos="2157"/>
                <w:tab w:val="right" w:pos="2835"/>
              </w:tabs>
              <w:rPr>
                <w:i/>
                <w:iCs/>
                <w:sz w:val="14"/>
                <w:szCs w:val="14"/>
              </w:rPr>
            </w:pPr>
            <w:r w:rsidRPr="00F922F0">
              <w:rPr>
                <w:i/>
                <w:iCs/>
                <w:sz w:val="14"/>
                <w:szCs w:val="14"/>
              </w:rPr>
              <w:tab/>
              <w:t>Presupuesto propuesto 16/17:</w:t>
            </w:r>
            <w:r>
              <w:rPr>
                <w:iCs/>
                <w:sz w:val="14"/>
                <w:szCs w:val="14"/>
              </w:rPr>
              <w:tab/>
            </w:r>
            <w:r w:rsidRPr="00F922F0">
              <w:rPr>
                <w:i/>
                <w:iCs/>
                <w:sz w:val="14"/>
                <w:szCs w:val="14"/>
              </w:rPr>
              <w:t>494</w:t>
            </w:r>
            <w:r w:rsidRPr="00F922F0">
              <w:rPr>
                <w:i/>
                <w:iCs/>
                <w:sz w:val="14"/>
                <w:szCs w:val="14"/>
              </w:rPr>
              <w:tab/>
            </w:r>
          </w:p>
          <w:p w:rsidR="00236E18" w:rsidRPr="00F922F0" w:rsidRDefault="00236E18" w:rsidP="00294272">
            <w:pPr>
              <w:tabs>
                <w:tab w:val="left" w:pos="2157"/>
              </w:tabs>
              <w:rPr>
                <w:sz w:val="14"/>
                <w:szCs w:val="14"/>
              </w:rPr>
            </w:pPr>
            <w:r w:rsidRPr="00F922F0">
              <w:rPr>
                <w:i/>
                <w:iCs/>
                <w:sz w:val="14"/>
                <w:szCs w:val="14"/>
              </w:rPr>
              <w:t xml:space="preserve">       </w:t>
            </w:r>
            <w:r w:rsidRPr="00F922F0">
              <w:rPr>
                <w:i/>
                <w:iCs/>
                <w:color w:val="0000FF"/>
                <w:sz w:val="14"/>
                <w:szCs w:val="14"/>
              </w:rPr>
              <w:t>Cuota</w:t>
            </w:r>
            <w:r>
              <w:rPr>
                <w:i/>
                <w:iCs/>
                <w:color w:val="0000FF"/>
                <w:sz w:val="14"/>
                <w:szCs w:val="14"/>
              </w:rPr>
              <w:t xml:space="preserve"> para el desarrollo</w:t>
            </w:r>
            <w:r w:rsidRPr="001C77E2">
              <w:rPr>
                <w:i/>
                <w:iCs/>
                <w:color w:val="0000FF"/>
                <w:sz w:val="14"/>
                <w:szCs w:val="14"/>
              </w:rPr>
              <w:t>:</w:t>
            </w:r>
            <w:r w:rsidRPr="001C77E2">
              <w:rPr>
                <w:i/>
                <w:iCs/>
                <w:color w:val="0000FF"/>
                <w:sz w:val="14"/>
                <w:szCs w:val="14"/>
              </w:rPr>
              <w:tab/>
            </w:r>
            <w:r w:rsidRPr="001C77E2">
              <w:rPr>
                <w:i/>
                <w:iCs/>
                <w:color w:val="0000FF"/>
                <w:sz w:val="14"/>
                <w:szCs w:val="14"/>
              </w:rPr>
              <w:tab/>
            </w:r>
            <w:r w:rsidRPr="001C77E2">
              <w:rPr>
                <w:i/>
                <w:iCs/>
                <w:color w:val="0000FF"/>
                <w:sz w:val="14"/>
                <w:szCs w:val="14"/>
              </w:rPr>
              <w:tab/>
              <w:t>-</w:t>
            </w:r>
          </w:p>
        </w:tc>
        <w:tc>
          <w:tcPr>
            <w:tcW w:w="3041" w:type="dxa"/>
            <w:tcBorders>
              <w:top w:val="nil"/>
              <w:left w:val="nil"/>
              <w:right w:val="nil"/>
            </w:tcBorders>
            <w:shd w:val="clear" w:color="auto" w:fill="auto"/>
          </w:tcPr>
          <w:p w:rsidR="00236E18" w:rsidRPr="00F922F0" w:rsidRDefault="00236E18" w:rsidP="00294272">
            <w:pPr>
              <w:tabs>
                <w:tab w:val="left" w:pos="348"/>
                <w:tab w:val="left" w:pos="2173"/>
                <w:tab w:val="right" w:pos="2835"/>
              </w:tabs>
              <w:rPr>
                <w:sz w:val="14"/>
                <w:szCs w:val="14"/>
              </w:rPr>
            </w:pPr>
            <w:r w:rsidRPr="00F922F0">
              <w:rPr>
                <w:sz w:val="14"/>
                <w:szCs w:val="14"/>
              </w:rPr>
              <w:t xml:space="preserve">II.1 </w:t>
            </w:r>
            <w:r>
              <w:rPr>
                <w:sz w:val="14"/>
                <w:szCs w:val="14"/>
              </w:rPr>
              <w:t xml:space="preserve"> </w:t>
            </w:r>
            <w:r w:rsidRPr="00BF4D0F">
              <w:rPr>
                <w:sz w:val="14"/>
                <w:szCs w:val="14"/>
              </w:rPr>
              <w:t>Mayor y más eficaz utilización del Sistema del PCT para presentar solicitudes internacionales de patentes</w:t>
            </w:r>
          </w:p>
          <w:p w:rsidR="00236E18" w:rsidRPr="00F922F0" w:rsidRDefault="00236E18" w:rsidP="00294272">
            <w:pPr>
              <w:tabs>
                <w:tab w:val="left" w:pos="348"/>
                <w:tab w:val="left" w:pos="2173"/>
                <w:tab w:val="right" w:pos="2835"/>
              </w:tabs>
              <w:rPr>
                <w:sz w:val="14"/>
                <w:szCs w:val="14"/>
              </w:rPr>
            </w:pPr>
          </w:p>
          <w:p w:rsidR="00236E18" w:rsidRPr="00F922F0" w:rsidRDefault="00236E18" w:rsidP="00294272">
            <w:pPr>
              <w:tabs>
                <w:tab w:val="left" w:pos="348"/>
                <w:tab w:val="left" w:pos="2173"/>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29.156</w:t>
            </w:r>
          </w:p>
          <w:p w:rsidR="00236E18" w:rsidRPr="00F922F0" w:rsidRDefault="00236E18" w:rsidP="00294272">
            <w:pPr>
              <w:tabs>
                <w:tab w:val="left" w:pos="348"/>
                <w:tab w:val="left" w:pos="2173"/>
                <w:tab w:val="right" w:pos="2835"/>
              </w:tabs>
              <w:rPr>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1C77E2">
              <w:rPr>
                <w:i/>
                <w:iCs/>
                <w:color w:val="0000FF"/>
                <w:sz w:val="14"/>
                <w:szCs w:val="14"/>
              </w:rPr>
              <w:t xml:space="preserve">: </w:t>
            </w:r>
            <w:r w:rsidRPr="001C77E2">
              <w:rPr>
                <w:i/>
                <w:iCs/>
                <w:color w:val="0000FF"/>
                <w:sz w:val="14"/>
                <w:szCs w:val="14"/>
              </w:rPr>
              <w:tab/>
            </w:r>
            <w:r w:rsidRPr="001C77E2">
              <w:rPr>
                <w:i/>
                <w:iCs/>
                <w:color w:val="0000FF"/>
                <w:sz w:val="14"/>
                <w:szCs w:val="14"/>
              </w:rPr>
              <w:tab/>
              <w:t>7.002</w:t>
            </w:r>
          </w:p>
          <w:p w:rsidR="00236E18" w:rsidRPr="00F922F0" w:rsidRDefault="00236E18" w:rsidP="00294272">
            <w:pPr>
              <w:tabs>
                <w:tab w:val="right" w:pos="2835"/>
              </w:tabs>
              <w:rPr>
                <w:sz w:val="14"/>
                <w:szCs w:val="14"/>
              </w:rPr>
            </w:pPr>
          </w:p>
          <w:p w:rsidR="00236E18" w:rsidRPr="00F922F0" w:rsidRDefault="00236E18" w:rsidP="00294272">
            <w:pPr>
              <w:autoSpaceDE w:val="0"/>
              <w:autoSpaceDN w:val="0"/>
              <w:adjustRightInd w:val="0"/>
              <w:rPr>
                <w:sz w:val="14"/>
                <w:szCs w:val="14"/>
                <w:lang w:bidi="th-TH"/>
              </w:rPr>
            </w:pPr>
            <w:r>
              <w:rPr>
                <w:sz w:val="14"/>
                <w:szCs w:val="14"/>
                <w:lang w:bidi="th-TH"/>
              </w:rPr>
              <w:t xml:space="preserve">II.3  </w:t>
            </w:r>
            <w:r w:rsidRPr="00BF4D0F">
              <w:rPr>
                <w:sz w:val="14"/>
                <w:szCs w:val="14"/>
                <w:lang w:bidi="th-TH"/>
              </w:rPr>
              <w:t>Mejora de la productividad y de la calidad de los servicios en las operaciones del PCT</w:t>
            </w:r>
          </w:p>
          <w:p w:rsidR="00236E18" w:rsidRPr="00F922F0" w:rsidRDefault="00236E18" w:rsidP="00294272">
            <w:pPr>
              <w:tabs>
                <w:tab w:val="left" w:pos="335"/>
                <w:tab w:val="left" w:pos="2173"/>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181.080</w:t>
            </w:r>
            <w:r w:rsidRPr="00F922F0">
              <w:rPr>
                <w:i/>
                <w:iCs/>
                <w:sz w:val="14"/>
                <w:szCs w:val="14"/>
              </w:rPr>
              <w:tab/>
            </w:r>
          </w:p>
          <w:p w:rsidR="00236E18" w:rsidRPr="001C77E2" w:rsidRDefault="00236E18" w:rsidP="00294272">
            <w:pPr>
              <w:tabs>
                <w:tab w:val="left" w:pos="335"/>
                <w:tab w:val="left" w:pos="2315"/>
                <w:tab w:val="right" w:pos="2835"/>
              </w:tabs>
              <w:rPr>
                <w:i/>
                <w:iCs/>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F922F0">
              <w:rPr>
                <w:i/>
                <w:iCs/>
                <w:color w:val="0000FF"/>
                <w:sz w:val="14"/>
                <w:szCs w:val="14"/>
              </w:rPr>
              <w:t>:</w:t>
            </w:r>
            <w:r>
              <w:rPr>
                <w:i/>
                <w:iCs/>
                <w:color w:val="0000FF"/>
                <w:sz w:val="14"/>
                <w:szCs w:val="14"/>
              </w:rPr>
              <w:tab/>
            </w:r>
            <w:r>
              <w:rPr>
                <w:i/>
                <w:iCs/>
                <w:color w:val="0000FF"/>
                <w:sz w:val="14"/>
                <w:szCs w:val="14"/>
              </w:rPr>
              <w:tab/>
            </w:r>
            <w:r w:rsidRPr="001C77E2">
              <w:rPr>
                <w:i/>
                <w:iCs/>
                <w:color w:val="0000FF"/>
                <w:sz w:val="14"/>
                <w:szCs w:val="14"/>
              </w:rPr>
              <w:t>-</w:t>
            </w:r>
          </w:p>
          <w:p w:rsidR="00236E18" w:rsidRPr="00F922F0" w:rsidRDefault="00236E18" w:rsidP="00294272">
            <w:pPr>
              <w:tabs>
                <w:tab w:val="right" w:pos="2835"/>
              </w:tabs>
              <w:rPr>
                <w:sz w:val="14"/>
                <w:szCs w:val="14"/>
              </w:rPr>
            </w:pPr>
          </w:p>
          <w:p w:rsidR="00236E18" w:rsidRPr="00F922F0" w:rsidRDefault="00236E18" w:rsidP="00294272">
            <w:pPr>
              <w:tabs>
                <w:tab w:val="right" w:pos="2835"/>
              </w:tabs>
              <w:spacing w:after="60"/>
              <w:rPr>
                <w:sz w:val="14"/>
                <w:szCs w:val="14"/>
              </w:rPr>
            </w:pPr>
            <w:r w:rsidRPr="00F922F0">
              <w:rPr>
                <w:sz w:val="14"/>
                <w:szCs w:val="14"/>
              </w:rPr>
              <w:t>II.4</w:t>
            </w:r>
            <w:r>
              <w:rPr>
                <w:sz w:val="14"/>
                <w:szCs w:val="14"/>
              </w:rPr>
              <w:t xml:space="preserve">  </w:t>
            </w:r>
            <w:r w:rsidRPr="00BF4D0F">
              <w:rPr>
                <w:sz w:val="14"/>
                <w:szCs w:val="14"/>
              </w:rPr>
              <w:t>Mayor y más eficaz utilización del Sistema de La Haya, entre otros, por los países en desarrollo y los PMA</w:t>
            </w:r>
          </w:p>
          <w:p w:rsidR="00236E18" w:rsidRPr="00F922F0" w:rsidRDefault="00236E18" w:rsidP="00294272">
            <w:pPr>
              <w:tabs>
                <w:tab w:val="left" w:pos="323"/>
                <w:tab w:val="left" w:pos="2173"/>
                <w:tab w:val="right" w:pos="2835"/>
              </w:tabs>
              <w:rPr>
                <w:i/>
                <w:iCs/>
                <w:sz w:val="14"/>
                <w:szCs w:val="14"/>
              </w:rPr>
            </w:pPr>
            <w:r w:rsidRPr="00F922F0">
              <w:rPr>
                <w:i/>
                <w:iCs/>
                <w:sz w:val="14"/>
                <w:szCs w:val="14"/>
              </w:rPr>
              <w:tab/>
              <w:t>Presupuesto propuesto 16/17:</w:t>
            </w:r>
            <w:r>
              <w:rPr>
                <w:iCs/>
                <w:sz w:val="14"/>
                <w:szCs w:val="14"/>
              </w:rPr>
              <w:tab/>
            </w:r>
            <w:r w:rsidRPr="00F922F0">
              <w:rPr>
                <w:i/>
                <w:iCs/>
                <w:sz w:val="14"/>
                <w:szCs w:val="14"/>
              </w:rPr>
              <w:t>6.617</w:t>
            </w:r>
            <w:r w:rsidRPr="00F922F0">
              <w:rPr>
                <w:i/>
                <w:iCs/>
                <w:sz w:val="14"/>
                <w:szCs w:val="14"/>
              </w:rPr>
              <w:tab/>
            </w:r>
          </w:p>
          <w:p w:rsidR="00236E18" w:rsidRPr="00F922F0" w:rsidRDefault="00236E18" w:rsidP="00294272">
            <w:pPr>
              <w:tabs>
                <w:tab w:val="left" w:pos="323"/>
                <w:tab w:val="left" w:pos="2315"/>
                <w:tab w:val="right" w:pos="2835"/>
              </w:tabs>
              <w:rPr>
                <w:i/>
                <w:iCs/>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1C77E2">
              <w:rPr>
                <w:i/>
                <w:iCs/>
                <w:color w:val="0000FF"/>
                <w:sz w:val="14"/>
                <w:szCs w:val="14"/>
              </w:rPr>
              <w:t>:</w:t>
            </w:r>
            <w:r w:rsidRPr="001C77E2">
              <w:rPr>
                <w:i/>
                <w:iCs/>
                <w:color w:val="0000FF"/>
                <w:sz w:val="14"/>
                <w:szCs w:val="14"/>
              </w:rPr>
              <w:tab/>
            </w:r>
            <w:r w:rsidRPr="001C77E2">
              <w:rPr>
                <w:i/>
                <w:iCs/>
                <w:color w:val="0000FF"/>
                <w:sz w:val="14"/>
                <w:szCs w:val="14"/>
              </w:rPr>
              <w:tab/>
              <w:t>1.085</w:t>
            </w:r>
          </w:p>
          <w:p w:rsidR="00236E18" w:rsidRPr="00F922F0" w:rsidRDefault="00236E18" w:rsidP="00294272">
            <w:pPr>
              <w:tabs>
                <w:tab w:val="left" w:pos="1525"/>
                <w:tab w:val="right" w:pos="2835"/>
              </w:tabs>
              <w:rPr>
                <w:sz w:val="14"/>
                <w:szCs w:val="14"/>
              </w:rPr>
            </w:pPr>
          </w:p>
          <w:p w:rsidR="00236E18" w:rsidRPr="00F922F0" w:rsidRDefault="00236E18" w:rsidP="00294272">
            <w:pPr>
              <w:tabs>
                <w:tab w:val="right" w:pos="2835"/>
              </w:tabs>
              <w:spacing w:after="60"/>
              <w:rPr>
                <w:sz w:val="14"/>
                <w:szCs w:val="14"/>
              </w:rPr>
            </w:pPr>
            <w:r>
              <w:rPr>
                <w:sz w:val="14"/>
                <w:szCs w:val="14"/>
              </w:rPr>
              <w:t xml:space="preserve">II.5 </w:t>
            </w:r>
            <w:r w:rsidRPr="00F922F0">
              <w:rPr>
                <w:sz w:val="14"/>
                <w:szCs w:val="14"/>
              </w:rPr>
              <w:t xml:space="preserve"> </w:t>
            </w:r>
            <w:r w:rsidRPr="00BF4D0F">
              <w:rPr>
                <w:sz w:val="14"/>
                <w:szCs w:val="14"/>
              </w:rPr>
              <w:t>Mejora de la productividad y de la calidad de los servicios en las operaciones del Sistema de La Haya</w:t>
            </w:r>
          </w:p>
          <w:p w:rsidR="00236E18" w:rsidRPr="00F922F0" w:rsidRDefault="00236E18" w:rsidP="00294272">
            <w:pPr>
              <w:tabs>
                <w:tab w:val="left" w:pos="360"/>
                <w:tab w:val="left" w:pos="2173"/>
                <w:tab w:val="right" w:pos="2835"/>
              </w:tabs>
              <w:rPr>
                <w:i/>
                <w:iCs/>
                <w:sz w:val="14"/>
                <w:szCs w:val="14"/>
              </w:rPr>
            </w:pPr>
            <w:r w:rsidRPr="00F922F0">
              <w:rPr>
                <w:i/>
                <w:iCs/>
                <w:sz w:val="14"/>
                <w:szCs w:val="14"/>
              </w:rPr>
              <w:tab/>
              <w:t>Presupuesto propuesto 16/17:</w:t>
            </w:r>
            <w:r>
              <w:rPr>
                <w:iCs/>
                <w:sz w:val="14"/>
                <w:szCs w:val="14"/>
              </w:rPr>
              <w:tab/>
            </w:r>
            <w:r w:rsidRPr="00F922F0">
              <w:rPr>
                <w:i/>
                <w:iCs/>
                <w:sz w:val="14"/>
                <w:szCs w:val="14"/>
              </w:rPr>
              <w:t>2.234</w:t>
            </w:r>
            <w:r w:rsidRPr="00F922F0">
              <w:rPr>
                <w:i/>
                <w:iCs/>
                <w:sz w:val="14"/>
                <w:szCs w:val="14"/>
              </w:rPr>
              <w:tab/>
            </w:r>
          </w:p>
          <w:p w:rsidR="00236E18" w:rsidRPr="001C77E2" w:rsidRDefault="00236E18" w:rsidP="00294272">
            <w:pPr>
              <w:tabs>
                <w:tab w:val="left" w:pos="360"/>
                <w:tab w:val="left" w:pos="2315"/>
                <w:tab w:val="right" w:pos="2835"/>
              </w:tabs>
              <w:rPr>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F922F0">
              <w:rPr>
                <w:i/>
                <w:iCs/>
                <w:color w:val="0000FF"/>
                <w:sz w:val="14"/>
                <w:szCs w:val="14"/>
              </w:rPr>
              <w:t>:</w:t>
            </w:r>
            <w:r w:rsidRPr="001C77E2">
              <w:rPr>
                <w:i/>
                <w:iCs/>
                <w:color w:val="0000FF"/>
                <w:sz w:val="14"/>
                <w:szCs w:val="14"/>
              </w:rPr>
              <w:tab/>
            </w:r>
            <w:r w:rsidRPr="001C77E2">
              <w:rPr>
                <w:i/>
                <w:iCs/>
                <w:color w:val="0000FF"/>
                <w:sz w:val="14"/>
                <w:szCs w:val="14"/>
              </w:rPr>
              <w:tab/>
              <w:t xml:space="preserve">- </w:t>
            </w:r>
          </w:p>
          <w:p w:rsidR="00236E18" w:rsidRPr="00F922F0" w:rsidRDefault="00236E18" w:rsidP="00294272">
            <w:pPr>
              <w:tabs>
                <w:tab w:val="left" w:pos="1525"/>
                <w:tab w:val="right" w:pos="2835"/>
              </w:tabs>
              <w:rPr>
                <w:sz w:val="14"/>
                <w:szCs w:val="14"/>
              </w:rPr>
            </w:pPr>
          </w:p>
          <w:p w:rsidR="00236E18" w:rsidRPr="00F922F0" w:rsidRDefault="00236E18" w:rsidP="00294272">
            <w:pPr>
              <w:tabs>
                <w:tab w:val="left" w:pos="1525"/>
                <w:tab w:val="right" w:pos="2835"/>
              </w:tabs>
              <w:spacing w:after="60"/>
              <w:rPr>
                <w:sz w:val="14"/>
                <w:szCs w:val="14"/>
              </w:rPr>
            </w:pPr>
            <w:r>
              <w:rPr>
                <w:sz w:val="14"/>
                <w:szCs w:val="14"/>
              </w:rPr>
              <w:t>II.</w:t>
            </w:r>
            <w:r w:rsidRPr="00F922F0">
              <w:rPr>
                <w:sz w:val="14"/>
                <w:szCs w:val="14"/>
              </w:rPr>
              <w:t>6</w:t>
            </w:r>
            <w:r>
              <w:rPr>
                <w:sz w:val="14"/>
                <w:szCs w:val="14"/>
              </w:rPr>
              <w:t xml:space="preserve">  </w:t>
            </w:r>
            <w:r w:rsidRPr="00BF4D0F">
              <w:rPr>
                <w:sz w:val="14"/>
                <w:szCs w:val="14"/>
              </w:rPr>
              <w:t>Mayor y más eficaz utilización del Sistema de Madrid, entre otros por los países en desarrollo y los PMA</w:t>
            </w:r>
          </w:p>
          <w:p w:rsidR="00236E18" w:rsidRPr="00F922F0" w:rsidRDefault="00236E18" w:rsidP="00294272">
            <w:pPr>
              <w:tabs>
                <w:tab w:val="left" w:pos="335"/>
                <w:tab w:val="left" w:pos="2173"/>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1</w:t>
            </w:r>
            <w:r>
              <w:rPr>
                <w:i/>
                <w:iCs/>
                <w:sz w:val="14"/>
                <w:szCs w:val="14"/>
              </w:rPr>
              <w:t>7</w:t>
            </w:r>
            <w:r w:rsidRPr="00F922F0">
              <w:rPr>
                <w:i/>
                <w:iCs/>
                <w:sz w:val="14"/>
                <w:szCs w:val="14"/>
              </w:rPr>
              <w:t>.</w:t>
            </w:r>
            <w:r>
              <w:rPr>
                <w:i/>
                <w:iCs/>
                <w:sz w:val="14"/>
                <w:szCs w:val="14"/>
              </w:rPr>
              <w:t>069</w:t>
            </w:r>
          </w:p>
          <w:p w:rsidR="00236E18" w:rsidRPr="001C77E2" w:rsidRDefault="00236E18" w:rsidP="00294272">
            <w:pPr>
              <w:tabs>
                <w:tab w:val="left" w:pos="335"/>
                <w:tab w:val="left" w:pos="2173"/>
                <w:tab w:val="right" w:pos="2835"/>
              </w:tabs>
              <w:rPr>
                <w:i/>
                <w:iCs/>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1C77E2">
              <w:rPr>
                <w:i/>
                <w:iCs/>
                <w:color w:val="0000FF"/>
                <w:sz w:val="14"/>
                <w:szCs w:val="14"/>
              </w:rPr>
              <w:t xml:space="preserve">: </w:t>
            </w:r>
            <w:r w:rsidRPr="001C77E2">
              <w:rPr>
                <w:i/>
                <w:iCs/>
                <w:color w:val="0000FF"/>
                <w:sz w:val="14"/>
                <w:szCs w:val="14"/>
              </w:rPr>
              <w:tab/>
            </w:r>
            <w:r w:rsidRPr="001C77E2">
              <w:rPr>
                <w:i/>
                <w:iCs/>
                <w:color w:val="0000FF"/>
                <w:sz w:val="14"/>
                <w:szCs w:val="14"/>
              </w:rPr>
              <w:tab/>
            </w:r>
            <w:r>
              <w:rPr>
                <w:i/>
                <w:iCs/>
                <w:color w:val="0000FF"/>
                <w:sz w:val="14"/>
                <w:szCs w:val="14"/>
              </w:rPr>
              <w:t>11</w:t>
            </w:r>
            <w:r w:rsidRPr="001C77E2">
              <w:rPr>
                <w:i/>
                <w:iCs/>
                <w:color w:val="0000FF"/>
                <w:sz w:val="14"/>
                <w:szCs w:val="14"/>
              </w:rPr>
              <w:t>.</w:t>
            </w:r>
            <w:r>
              <w:rPr>
                <w:i/>
                <w:iCs/>
                <w:color w:val="0000FF"/>
                <w:sz w:val="14"/>
                <w:szCs w:val="14"/>
              </w:rPr>
              <w:t>188</w:t>
            </w:r>
          </w:p>
          <w:p w:rsidR="00236E18" w:rsidRPr="00F922F0" w:rsidRDefault="00236E18" w:rsidP="00294272">
            <w:pPr>
              <w:tabs>
                <w:tab w:val="left" w:pos="1525"/>
                <w:tab w:val="right" w:pos="2835"/>
              </w:tabs>
              <w:rPr>
                <w:sz w:val="14"/>
                <w:szCs w:val="14"/>
              </w:rPr>
            </w:pPr>
          </w:p>
          <w:p w:rsidR="00236E18" w:rsidRPr="00F922F0" w:rsidRDefault="00236E18" w:rsidP="00294272">
            <w:pPr>
              <w:tabs>
                <w:tab w:val="left" w:pos="1525"/>
                <w:tab w:val="right" w:pos="2835"/>
              </w:tabs>
              <w:spacing w:after="60"/>
              <w:rPr>
                <w:sz w:val="14"/>
                <w:szCs w:val="14"/>
              </w:rPr>
            </w:pPr>
            <w:r>
              <w:rPr>
                <w:sz w:val="14"/>
                <w:szCs w:val="14"/>
              </w:rPr>
              <w:t xml:space="preserve">II.7  </w:t>
            </w:r>
            <w:r w:rsidRPr="00BF4D0F">
              <w:rPr>
                <w:sz w:val="14"/>
                <w:szCs w:val="14"/>
              </w:rPr>
              <w:t xml:space="preserve">Mejora de la productividad y de la calidad de los servicios en las operaciones </w:t>
            </w:r>
            <w:r>
              <w:rPr>
                <w:sz w:val="14"/>
                <w:szCs w:val="14"/>
              </w:rPr>
              <w:t>de</w:t>
            </w:r>
            <w:r w:rsidRPr="00BF4D0F">
              <w:rPr>
                <w:sz w:val="14"/>
                <w:szCs w:val="14"/>
              </w:rPr>
              <w:t>l Sistema de Madrid</w:t>
            </w:r>
          </w:p>
          <w:p w:rsidR="00236E18" w:rsidRPr="00F922F0" w:rsidRDefault="00236E18" w:rsidP="00294272">
            <w:pPr>
              <w:tabs>
                <w:tab w:val="left" w:pos="331"/>
                <w:tab w:val="left" w:pos="2173"/>
                <w:tab w:val="right" w:pos="2835"/>
              </w:tabs>
              <w:rPr>
                <w:i/>
                <w:iCs/>
                <w:sz w:val="14"/>
                <w:szCs w:val="14"/>
              </w:rPr>
            </w:pPr>
            <w:r w:rsidRPr="00F922F0">
              <w:rPr>
                <w:i/>
                <w:iCs/>
                <w:sz w:val="14"/>
                <w:szCs w:val="14"/>
              </w:rPr>
              <w:tab/>
              <w:t>Presupuesto propuesto 16/17:</w:t>
            </w:r>
            <w:r>
              <w:rPr>
                <w:iCs/>
                <w:sz w:val="14"/>
                <w:szCs w:val="14"/>
              </w:rPr>
              <w:tab/>
            </w:r>
            <w:r>
              <w:rPr>
                <w:i/>
                <w:iCs/>
                <w:sz w:val="14"/>
                <w:szCs w:val="14"/>
              </w:rPr>
              <w:t>42</w:t>
            </w:r>
            <w:r w:rsidRPr="00F922F0">
              <w:rPr>
                <w:i/>
                <w:iCs/>
                <w:sz w:val="14"/>
                <w:szCs w:val="14"/>
              </w:rPr>
              <w:t>.</w:t>
            </w:r>
            <w:r>
              <w:rPr>
                <w:i/>
                <w:iCs/>
                <w:sz w:val="14"/>
                <w:szCs w:val="14"/>
              </w:rPr>
              <w:t>253</w:t>
            </w:r>
          </w:p>
          <w:p w:rsidR="00236E18" w:rsidRPr="00F922F0" w:rsidRDefault="00236E18" w:rsidP="00294272">
            <w:pPr>
              <w:tabs>
                <w:tab w:val="left" w:pos="331"/>
                <w:tab w:val="left" w:pos="2173"/>
                <w:tab w:val="right" w:pos="2835"/>
              </w:tabs>
              <w:rPr>
                <w:i/>
                <w:iCs/>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1C77E2">
              <w:rPr>
                <w:i/>
                <w:iCs/>
                <w:color w:val="0000FF"/>
                <w:sz w:val="14"/>
                <w:szCs w:val="14"/>
              </w:rPr>
              <w:t>:</w:t>
            </w:r>
            <w:r w:rsidRPr="001C77E2">
              <w:rPr>
                <w:i/>
                <w:iCs/>
                <w:color w:val="0000FF"/>
                <w:sz w:val="14"/>
                <w:szCs w:val="14"/>
              </w:rPr>
              <w:tab/>
            </w:r>
            <w:r w:rsidRPr="001C77E2">
              <w:rPr>
                <w:i/>
                <w:iCs/>
                <w:color w:val="0000FF"/>
                <w:sz w:val="14"/>
                <w:szCs w:val="14"/>
              </w:rPr>
              <w:tab/>
            </w:r>
            <w:r>
              <w:rPr>
                <w:i/>
                <w:iCs/>
                <w:color w:val="0000FF"/>
                <w:sz w:val="14"/>
                <w:szCs w:val="14"/>
              </w:rPr>
              <w:t>893</w:t>
            </w:r>
          </w:p>
          <w:p w:rsidR="00236E18" w:rsidRPr="00F922F0" w:rsidRDefault="00236E18" w:rsidP="00294272">
            <w:pPr>
              <w:tabs>
                <w:tab w:val="left" w:pos="1525"/>
                <w:tab w:val="right" w:pos="2835"/>
              </w:tabs>
              <w:rPr>
                <w:i/>
                <w:iCs/>
                <w:sz w:val="14"/>
                <w:szCs w:val="14"/>
              </w:rPr>
            </w:pPr>
          </w:p>
          <w:p w:rsidR="00236E18" w:rsidRPr="00F922F0" w:rsidRDefault="00236E18" w:rsidP="00294272">
            <w:pPr>
              <w:tabs>
                <w:tab w:val="left" w:pos="1525"/>
                <w:tab w:val="right" w:pos="2835"/>
              </w:tabs>
              <w:spacing w:after="60"/>
              <w:rPr>
                <w:sz w:val="14"/>
                <w:szCs w:val="14"/>
              </w:rPr>
            </w:pPr>
            <w:r>
              <w:rPr>
                <w:sz w:val="14"/>
                <w:szCs w:val="14"/>
              </w:rPr>
              <w:t xml:space="preserve">II.8 </w:t>
            </w:r>
            <w:r w:rsidRPr="00F922F0">
              <w:rPr>
                <w:sz w:val="14"/>
                <w:szCs w:val="14"/>
              </w:rPr>
              <w:t xml:space="preserve"> </w:t>
            </w:r>
            <w:r w:rsidRPr="00BF4D0F">
              <w:rPr>
                <w:sz w:val="14"/>
                <w:szCs w:val="14"/>
              </w:rPr>
              <w:t>Las controversias nacionales e internacionales en materia de P.I. se evitan o resuelven cada vez con más frecuencia mediante procedimientos de mediación, arbitraje y demás métodos de solución extrajudicial de controversias</w:t>
            </w:r>
          </w:p>
          <w:p w:rsidR="00236E18" w:rsidRPr="00F922F0" w:rsidRDefault="00236E18" w:rsidP="00294272">
            <w:pPr>
              <w:tabs>
                <w:tab w:val="left" w:pos="348"/>
                <w:tab w:val="left" w:pos="2173"/>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Pr>
                <w:i/>
                <w:iCs/>
                <w:sz w:val="14"/>
                <w:szCs w:val="14"/>
              </w:rPr>
              <w:t>4.802</w:t>
            </w:r>
          </w:p>
          <w:p w:rsidR="00236E18" w:rsidRPr="001C77E2" w:rsidRDefault="00236E18" w:rsidP="00294272">
            <w:pPr>
              <w:tabs>
                <w:tab w:val="left" w:pos="335"/>
                <w:tab w:val="left" w:pos="2173"/>
                <w:tab w:val="right" w:pos="2835"/>
              </w:tabs>
              <w:rPr>
                <w:i/>
                <w:iCs/>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1C77E2">
              <w:rPr>
                <w:i/>
                <w:iCs/>
                <w:color w:val="0000FF"/>
                <w:sz w:val="14"/>
                <w:szCs w:val="14"/>
              </w:rPr>
              <w:t xml:space="preserve">: </w:t>
            </w:r>
            <w:r w:rsidRPr="001C77E2">
              <w:rPr>
                <w:i/>
                <w:iCs/>
                <w:color w:val="0000FF"/>
                <w:sz w:val="14"/>
                <w:szCs w:val="14"/>
              </w:rPr>
              <w:tab/>
            </w:r>
            <w:r w:rsidRPr="001C77E2">
              <w:rPr>
                <w:i/>
                <w:iCs/>
                <w:color w:val="0000FF"/>
                <w:sz w:val="14"/>
                <w:szCs w:val="14"/>
              </w:rPr>
              <w:tab/>
              <w:t>661</w:t>
            </w:r>
          </w:p>
          <w:p w:rsidR="00236E18" w:rsidRPr="00F922F0" w:rsidRDefault="00236E18" w:rsidP="00294272">
            <w:pPr>
              <w:tabs>
                <w:tab w:val="left" w:pos="1525"/>
                <w:tab w:val="right" w:pos="2835"/>
              </w:tabs>
              <w:rPr>
                <w:i/>
                <w:iCs/>
                <w:sz w:val="14"/>
                <w:szCs w:val="14"/>
              </w:rPr>
            </w:pPr>
          </w:p>
          <w:p w:rsidR="00236E18" w:rsidRPr="00F922F0" w:rsidRDefault="00236E18" w:rsidP="00294272">
            <w:pPr>
              <w:tabs>
                <w:tab w:val="left" w:pos="1525"/>
                <w:tab w:val="right" w:pos="2835"/>
              </w:tabs>
              <w:spacing w:after="60"/>
              <w:rPr>
                <w:sz w:val="14"/>
                <w:szCs w:val="14"/>
              </w:rPr>
            </w:pPr>
            <w:r>
              <w:rPr>
                <w:sz w:val="14"/>
                <w:szCs w:val="14"/>
              </w:rPr>
              <w:t xml:space="preserve">II.9  </w:t>
            </w:r>
            <w:r w:rsidRPr="008C3520">
              <w:rPr>
                <w:sz w:val="14"/>
                <w:szCs w:val="14"/>
              </w:rPr>
              <w:t xml:space="preserve">Protección eficaz de la propiedad intelectual en los </w:t>
            </w:r>
            <w:proofErr w:type="spellStart"/>
            <w:r w:rsidRPr="008C3520">
              <w:rPr>
                <w:sz w:val="14"/>
                <w:szCs w:val="14"/>
              </w:rPr>
              <w:t>gTLD</w:t>
            </w:r>
            <w:proofErr w:type="spellEnd"/>
            <w:r w:rsidRPr="008C3520">
              <w:rPr>
                <w:sz w:val="14"/>
                <w:szCs w:val="14"/>
              </w:rPr>
              <w:t xml:space="preserve"> y los </w:t>
            </w:r>
            <w:proofErr w:type="spellStart"/>
            <w:r w:rsidRPr="008C3520">
              <w:rPr>
                <w:sz w:val="14"/>
                <w:szCs w:val="14"/>
              </w:rPr>
              <w:t>ccTLD</w:t>
            </w:r>
            <w:proofErr w:type="spellEnd"/>
          </w:p>
          <w:p w:rsidR="00236E18" w:rsidRPr="00F922F0" w:rsidRDefault="00236E18" w:rsidP="00294272">
            <w:pPr>
              <w:tabs>
                <w:tab w:val="left" w:pos="335"/>
                <w:tab w:val="left" w:pos="2173"/>
                <w:tab w:val="right" w:pos="2835"/>
              </w:tabs>
              <w:rPr>
                <w:i/>
                <w:iCs/>
                <w:sz w:val="14"/>
                <w:szCs w:val="14"/>
              </w:rPr>
            </w:pPr>
            <w:r w:rsidRPr="00F922F0">
              <w:rPr>
                <w:i/>
                <w:iCs/>
                <w:sz w:val="14"/>
                <w:szCs w:val="14"/>
              </w:rPr>
              <w:tab/>
              <w:t>Presupuesto propuesto 16/17:</w:t>
            </w:r>
            <w:r>
              <w:rPr>
                <w:iCs/>
                <w:sz w:val="14"/>
                <w:szCs w:val="14"/>
              </w:rPr>
              <w:tab/>
            </w:r>
            <w:r w:rsidRPr="00F922F0">
              <w:rPr>
                <w:i/>
                <w:iCs/>
                <w:sz w:val="14"/>
                <w:szCs w:val="14"/>
              </w:rPr>
              <w:t>6.899</w:t>
            </w:r>
          </w:p>
          <w:p w:rsidR="00236E18" w:rsidRPr="001C77E2" w:rsidRDefault="00236E18" w:rsidP="00294272">
            <w:pPr>
              <w:tabs>
                <w:tab w:val="left" w:pos="335"/>
                <w:tab w:val="left" w:pos="2173"/>
                <w:tab w:val="right" w:pos="2835"/>
              </w:tabs>
              <w:rPr>
                <w:i/>
                <w:iCs/>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1C77E2">
              <w:rPr>
                <w:i/>
                <w:iCs/>
                <w:color w:val="0000FF"/>
                <w:sz w:val="14"/>
                <w:szCs w:val="14"/>
              </w:rPr>
              <w:t xml:space="preserve">: </w:t>
            </w:r>
            <w:r w:rsidRPr="001C77E2">
              <w:rPr>
                <w:i/>
                <w:iCs/>
                <w:color w:val="0000FF"/>
                <w:sz w:val="14"/>
                <w:szCs w:val="14"/>
              </w:rPr>
              <w:tab/>
            </w:r>
            <w:r w:rsidRPr="001C77E2">
              <w:rPr>
                <w:i/>
                <w:iCs/>
                <w:color w:val="0000FF"/>
                <w:sz w:val="14"/>
                <w:szCs w:val="14"/>
              </w:rPr>
              <w:tab/>
              <w:t>101</w:t>
            </w:r>
          </w:p>
          <w:p w:rsidR="00236E18" w:rsidRDefault="00236E18" w:rsidP="00294272">
            <w:pPr>
              <w:tabs>
                <w:tab w:val="left" w:pos="1525"/>
                <w:tab w:val="right" w:pos="2835"/>
              </w:tabs>
              <w:rPr>
                <w:i/>
                <w:iCs/>
                <w:sz w:val="14"/>
                <w:szCs w:val="14"/>
              </w:rPr>
            </w:pPr>
          </w:p>
          <w:p w:rsidR="00236E18" w:rsidRPr="00F922F0" w:rsidRDefault="00236E18" w:rsidP="00294272">
            <w:pPr>
              <w:tabs>
                <w:tab w:val="left" w:pos="1525"/>
                <w:tab w:val="right" w:pos="2835"/>
              </w:tabs>
              <w:spacing w:after="60"/>
              <w:rPr>
                <w:sz w:val="14"/>
                <w:szCs w:val="14"/>
              </w:rPr>
            </w:pPr>
            <w:r>
              <w:rPr>
                <w:sz w:val="14"/>
                <w:szCs w:val="14"/>
              </w:rPr>
              <w:t xml:space="preserve">II.10  </w:t>
            </w:r>
            <w:r w:rsidRPr="00BF4D0F">
              <w:rPr>
                <w:sz w:val="14"/>
                <w:szCs w:val="14"/>
              </w:rPr>
              <w:t xml:space="preserve">Mayor y más eficaz utilización del Sistema de </w:t>
            </w:r>
            <w:r>
              <w:rPr>
                <w:sz w:val="14"/>
                <w:szCs w:val="14"/>
              </w:rPr>
              <w:t>Lisboa</w:t>
            </w:r>
            <w:r w:rsidRPr="00BF4D0F">
              <w:rPr>
                <w:sz w:val="14"/>
                <w:szCs w:val="14"/>
              </w:rPr>
              <w:t>, entre otros por los países en desarrollo y los PMA</w:t>
            </w:r>
          </w:p>
          <w:p w:rsidR="00236E18" w:rsidRPr="00F922F0" w:rsidRDefault="00236E18" w:rsidP="00294272">
            <w:pPr>
              <w:tabs>
                <w:tab w:val="left" w:pos="335"/>
                <w:tab w:val="left" w:pos="2173"/>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t>896</w:t>
            </w:r>
          </w:p>
          <w:p w:rsidR="00236E18" w:rsidRPr="001C77E2" w:rsidRDefault="00236E18" w:rsidP="00294272">
            <w:pPr>
              <w:tabs>
                <w:tab w:val="left" w:pos="335"/>
                <w:tab w:val="left" w:pos="2173"/>
                <w:tab w:val="right" w:pos="2835"/>
              </w:tabs>
              <w:rPr>
                <w:i/>
                <w:iCs/>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1C77E2">
              <w:rPr>
                <w:i/>
                <w:iCs/>
                <w:color w:val="0000FF"/>
                <w:sz w:val="14"/>
                <w:szCs w:val="14"/>
              </w:rPr>
              <w:t xml:space="preserve">: </w:t>
            </w:r>
            <w:r w:rsidRPr="001C77E2">
              <w:rPr>
                <w:i/>
                <w:iCs/>
                <w:color w:val="0000FF"/>
                <w:sz w:val="14"/>
                <w:szCs w:val="14"/>
              </w:rPr>
              <w:tab/>
            </w:r>
            <w:r w:rsidRPr="001C77E2">
              <w:rPr>
                <w:i/>
                <w:iCs/>
                <w:color w:val="0000FF"/>
                <w:sz w:val="14"/>
                <w:szCs w:val="14"/>
              </w:rPr>
              <w:tab/>
            </w:r>
            <w:r>
              <w:rPr>
                <w:i/>
                <w:iCs/>
                <w:color w:val="0000FF"/>
                <w:sz w:val="14"/>
                <w:szCs w:val="14"/>
              </w:rPr>
              <w:t>597</w:t>
            </w:r>
          </w:p>
          <w:p w:rsidR="00236E18" w:rsidRPr="00F922F0" w:rsidRDefault="00236E18" w:rsidP="00294272">
            <w:pPr>
              <w:tabs>
                <w:tab w:val="left" w:pos="1525"/>
                <w:tab w:val="right" w:pos="2835"/>
              </w:tabs>
              <w:rPr>
                <w:sz w:val="14"/>
                <w:szCs w:val="14"/>
              </w:rPr>
            </w:pPr>
          </w:p>
          <w:p w:rsidR="00236E18" w:rsidRPr="00F922F0" w:rsidRDefault="00236E18" w:rsidP="00294272">
            <w:pPr>
              <w:tabs>
                <w:tab w:val="left" w:pos="1525"/>
                <w:tab w:val="right" w:pos="2835"/>
              </w:tabs>
              <w:spacing w:after="60"/>
              <w:rPr>
                <w:sz w:val="14"/>
                <w:szCs w:val="14"/>
              </w:rPr>
            </w:pPr>
            <w:r>
              <w:rPr>
                <w:sz w:val="14"/>
                <w:szCs w:val="14"/>
              </w:rPr>
              <w:t xml:space="preserve">II.11  </w:t>
            </w:r>
            <w:r w:rsidRPr="00BF4D0F">
              <w:rPr>
                <w:sz w:val="14"/>
                <w:szCs w:val="14"/>
              </w:rPr>
              <w:t xml:space="preserve">Mejora de la productividad y de la calidad de los servicios en las operaciones </w:t>
            </w:r>
            <w:r>
              <w:rPr>
                <w:sz w:val="14"/>
                <w:szCs w:val="14"/>
              </w:rPr>
              <w:t>de</w:t>
            </w:r>
            <w:r w:rsidRPr="00BF4D0F">
              <w:rPr>
                <w:sz w:val="14"/>
                <w:szCs w:val="14"/>
              </w:rPr>
              <w:t xml:space="preserve">l Sistema de </w:t>
            </w:r>
            <w:r>
              <w:rPr>
                <w:sz w:val="14"/>
                <w:szCs w:val="14"/>
              </w:rPr>
              <w:t>Lisboa</w:t>
            </w:r>
          </w:p>
          <w:p w:rsidR="00236E18" w:rsidRPr="00F922F0" w:rsidRDefault="00236E18" w:rsidP="00294272">
            <w:pPr>
              <w:tabs>
                <w:tab w:val="left" w:pos="331"/>
                <w:tab w:val="left" w:pos="2173"/>
                <w:tab w:val="right" w:pos="2835"/>
              </w:tabs>
              <w:rPr>
                <w:i/>
                <w:iCs/>
                <w:sz w:val="14"/>
                <w:szCs w:val="14"/>
              </w:rPr>
            </w:pPr>
            <w:r w:rsidRPr="00F922F0">
              <w:rPr>
                <w:i/>
                <w:iCs/>
                <w:sz w:val="14"/>
                <w:szCs w:val="14"/>
              </w:rPr>
              <w:tab/>
              <w:t>Presupuesto propuesto 16/17:</w:t>
            </w:r>
            <w:r>
              <w:rPr>
                <w:iCs/>
                <w:sz w:val="14"/>
                <w:szCs w:val="14"/>
              </w:rPr>
              <w:tab/>
              <w:t>648</w:t>
            </w:r>
          </w:p>
          <w:p w:rsidR="00236E18" w:rsidRPr="00F922F0" w:rsidRDefault="00236E18" w:rsidP="00294272">
            <w:pPr>
              <w:tabs>
                <w:tab w:val="left" w:pos="331"/>
                <w:tab w:val="left" w:pos="2173"/>
                <w:tab w:val="right" w:pos="2835"/>
              </w:tabs>
              <w:rPr>
                <w:i/>
                <w:iCs/>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1C77E2">
              <w:rPr>
                <w:i/>
                <w:iCs/>
                <w:color w:val="0000FF"/>
                <w:sz w:val="14"/>
                <w:szCs w:val="14"/>
              </w:rPr>
              <w:t>:</w:t>
            </w:r>
            <w:r w:rsidRPr="001C77E2">
              <w:rPr>
                <w:i/>
                <w:iCs/>
                <w:color w:val="0000FF"/>
                <w:sz w:val="14"/>
                <w:szCs w:val="14"/>
              </w:rPr>
              <w:tab/>
            </w:r>
            <w:r w:rsidRPr="001C77E2">
              <w:rPr>
                <w:i/>
                <w:iCs/>
                <w:color w:val="0000FF"/>
                <w:sz w:val="14"/>
                <w:szCs w:val="14"/>
              </w:rPr>
              <w:tab/>
            </w:r>
            <w:r>
              <w:rPr>
                <w:i/>
                <w:iCs/>
                <w:color w:val="0000FF"/>
                <w:sz w:val="14"/>
                <w:szCs w:val="14"/>
              </w:rPr>
              <w:t>-</w:t>
            </w:r>
          </w:p>
          <w:p w:rsidR="00236E18" w:rsidRPr="00F922F0" w:rsidRDefault="00236E18" w:rsidP="00294272">
            <w:pPr>
              <w:tabs>
                <w:tab w:val="left" w:pos="1525"/>
                <w:tab w:val="right" w:pos="2835"/>
              </w:tabs>
              <w:rPr>
                <w:i/>
                <w:iCs/>
                <w:sz w:val="14"/>
                <w:szCs w:val="14"/>
              </w:rPr>
            </w:pPr>
          </w:p>
          <w:p w:rsidR="00236E18" w:rsidRPr="00F922F0" w:rsidRDefault="00236E18" w:rsidP="00294272">
            <w:pPr>
              <w:tabs>
                <w:tab w:val="left" w:pos="1525"/>
                <w:tab w:val="right" w:pos="2835"/>
              </w:tabs>
              <w:rPr>
                <w:i/>
                <w:iCs/>
                <w:sz w:val="14"/>
                <w:szCs w:val="14"/>
              </w:rPr>
            </w:pPr>
          </w:p>
        </w:tc>
        <w:tc>
          <w:tcPr>
            <w:tcW w:w="3043" w:type="dxa"/>
            <w:tcBorders>
              <w:top w:val="nil"/>
              <w:left w:val="nil"/>
              <w:right w:val="nil"/>
            </w:tcBorders>
            <w:shd w:val="clear" w:color="auto" w:fill="auto"/>
          </w:tcPr>
          <w:p w:rsidR="00236E18" w:rsidRPr="00F922F0" w:rsidRDefault="00236E18" w:rsidP="00294272">
            <w:pPr>
              <w:tabs>
                <w:tab w:val="right" w:pos="2835"/>
              </w:tabs>
              <w:spacing w:after="60"/>
              <w:rPr>
                <w:sz w:val="14"/>
                <w:szCs w:val="14"/>
              </w:rPr>
            </w:pPr>
            <w:r>
              <w:rPr>
                <w:sz w:val="14"/>
                <w:szCs w:val="14"/>
              </w:rPr>
              <w:t xml:space="preserve">III.1  </w:t>
            </w:r>
            <w:r w:rsidRPr="008C3520">
              <w:rPr>
                <w:sz w:val="14"/>
                <w:szCs w:val="14"/>
              </w:rPr>
              <w:t>Estrategias y planes nacionales de innovación y de P.I. que estén en sintonía con los objetivos nacionales</w:t>
            </w:r>
            <w:r>
              <w:rPr>
                <w:sz w:val="14"/>
                <w:szCs w:val="14"/>
              </w:rPr>
              <w:t xml:space="preserve"> de desarrollo</w:t>
            </w:r>
          </w:p>
          <w:p w:rsidR="00236E18" w:rsidRPr="00F922F0" w:rsidRDefault="00236E18" w:rsidP="00294272">
            <w:pPr>
              <w:tabs>
                <w:tab w:val="left" w:pos="346"/>
                <w:tab w:val="left" w:pos="2189"/>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10.957</w:t>
            </w:r>
          </w:p>
          <w:p w:rsidR="00236E18" w:rsidRPr="001C77E2" w:rsidRDefault="00236E18" w:rsidP="00294272">
            <w:pPr>
              <w:tabs>
                <w:tab w:val="left" w:pos="350"/>
                <w:tab w:val="left" w:pos="2189"/>
                <w:tab w:val="right" w:pos="2835"/>
              </w:tabs>
              <w:rPr>
                <w:i/>
                <w:iCs/>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1C77E2">
              <w:rPr>
                <w:i/>
                <w:iCs/>
                <w:color w:val="0000FF"/>
                <w:sz w:val="14"/>
                <w:szCs w:val="14"/>
              </w:rPr>
              <w:t xml:space="preserve">: </w:t>
            </w:r>
            <w:r w:rsidRPr="001C77E2">
              <w:rPr>
                <w:i/>
                <w:iCs/>
                <w:color w:val="0000FF"/>
                <w:sz w:val="14"/>
                <w:szCs w:val="14"/>
              </w:rPr>
              <w:tab/>
            </w:r>
            <w:r w:rsidRPr="001C77E2">
              <w:rPr>
                <w:i/>
                <w:iCs/>
                <w:color w:val="0000FF"/>
                <w:sz w:val="14"/>
                <w:szCs w:val="14"/>
              </w:rPr>
              <w:tab/>
              <w:t>10.957</w:t>
            </w:r>
          </w:p>
          <w:p w:rsidR="00236E18" w:rsidRPr="00F922F0" w:rsidRDefault="00236E18" w:rsidP="00294272">
            <w:pPr>
              <w:tabs>
                <w:tab w:val="right" w:pos="2835"/>
              </w:tabs>
              <w:rPr>
                <w:sz w:val="14"/>
                <w:szCs w:val="14"/>
              </w:rPr>
            </w:pPr>
          </w:p>
          <w:p w:rsidR="00236E18" w:rsidRPr="00F922F0" w:rsidRDefault="00236E18" w:rsidP="00294272">
            <w:pPr>
              <w:tabs>
                <w:tab w:val="right" w:pos="2835"/>
              </w:tabs>
              <w:rPr>
                <w:sz w:val="14"/>
                <w:szCs w:val="14"/>
              </w:rPr>
            </w:pPr>
          </w:p>
          <w:p w:rsidR="00236E18" w:rsidRPr="00F922F0" w:rsidRDefault="00236E18" w:rsidP="00294272">
            <w:pPr>
              <w:tabs>
                <w:tab w:val="right" w:pos="2835"/>
              </w:tabs>
              <w:spacing w:after="60"/>
              <w:rPr>
                <w:sz w:val="14"/>
                <w:szCs w:val="14"/>
              </w:rPr>
            </w:pPr>
            <w:r w:rsidRPr="00F922F0">
              <w:rPr>
                <w:sz w:val="14"/>
                <w:szCs w:val="14"/>
              </w:rPr>
              <w:t>III.2</w:t>
            </w:r>
            <w:r>
              <w:rPr>
                <w:sz w:val="14"/>
                <w:szCs w:val="14"/>
              </w:rPr>
              <w:t xml:space="preserve">  </w:t>
            </w:r>
            <w:r w:rsidRPr="008C3520">
              <w:rPr>
                <w:sz w:val="14"/>
                <w:szCs w:val="14"/>
              </w:rPr>
              <w:t>Aumento de las capacidades en recursos humanos para hacer frente a la gran diversidad de exigencias que supone la utilización eficaz de la P.I. para fomentar el desarrollo en los países en desarrollo, PMA y países con economías en transición</w:t>
            </w:r>
          </w:p>
          <w:p w:rsidR="00236E18" w:rsidRPr="00F922F0" w:rsidRDefault="00236E18" w:rsidP="00294272">
            <w:pPr>
              <w:tabs>
                <w:tab w:val="left" w:pos="325"/>
                <w:tab w:val="left" w:pos="2189"/>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39.734</w:t>
            </w:r>
          </w:p>
          <w:p w:rsidR="00236E18" w:rsidRPr="00F922F0" w:rsidRDefault="00236E18" w:rsidP="00294272">
            <w:pPr>
              <w:tabs>
                <w:tab w:val="left" w:pos="350"/>
                <w:tab w:val="left" w:pos="2189"/>
                <w:tab w:val="right" w:pos="2835"/>
              </w:tabs>
              <w:rPr>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1C77E2">
              <w:rPr>
                <w:i/>
                <w:iCs/>
                <w:color w:val="0000FF"/>
                <w:sz w:val="14"/>
                <w:szCs w:val="14"/>
              </w:rPr>
              <w:t xml:space="preserve">: </w:t>
            </w:r>
            <w:r w:rsidRPr="001C77E2">
              <w:rPr>
                <w:i/>
                <w:iCs/>
                <w:color w:val="0000FF"/>
                <w:sz w:val="14"/>
                <w:szCs w:val="14"/>
              </w:rPr>
              <w:tab/>
            </w:r>
            <w:r w:rsidRPr="001C77E2">
              <w:rPr>
                <w:i/>
                <w:iCs/>
                <w:color w:val="0000FF"/>
                <w:sz w:val="14"/>
                <w:szCs w:val="14"/>
              </w:rPr>
              <w:tab/>
              <w:t>39.322</w:t>
            </w:r>
          </w:p>
          <w:p w:rsidR="00236E18" w:rsidRPr="00F922F0" w:rsidRDefault="00236E18" w:rsidP="00294272">
            <w:pPr>
              <w:tabs>
                <w:tab w:val="right" w:pos="2835"/>
              </w:tabs>
              <w:rPr>
                <w:sz w:val="14"/>
                <w:szCs w:val="14"/>
              </w:rPr>
            </w:pPr>
          </w:p>
          <w:p w:rsidR="00236E18" w:rsidRPr="00F922F0" w:rsidRDefault="00236E18" w:rsidP="00294272">
            <w:pPr>
              <w:tabs>
                <w:tab w:val="right" w:pos="2835"/>
              </w:tabs>
              <w:spacing w:after="60"/>
              <w:rPr>
                <w:sz w:val="14"/>
                <w:szCs w:val="14"/>
              </w:rPr>
            </w:pPr>
            <w:r w:rsidRPr="00F922F0">
              <w:rPr>
                <w:sz w:val="14"/>
                <w:szCs w:val="14"/>
              </w:rPr>
              <w:t xml:space="preserve">III.3  </w:t>
            </w:r>
            <w:r w:rsidRPr="008C3520">
              <w:rPr>
                <w:sz w:val="14"/>
                <w:szCs w:val="14"/>
              </w:rPr>
              <w:t>Incorporación de las recomendaciones de la Agenda para el Desarrollo en la labor de la OMPI</w:t>
            </w:r>
          </w:p>
          <w:p w:rsidR="00236E18" w:rsidRPr="00F922F0" w:rsidRDefault="00236E18" w:rsidP="00294272">
            <w:pPr>
              <w:tabs>
                <w:tab w:val="left" w:pos="325"/>
                <w:tab w:val="left" w:pos="2189"/>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2.492</w:t>
            </w:r>
          </w:p>
          <w:p w:rsidR="00236E18" w:rsidRPr="001C77E2" w:rsidRDefault="00236E18" w:rsidP="00294272">
            <w:pPr>
              <w:tabs>
                <w:tab w:val="left" w:pos="325"/>
                <w:tab w:val="left" w:pos="2189"/>
                <w:tab w:val="right" w:pos="2817"/>
              </w:tabs>
              <w:rPr>
                <w:i/>
                <w:iCs/>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F922F0">
              <w:rPr>
                <w:i/>
                <w:iCs/>
                <w:color w:val="0000FF"/>
                <w:sz w:val="14"/>
                <w:szCs w:val="14"/>
              </w:rPr>
              <w:t>:</w:t>
            </w:r>
            <w:r w:rsidRPr="001C77E2">
              <w:rPr>
                <w:i/>
                <w:iCs/>
                <w:color w:val="0000FF"/>
                <w:sz w:val="14"/>
                <w:szCs w:val="14"/>
              </w:rPr>
              <w:t xml:space="preserve"> </w:t>
            </w:r>
            <w:r w:rsidRPr="001C77E2">
              <w:rPr>
                <w:i/>
                <w:iCs/>
                <w:color w:val="0000FF"/>
                <w:sz w:val="14"/>
                <w:szCs w:val="14"/>
              </w:rPr>
              <w:tab/>
            </w:r>
            <w:r w:rsidRPr="001C77E2">
              <w:rPr>
                <w:i/>
                <w:iCs/>
                <w:color w:val="0000FF"/>
                <w:sz w:val="14"/>
                <w:szCs w:val="14"/>
              </w:rPr>
              <w:tab/>
              <w:t>2.492</w:t>
            </w:r>
          </w:p>
          <w:p w:rsidR="00236E18" w:rsidRPr="00F922F0" w:rsidRDefault="00236E18" w:rsidP="00294272">
            <w:pPr>
              <w:tabs>
                <w:tab w:val="right" w:pos="2835"/>
              </w:tabs>
              <w:rPr>
                <w:sz w:val="14"/>
                <w:szCs w:val="14"/>
              </w:rPr>
            </w:pPr>
          </w:p>
          <w:p w:rsidR="00236E18" w:rsidRPr="00F922F0" w:rsidRDefault="00236E18" w:rsidP="00294272">
            <w:pPr>
              <w:tabs>
                <w:tab w:val="right" w:pos="2835"/>
              </w:tabs>
              <w:rPr>
                <w:sz w:val="14"/>
                <w:szCs w:val="14"/>
              </w:rPr>
            </w:pPr>
          </w:p>
          <w:p w:rsidR="00236E18" w:rsidRPr="00F922F0" w:rsidRDefault="00236E18" w:rsidP="00294272">
            <w:pPr>
              <w:tabs>
                <w:tab w:val="right" w:pos="2835"/>
              </w:tabs>
              <w:spacing w:after="60"/>
              <w:rPr>
                <w:sz w:val="14"/>
                <w:szCs w:val="14"/>
              </w:rPr>
            </w:pPr>
            <w:r>
              <w:rPr>
                <w:sz w:val="14"/>
                <w:szCs w:val="14"/>
              </w:rPr>
              <w:t xml:space="preserve">III.4  </w:t>
            </w:r>
            <w:r w:rsidRPr="008C3520">
              <w:rPr>
                <w:sz w:val="14"/>
                <w:szCs w:val="14"/>
              </w:rPr>
              <w:t>Fortalecimiento de los mecanismos y de los programas de cooperación conforme a las necesidades de los países en desarrollo y los PMA</w:t>
            </w:r>
          </w:p>
          <w:p w:rsidR="00236E18" w:rsidRPr="00F922F0" w:rsidRDefault="00236E18" w:rsidP="00294272">
            <w:pPr>
              <w:tabs>
                <w:tab w:val="left" w:pos="338"/>
                <w:tab w:val="left" w:pos="2189"/>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6.273</w:t>
            </w:r>
          </w:p>
          <w:p w:rsidR="00236E18" w:rsidRPr="001C77E2" w:rsidRDefault="00236E18" w:rsidP="00294272">
            <w:pPr>
              <w:tabs>
                <w:tab w:val="left" w:pos="338"/>
                <w:tab w:val="left" w:pos="2189"/>
                <w:tab w:val="right" w:pos="2835"/>
              </w:tabs>
              <w:rPr>
                <w:i/>
                <w:iCs/>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1C77E2">
              <w:rPr>
                <w:i/>
                <w:iCs/>
                <w:color w:val="0000FF"/>
                <w:sz w:val="14"/>
                <w:szCs w:val="14"/>
              </w:rPr>
              <w:t xml:space="preserve">: </w:t>
            </w:r>
            <w:r w:rsidRPr="001C77E2">
              <w:rPr>
                <w:i/>
                <w:iCs/>
                <w:color w:val="0000FF"/>
                <w:sz w:val="14"/>
                <w:szCs w:val="14"/>
              </w:rPr>
              <w:tab/>
            </w:r>
            <w:r w:rsidRPr="001C77E2">
              <w:rPr>
                <w:i/>
                <w:iCs/>
                <w:color w:val="0000FF"/>
                <w:sz w:val="14"/>
                <w:szCs w:val="14"/>
              </w:rPr>
              <w:tab/>
              <w:t>5.853</w:t>
            </w:r>
          </w:p>
          <w:p w:rsidR="00236E18" w:rsidRPr="00F922F0" w:rsidRDefault="00236E18" w:rsidP="00294272">
            <w:pPr>
              <w:tabs>
                <w:tab w:val="left" w:pos="1525"/>
                <w:tab w:val="right" w:pos="2835"/>
              </w:tabs>
              <w:rPr>
                <w:sz w:val="14"/>
                <w:szCs w:val="14"/>
              </w:rPr>
            </w:pPr>
          </w:p>
          <w:p w:rsidR="00236E18" w:rsidRPr="00F922F0" w:rsidRDefault="00236E18" w:rsidP="00294272">
            <w:pPr>
              <w:tabs>
                <w:tab w:val="left" w:pos="1525"/>
                <w:tab w:val="right" w:pos="2835"/>
              </w:tabs>
              <w:rPr>
                <w:sz w:val="14"/>
                <w:szCs w:val="14"/>
              </w:rPr>
            </w:pPr>
          </w:p>
          <w:p w:rsidR="00236E18" w:rsidRPr="00F922F0" w:rsidRDefault="00236E18" w:rsidP="00294272">
            <w:pPr>
              <w:tabs>
                <w:tab w:val="right" w:pos="2835"/>
              </w:tabs>
              <w:spacing w:after="60"/>
              <w:rPr>
                <w:sz w:val="14"/>
                <w:szCs w:val="14"/>
              </w:rPr>
            </w:pPr>
            <w:r w:rsidRPr="00F922F0">
              <w:rPr>
                <w:sz w:val="14"/>
                <w:szCs w:val="14"/>
              </w:rPr>
              <w:t>III.5</w:t>
            </w:r>
            <w:r>
              <w:rPr>
                <w:sz w:val="14"/>
                <w:szCs w:val="14"/>
              </w:rPr>
              <w:t xml:space="preserve"> </w:t>
            </w:r>
            <w:r w:rsidRPr="00F922F0">
              <w:rPr>
                <w:sz w:val="14"/>
                <w:szCs w:val="14"/>
              </w:rPr>
              <w:t xml:space="preserve"> </w:t>
            </w:r>
            <w:r w:rsidRPr="008C3520">
              <w:rPr>
                <w:sz w:val="14"/>
                <w:szCs w:val="14"/>
              </w:rPr>
              <w:t>Mejor comprensión de la Agenda para el Desarrollo por los Estados miembros, las OIG, la sociedad civil y demás partes interesadas</w:t>
            </w:r>
          </w:p>
          <w:p w:rsidR="00236E18" w:rsidRPr="00F922F0" w:rsidRDefault="00236E18" w:rsidP="00294272">
            <w:pPr>
              <w:tabs>
                <w:tab w:val="left" w:pos="338"/>
                <w:tab w:val="left" w:pos="2189"/>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Pr>
                <w:i/>
                <w:iCs/>
                <w:sz w:val="14"/>
                <w:szCs w:val="14"/>
              </w:rPr>
              <w:t>1.393</w:t>
            </w:r>
          </w:p>
          <w:p w:rsidR="00236E18" w:rsidRPr="001C77E2" w:rsidRDefault="00236E18" w:rsidP="00294272">
            <w:pPr>
              <w:tabs>
                <w:tab w:val="left" w:pos="338"/>
                <w:tab w:val="left" w:pos="2189"/>
                <w:tab w:val="right" w:pos="2835"/>
              </w:tabs>
              <w:rPr>
                <w:i/>
                <w:iCs/>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1C77E2">
              <w:rPr>
                <w:i/>
                <w:iCs/>
                <w:color w:val="0000FF"/>
                <w:sz w:val="14"/>
                <w:szCs w:val="14"/>
              </w:rPr>
              <w:t xml:space="preserve">: </w:t>
            </w:r>
            <w:r w:rsidRPr="001C77E2">
              <w:rPr>
                <w:i/>
                <w:iCs/>
                <w:color w:val="0000FF"/>
                <w:sz w:val="14"/>
                <w:szCs w:val="14"/>
              </w:rPr>
              <w:tab/>
            </w:r>
            <w:r w:rsidRPr="001C77E2">
              <w:rPr>
                <w:i/>
                <w:iCs/>
                <w:color w:val="0000FF"/>
                <w:sz w:val="14"/>
                <w:szCs w:val="14"/>
              </w:rPr>
              <w:tab/>
              <w:t>1.393</w:t>
            </w:r>
          </w:p>
          <w:p w:rsidR="00236E18" w:rsidRPr="00F922F0" w:rsidRDefault="00236E18" w:rsidP="00294272">
            <w:pPr>
              <w:tabs>
                <w:tab w:val="right" w:pos="2835"/>
              </w:tabs>
              <w:spacing w:after="60"/>
              <w:rPr>
                <w:sz w:val="14"/>
                <w:szCs w:val="14"/>
              </w:rPr>
            </w:pPr>
          </w:p>
          <w:p w:rsidR="00236E18" w:rsidRPr="00F922F0" w:rsidRDefault="00236E18" w:rsidP="00294272">
            <w:pPr>
              <w:tabs>
                <w:tab w:val="right" w:pos="2835"/>
              </w:tabs>
              <w:spacing w:after="60"/>
              <w:rPr>
                <w:sz w:val="14"/>
                <w:szCs w:val="14"/>
              </w:rPr>
            </w:pPr>
            <w:r w:rsidRPr="00F922F0">
              <w:rPr>
                <w:sz w:val="14"/>
                <w:szCs w:val="14"/>
              </w:rPr>
              <w:t xml:space="preserve">III.6 </w:t>
            </w:r>
            <w:r>
              <w:rPr>
                <w:sz w:val="14"/>
                <w:szCs w:val="14"/>
              </w:rPr>
              <w:t xml:space="preserve"> </w:t>
            </w:r>
            <w:r w:rsidRPr="008C3520">
              <w:rPr>
                <w:sz w:val="14"/>
                <w:szCs w:val="14"/>
              </w:rPr>
              <w:t>Mayor capacidad de las pymes para utilizar con éxito la P.I. con el fin de apoyar la innovación</w:t>
            </w:r>
          </w:p>
          <w:p w:rsidR="00236E18" w:rsidRPr="00EF23F5" w:rsidRDefault="00236E18" w:rsidP="00294272">
            <w:pPr>
              <w:tabs>
                <w:tab w:val="left" w:pos="338"/>
                <w:tab w:val="left" w:pos="2189"/>
                <w:tab w:val="right" w:pos="2835"/>
              </w:tabs>
              <w:rPr>
                <w:i/>
                <w:iCs/>
                <w:color w:val="0000FF"/>
                <w:sz w:val="14"/>
                <w:szCs w:val="14"/>
              </w:rPr>
            </w:pPr>
            <w:r w:rsidRPr="00F922F0">
              <w:rPr>
                <w:i/>
                <w:iCs/>
                <w:sz w:val="14"/>
                <w:szCs w:val="14"/>
              </w:rPr>
              <w:tab/>
              <w:t>Presup</w:t>
            </w:r>
            <w:r>
              <w:rPr>
                <w:i/>
                <w:iCs/>
                <w:sz w:val="14"/>
                <w:szCs w:val="14"/>
              </w:rPr>
              <w:t xml:space="preserve">uesto propuesto 16/17: </w:t>
            </w:r>
            <w:r>
              <w:rPr>
                <w:i/>
                <w:iCs/>
                <w:sz w:val="14"/>
                <w:szCs w:val="14"/>
              </w:rPr>
              <w:tab/>
            </w:r>
            <w:r w:rsidRPr="00F922F0">
              <w:rPr>
                <w:i/>
                <w:iCs/>
                <w:sz w:val="14"/>
                <w:szCs w:val="14"/>
              </w:rPr>
              <w:t>3.125</w:t>
            </w: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EF23F5">
              <w:rPr>
                <w:i/>
                <w:iCs/>
                <w:color w:val="0000FF"/>
                <w:sz w:val="14"/>
                <w:szCs w:val="14"/>
              </w:rPr>
              <w:t>:</w:t>
            </w:r>
            <w:r w:rsidRPr="00EF23F5">
              <w:rPr>
                <w:i/>
                <w:iCs/>
                <w:color w:val="0000FF"/>
                <w:sz w:val="14"/>
                <w:szCs w:val="14"/>
              </w:rPr>
              <w:tab/>
            </w:r>
            <w:r w:rsidRPr="00EF23F5">
              <w:rPr>
                <w:i/>
                <w:iCs/>
                <w:color w:val="0000FF"/>
                <w:sz w:val="14"/>
                <w:szCs w:val="14"/>
              </w:rPr>
              <w:tab/>
              <w:t>3.125</w:t>
            </w:r>
          </w:p>
          <w:p w:rsidR="00236E18" w:rsidRPr="00F922F0" w:rsidRDefault="00236E18" w:rsidP="00294272">
            <w:pPr>
              <w:tabs>
                <w:tab w:val="left" w:pos="346"/>
                <w:tab w:val="left" w:pos="1525"/>
                <w:tab w:val="right" w:pos="2835"/>
              </w:tabs>
              <w:rPr>
                <w:sz w:val="14"/>
                <w:szCs w:val="14"/>
              </w:rPr>
            </w:pPr>
          </w:p>
        </w:tc>
        <w:tc>
          <w:tcPr>
            <w:tcW w:w="3041" w:type="dxa"/>
            <w:tcBorders>
              <w:top w:val="nil"/>
              <w:left w:val="nil"/>
              <w:right w:val="nil"/>
            </w:tcBorders>
            <w:shd w:val="clear" w:color="auto" w:fill="auto"/>
          </w:tcPr>
          <w:p w:rsidR="00236E18" w:rsidRPr="00F922F0" w:rsidRDefault="00236E18" w:rsidP="00294272">
            <w:pPr>
              <w:tabs>
                <w:tab w:val="right" w:pos="2835"/>
              </w:tabs>
              <w:spacing w:after="60"/>
              <w:rPr>
                <w:sz w:val="14"/>
                <w:szCs w:val="14"/>
              </w:rPr>
            </w:pPr>
            <w:r w:rsidRPr="00F922F0">
              <w:rPr>
                <w:sz w:val="14"/>
                <w:szCs w:val="14"/>
              </w:rPr>
              <w:t>IV.1</w:t>
            </w:r>
            <w:r>
              <w:rPr>
                <w:sz w:val="14"/>
                <w:szCs w:val="14"/>
              </w:rPr>
              <w:t xml:space="preserve">  </w:t>
            </w:r>
            <w:r w:rsidRPr="008C3520">
              <w:rPr>
                <w:sz w:val="14"/>
                <w:szCs w:val="14"/>
              </w:rPr>
              <w:t>Sistema actualizado y aceptado mundialmente de clasificaciones internacionales y normas técnicas de la OMPI para facilitar el acceso, el uso y la difusión de información de P.I. entre las partes interesadas de todo el mundo</w:t>
            </w:r>
          </w:p>
          <w:p w:rsidR="00236E18" w:rsidRPr="00F922F0" w:rsidRDefault="00236E18" w:rsidP="00294272">
            <w:pPr>
              <w:tabs>
                <w:tab w:val="left" w:pos="378"/>
                <w:tab w:val="left" w:pos="2205"/>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7.070</w:t>
            </w:r>
          </w:p>
          <w:p w:rsidR="00236E18" w:rsidRPr="00F922F0" w:rsidRDefault="00236E18" w:rsidP="00294272">
            <w:pPr>
              <w:tabs>
                <w:tab w:val="left" w:pos="378"/>
                <w:tab w:val="left" w:pos="2205"/>
                <w:tab w:val="right" w:pos="2835"/>
              </w:tabs>
              <w:rPr>
                <w:i/>
                <w:iCs/>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AC50B8">
              <w:rPr>
                <w:i/>
                <w:iCs/>
                <w:color w:val="0000FF"/>
                <w:sz w:val="14"/>
                <w:szCs w:val="14"/>
              </w:rPr>
              <w:t xml:space="preserve">: </w:t>
            </w:r>
            <w:r w:rsidRPr="00AC50B8">
              <w:rPr>
                <w:i/>
                <w:iCs/>
                <w:color w:val="0000FF"/>
                <w:sz w:val="14"/>
                <w:szCs w:val="14"/>
              </w:rPr>
              <w:tab/>
            </w:r>
            <w:r w:rsidRPr="00AC50B8">
              <w:rPr>
                <w:i/>
                <w:iCs/>
                <w:color w:val="0000FF"/>
                <w:sz w:val="14"/>
                <w:szCs w:val="14"/>
              </w:rPr>
              <w:tab/>
              <w:t>1.078</w:t>
            </w:r>
          </w:p>
          <w:p w:rsidR="00236E18" w:rsidRPr="00F922F0" w:rsidRDefault="00236E18" w:rsidP="00294272">
            <w:pPr>
              <w:tabs>
                <w:tab w:val="right" w:pos="2835"/>
              </w:tabs>
              <w:rPr>
                <w:sz w:val="14"/>
                <w:szCs w:val="14"/>
              </w:rPr>
            </w:pPr>
            <w:r w:rsidRPr="00F922F0">
              <w:rPr>
                <w:noProof/>
                <w:lang w:val="en-US" w:eastAsia="en-US"/>
              </w:rPr>
              <mc:AlternateContent>
                <mc:Choice Requires="wps">
                  <w:drawing>
                    <wp:anchor distT="4294967295" distB="4294967295" distL="114299" distR="114299" simplePos="0" relativeHeight="251663360" behindDoc="0" locked="0" layoutInCell="0" allowOverlap="1" wp14:anchorId="04D18099" wp14:editId="743F2A59">
                      <wp:simplePos x="0" y="0"/>
                      <wp:positionH relativeFrom="column">
                        <wp:posOffset>8083549</wp:posOffset>
                      </wp:positionH>
                      <wp:positionV relativeFrom="paragraph">
                        <wp:posOffset>668654</wp:posOffset>
                      </wp:positionV>
                      <wp:extent cx="0" cy="0"/>
                      <wp:effectExtent l="0" t="0" r="0" b="0"/>
                      <wp:wrapNone/>
                      <wp:docPr id="810" name="Straight Connector 8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10" o:spid="_x0000_s1026" style="position:absolute;z-index:25166336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36.5pt,52.65pt" to="636.5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" o:allowincell="f">
                      <v:stroke endarrow="block"/>
                    </v:line>
                  </w:pict>
                </mc:Fallback>
              </mc:AlternateContent>
            </w:r>
          </w:p>
          <w:p w:rsidR="00236E18" w:rsidRPr="00F922F0" w:rsidRDefault="00236E18" w:rsidP="00294272">
            <w:pPr>
              <w:tabs>
                <w:tab w:val="right" w:pos="2835"/>
              </w:tabs>
              <w:spacing w:after="60"/>
              <w:rPr>
                <w:sz w:val="14"/>
                <w:szCs w:val="14"/>
              </w:rPr>
            </w:pPr>
            <w:r>
              <w:rPr>
                <w:sz w:val="14"/>
                <w:szCs w:val="14"/>
              </w:rPr>
              <w:t xml:space="preserve">IV.2 </w:t>
            </w:r>
            <w:r w:rsidRPr="00F922F0">
              <w:rPr>
                <w:sz w:val="14"/>
                <w:szCs w:val="14"/>
              </w:rPr>
              <w:t xml:space="preserve"> </w:t>
            </w:r>
            <w:r w:rsidRPr="008C3520">
              <w:rPr>
                <w:sz w:val="14"/>
                <w:szCs w:val="14"/>
              </w:rPr>
              <w:t>Mejora del acceso y uso de información de P.I. por parte de instituciones de P.I. y el público para fomentar la innovación y la creatividad</w:t>
            </w:r>
          </w:p>
          <w:p w:rsidR="00236E18" w:rsidRPr="00F922F0" w:rsidRDefault="00236E18" w:rsidP="00294272">
            <w:pPr>
              <w:tabs>
                <w:tab w:val="left" w:pos="378"/>
                <w:tab w:val="left" w:pos="2205"/>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22.539</w:t>
            </w:r>
          </w:p>
          <w:p w:rsidR="00236E18" w:rsidRPr="00F922F0" w:rsidRDefault="00236E18" w:rsidP="00294272">
            <w:pPr>
              <w:tabs>
                <w:tab w:val="left" w:pos="366"/>
                <w:tab w:val="left" w:pos="2205"/>
                <w:tab w:val="right" w:pos="2835"/>
              </w:tabs>
              <w:rPr>
                <w:i/>
                <w:iCs/>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AC50B8">
              <w:rPr>
                <w:i/>
                <w:iCs/>
                <w:color w:val="0000FF"/>
                <w:sz w:val="14"/>
                <w:szCs w:val="14"/>
              </w:rPr>
              <w:t xml:space="preserve">: </w:t>
            </w:r>
            <w:r w:rsidRPr="00AC50B8">
              <w:rPr>
                <w:i/>
                <w:iCs/>
                <w:color w:val="0000FF"/>
                <w:sz w:val="14"/>
                <w:szCs w:val="14"/>
              </w:rPr>
              <w:tab/>
            </w:r>
            <w:r w:rsidRPr="00AC50B8">
              <w:rPr>
                <w:i/>
                <w:iCs/>
                <w:color w:val="0000FF"/>
                <w:sz w:val="14"/>
                <w:szCs w:val="14"/>
              </w:rPr>
              <w:tab/>
              <w:t>16.937</w:t>
            </w:r>
          </w:p>
          <w:p w:rsidR="00236E18" w:rsidRPr="00F922F0" w:rsidRDefault="00236E18" w:rsidP="00294272">
            <w:pPr>
              <w:tabs>
                <w:tab w:val="right" w:pos="2835"/>
              </w:tabs>
              <w:rPr>
                <w:sz w:val="14"/>
                <w:szCs w:val="14"/>
              </w:rPr>
            </w:pPr>
          </w:p>
          <w:p w:rsidR="00236E18" w:rsidRPr="00F922F0" w:rsidRDefault="00236E18" w:rsidP="00294272">
            <w:pPr>
              <w:tabs>
                <w:tab w:val="right" w:pos="2835"/>
              </w:tabs>
              <w:rPr>
                <w:sz w:val="14"/>
                <w:szCs w:val="14"/>
              </w:rPr>
            </w:pPr>
          </w:p>
          <w:p w:rsidR="00236E18" w:rsidRPr="00F922F0" w:rsidRDefault="00236E18" w:rsidP="00294272">
            <w:pPr>
              <w:tabs>
                <w:tab w:val="right" w:pos="2835"/>
              </w:tabs>
              <w:spacing w:after="60"/>
              <w:rPr>
                <w:sz w:val="14"/>
                <w:szCs w:val="14"/>
              </w:rPr>
            </w:pPr>
            <w:r>
              <w:rPr>
                <w:sz w:val="14"/>
                <w:szCs w:val="14"/>
              </w:rPr>
              <w:t xml:space="preserve">IV.3 </w:t>
            </w:r>
            <w:r w:rsidRPr="00F922F0">
              <w:rPr>
                <w:sz w:val="14"/>
                <w:szCs w:val="14"/>
              </w:rPr>
              <w:t xml:space="preserve"> </w:t>
            </w:r>
            <w:r w:rsidRPr="008C3520">
              <w:rPr>
                <w:sz w:val="14"/>
                <w:szCs w:val="14"/>
              </w:rPr>
              <w:t>Amplia cobertura geográfica en cuanto al contenido y al uso de las bases de datos mundiales de la OMPI en materia de P.I.</w:t>
            </w:r>
          </w:p>
          <w:p w:rsidR="00236E18" w:rsidRPr="00F922F0" w:rsidRDefault="00236E18" w:rsidP="00294272">
            <w:pPr>
              <w:tabs>
                <w:tab w:val="left" w:pos="366"/>
                <w:tab w:val="left" w:pos="2205"/>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Pr>
                <w:i/>
                <w:iCs/>
                <w:sz w:val="14"/>
                <w:szCs w:val="14"/>
              </w:rPr>
              <w:t>1.956</w:t>
            </w:r>
          </w:p>
          <w:p w:rsidR="00236E18" w:rsidRPr="00A040DB" w:rsidRDefault="00236E18" w:rsidP="00294272">
            <w:pPr>
              <w:tabs>
                <w:tab w:val="left" w:pos="378"/>
                <w:tab w:val="left" w:pos="2347"/>
                <w:tab w:val="right" w:pos="2835"/>
              </w:tabs>
              <w:rPr>
                <w:i/>
                <w:iCs/>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A040DB">
              <w:rPr>
                <w:i/>
                <w:iCs/>
                <w:color w:val="0000FF"/>
                <w:sz w:val="14"/>
                <w:szCs w:val="14"/>
              </w:rPr>
              <w:t xml:space="preserve">: </w:t>
            </w:r>
            <w:r w:rsidRPr="00A040DB">
              <w:rPr>
                <w:i/>
                <w:iCs/>
                <w:color w:val="0000FF"/>
                <w:sz w:val="14"/>
                <w:szCs w:val="14"/>
              </w:rPr>
              <w:tab/>
            </w:r>
            <w:r w:rsidRPr="00A040DB">
              <w:rPr>
                <w:i/>
                <w:iCs/>
                <w:color w:val="0000FF"/>
                <w:sz w:val="14"/>
                <w:szCs w:val="14"/>
              </w:rPr>
              <w:tab/>
              <w:t>489</w:t>
            </w:r>
          </w:p>
          <w:p w:rsidR="00236E18" w:rsidRPr="00F922F0" w:rsidRDefault="00236E18" w:rsidP="00294272">
            <w:pPr>
              <w:tabs>
                <w:tab w:val="right" w:pos="2835"/>
              </w:tabs>
              <w:rPr>
                <w:sz w:val="14"/>
                <w:szCs w:val="14"/>
              </w:rPr>
            </w:pPr>
          </w:p>
          <w:p w:rsidR="00236E18" w:rsidRPr="00F922F0" w:rsidRDefault="00236E18" w:rsidP="00294272">
            <w:pPr>
              <w:tabs>
                <w:tab w:val="left" w:pos="353"/>
                <w:tab w:val="left" w:pos="2205"/>
                <w:tab w:val="right" w:pos="2835"/>
              </w:tabs>
              <w:rPr>
                <w:sz w:val="14"/>
                <w:szCs w:val="14"/>
              </w:rPr>
            </w:pPr>
            <w:r w:rsidRPr="00F922F0">
              <w:rPr>
                <w:sz w:val="14"/>
                <w:szCs w:val="14"/>
              </w:rPr>
              <w:t xml:space="preserve">IV.4 </w:t>
            </w:r>
            <w:r>
              <w:rPr>
                <w:sz w:val="14"/>
                <w:szCs w:val="14"/>
              </w:rPr>
              <w:t xml:space="preserve"> </w:t>
            </w:r>
            <w:r w:rsidRPr="008C3520">
              <w:rPr>
                <w:sz w:val="14"/>
                <w:szCs w:val="14"/>
              </w:rPr>
              <w:t>Mejora de la infraestructura técnica y de conocimientos de las Oficinas y demás instituciones de P.I. que les permita prestar mejores servicios (más baratos, más rápidos y de mejor calidad) a los sectores interesados y mejores resultados en la administración de la P.I.</w:t>
            </w:r>
          </w:p>
          <w:p w:rsidR="00236E18" w:rsidRPr="00F922F0" w:rsidRDefault="00236E18" w:rsidP="00294272">
            <w:pPr>
              <w:tabs>
                <w:tab w:val="left" w:pos="353"/>
                <w:tab w:val="left" w:pos="2205"/>
                <w:tab w:val="right" w:pos="2835"/>
              </w:tabs>
              <w:rPr>
                <w:sz w:val="14"/>
                <w:szCs w:val="14"/>
              </w:rPr>
            </w:pPr>
          </w:p>
          <w:p w:rsidR="00236E18" w:rsidRPr="00F922F0" w:rsidRDefault="00236E18" w:rsidP="00294272">
            <w:pPr>
              <w:tabs>
                <w:tab w:val="left" w:pos="353"/>
                <w:tab w:val="left" w:pos="2205"/>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15.409</w:t>
            </w:r>
          </w:p>
          <w:p w:rsidR="00236E18" w:rsidRPr="00F922F0" w:rsidRDefault="00236E18" w:rsidP="00294272">
            <w:pPr>
              <w:tabs>
                <w:tab w:val="left" w:pos="366"/>
                <w:tab w:val="left" w:pos="2205"/>
                <w:tab w:val="right" w:pos="2835"/>
              </w:tabs>
              <w:rPr>
                <w:i/>
                <w:iCs/>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A040DB">
              <w:rPr>
                <w:i/>
                <w:iCs/>
                <w:color w:val="0000FF"/>
                <w:sz w:val="14"/>
                <w:szCs w:val="14"/>
              </w:rPr>
              <w:t xml:space="preserve">: </w:t>
            </w:r>
            <w:r w:rsidRPr="00A040DB">
              <w:rPr>
                <w:i/>
                <w:iCs/>
                <w:color w:val="0000FF"/>
                <w:sz w:val="14"/>
                <w:szCs w:val="14"/>
              </w:rPr>
              <w:tab/>
            </w:r>
            <w:r w:rsidRPr="00A040DB">
              <w:rPr>
                <w:i/>
                <w:iCs/>
                <w:color w:val="0000FF"/>
                <w:sz w:val="14"/>
                <w:szCs w:val="14"/>
              </w:rPr>
              <w:tab/>
              <w:t>13.499</w:t>
            </w:r>
          </w:p>
        </w:tc>
        <w:tc>
          <w:tcPr>
            <w:tcW w:w="3040" w:type="dxa"/>
            <w:tcBorders>
              <w:top w:val="nil"/>
              <w:left w:val="nil"/>
              <w:right w:val="nil"/>
            </w:tcBorders>
            <w:shd w:val="clear" w:color="auto" w:fill="auto"/>
          </w:tcPr>
          <w:p w:rsidR="00236E18" w:rsidRPr="00F922F0" w:rsidRDefault="00236E18" w:rsidP="00294272">
            <w:pPr>
              <w:tabs>
                <w:tab w:val="right" w:pos="2835"/>
              </w:tabs>
              <w:spacing w:after="60"/>
              <w:rPr>
                <w:sz w:val="14"/>
                <w:szCs w:val="14"/>
              </w:rPr>
            </w:pPr>
            <w:r w:rsidRPr="00F922F0">
              <w:rPr>
                <w:sz w:val="14"/>
                <w:szCs w:val="14"/>
              </w:rPr>
              <w:t>V.1</w:t>
            </w:r>
            <w:r>
              <w:rPr>
                <w:sz w:val="14"/>
                <w:szCs w:val="14"/>
              </w:rPr>
              <w:t xml:space="preserve">  </w:t>
            </w:r>
            <w:r w:rsidRPr="008C3520">
              <w:rPr>
                <w:sz w:val="14"/>
                <w:szCs w:val="14"/>
              </w:rPr>
              <w:t>Mayor y mejor utilización de la información estadística de la OMPI en materia de P.I.</w:t>
            </w:r>
          </w:p>
          <w:p w:rsidR="00236E18" w:rsidRPr="00F922F0" w:rsidRDefault="00236E18" w:rsidP="00294272">
            <w:pPr>
              <w:tabs>
                <w:tab w:val="left" w:pos="381"/>
                <w:tab w:val="left" w:pos="2221"/>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2.677</w:t>
            </w:r>
          </w:p>
          <w:p w:rsidR="00236E18" w:rsidRPr="005843E3" w:rsidRDefault="00236E18" w:rsidP="00294272">
            <w:pPr>
              <w:tabs>
                <w:tab w:val="left" w:pos="368"/>
                <w:tab w:val="left" w:pos="2221"/>
                <w:tab w:val="right" w:pos="2835"/>
              </w:tabs>
              <w:rPr>
                <w:i/>
                <w:iCs/>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5843E3">
              <w:rPr>
                <w:i/>
                <w:iCs/>
                <w:color w:val="0000FF"/>
                <w:sz w:val="14"/>
                <w:szCs w:val="14"/>
              </w:rPr>
              <w:t>:</w:t>
            </w:r>
            <w:r w:rsidRPr="005843E3">
              <w:rPr>
                <w:i/>
                <w:iCs/>
                <w:color w:val="0000FF"/>
                <w:sz w:val="14"/>
                <w:szCs w:val="14"/>
              </w:rPr>
              <w:tab/>
            </w:r>
            <w:r w:rsidRPr="005843E3">
              <w:rPr>
                <w:i/>
                <w:iCs/>
                <w:color w:val="0000FF"/>
                <w:sz w:val="14"/>
                <w:szCs w:val="14"/>
              </w:rPr>
              <w:tab/>
              <w:t>-</w:t>
            </w:r>
          </w:p>
          <w:p w:rsidR="00236E18" w:rsidRPr="00F922F0" w:rsidRDefault="00236E18" w:rsidP="00294272">
            <w:pPr>
              <w:tabs>
                <w:tab w:val="right" w:pos="2835"/>
              </w:tabs>
              <w:rPr>
                <w:sz w:val="14"/>
                <w:szCs w:val="14"/>
              </w:rPr>
            </w:pPr>
          </w:p>
          <w:p w:rsidR="00236E18" w:rsidRPr="00F922F0" w:rsidRDefault="00236E18" w:rsidP="00294272">
            <w:pPr>
              <w:tabs>
                <w:tab w:val="right" w:pos="2835"/>
              </w:tabs>
              <w:rPr>
                <w:sz w:val="14"/>
                <w:szCs w:val="14"/>
              </w:rPr>
            </w:pPr>
          </w:p>
          <w:p w:rsidR="00236E18" w:rsidRPr="00F922F0" w:rsidRDefault="00236E18" w:rsidP="00294272">
            <w:pPr>
              <w:tabs>
                <w:tab w:val="right" w:pos="2835"/>
              </w:tabs>
              <w:rPr>
                <w:sz w:val="14"/>
                <w:szCs w:val="14"/>
              </w:rPr>
            </w:pPr>
          </w:p>
          <w:p w:rsidR="00236E18" w:rsidRPr="00F922F0" w:rsidRDefault="00236E18" w:rsidP="00294272">
            <w:pPr>
              <w:tabs>
                <w:tab w:val="right" w:pos="2835"/>
              </w:tabs>
              <w:spacing w:after="60"/>
              <w:rPr>
                <w:sz w:val="14"/>
                <w:szCs w:val="14"/>
              </w:rPr>
            </w:pPr>
            <w:r w:rsidRPr="00F922F0">
              <w:rPr>
                <w:sz w:val="14"/>
                <w:szCs w:val="14"/>
              </w:rPr>
              <w:t>V.2</w:t>
            </w:r>
            <w:r>
              <w:rPr>
                <w:sz w:val="14"/>
                <w:szCs w:val="14"/>
              </w:rPr>
              <w:t xml:space="preserve">  </w:t>
            </w:r>
            <w:r w:rsidRPr="008C3520">
              <w:rPr>
                <w:sz w:val="14"/>
                <w:szCs w:val="14"/>
              </w:rPr>
              <w:t>Uso más amplio y mejor de los análisis económicos de la OMPI en la formulación de políticas</w:t>
            </w:r>
          </w:p>
          <w:p w:rsidR="00236E18" w:rsidRPr="00F922F0" w:rsidRDefault="00236E18" w:rsidP="00294272">
            <w:pPr>
              <w:tabs>
                <w:tab w:val="left" w:pos="381"/>
                <w:tab w:val="left" w:pos="2221"/>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3.395</w:t>
            </w:r>
          </w:p>
          <w:p w:rsidR="00236E18" w:rsidRPr="00F922F0" w:rsidRDefault="00236E18" w:rsidP="00294272">
            <w:pPr>
              <w:tabs>
                <w:tab w:val="left" w:pos="381"/>
                <w:tab w:val="left" w:pos="2221"/>
                <w:tab w:val="right" w:pos="2835"/>
              </w:tabs>
              <w:rPr>
                <w:i/>
                <w:iCs/>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5843E3">
              <w:rPr>
                <w:i/>
                <w:iCs/>
                <w:color w:val="0000FF"/>
                <w:sz w:val="14"/>
                <w:szCs w:val="14"/>
              </w:rPr>
              <w:t xml:space="preserve">: </w:t>
            </w:r>
            <w:r w:rsidRPr="005843E3">
              <w:rPr>
                <w:i/>
                <w:iCs/>
                <w:color w:val="0000FF"/>
                <w:sz w:val="14"/>
                <w:szCs w:val="14"/>
              </w:rPr>
              <w:tab/>
            </w:r>
            <w:r w:rsidRPr="005843E3">
              <w:rPr>
                <w:i/>
                <w:iCs/>
                <w:color w:val="0000FF"/>
                <w:sz w:val="14"/>
                <w:szCs w:val="14"/>
              </w:rPr>
              <w:tab/>
              <w:t>1.525</w:t>
            </w:r>
          </w:p>
          <w:p w:rsidR="00236E18" w:rsidRPr="00F922F0" w:rsidRDefault="00236E18" w:rsidP="00294272">
            <w:pPr>
              <w:tabs>
                <w:tab w:val="right" w:pos="2835"/>
              </w:tabs>
              <w:rPr>
                <w:sz w:val="14"/>
                <w:szCs w:val="14"/>
              </w:rPr>
            </w:pPr>
          </w:p>
          <w:p w:rsidR="00236E18" w:rsidRPr="00F922F0" w:rsidRDefault="00236E18" w:rsidP="00294272">
            <w:pPr>
              <w:tabs>
                <w:tab w:val="left" w:pos="1525"/>
                <w:tab w:val="right" w:pos="2835"/>
              </w:tabs>
              <w:rPr>
                <w:sz w:val="14"/>
                <w:szCs w:val="14"/>
              </w:rPr>
            </w:pPr>
          </w:p>
        </w:tc>
        <w:tc>
          <w:tcPr>
            <w:tcW w:w="3041" w:type="dxa"/>
            <w:tcBorders>
              <w:top w:val="nil"/>
              <w:left w:val="nil"/>
              <w:right w:val="nil"/>
            </w:tcBorders>
            <w:shd w:val="clear" w:color="auto" w:fill="auto"/>
          </w:tcPr>
          <w:p w:rsidR="00236E18" w:rsidRPr="00F922F0" w:rsidRDefault="00236E18" w:rsidP="00294272">
            <w:pPr>
              <w:tabs>
                <w:tab w:val="left" w:pos="395"/>
                <w:tab w:val="right" w:pos="2835"/>
              </w:tabs>
              <w:spacing w:after="60"/>
              <w:rPr>
                <w:sz w:val="14"/>
                <w:szCs w:val="14"/>
              </w:rPr>
            </w:pPr>
            <w:r w:rsidRPr="00F922F0">
              <w:rPr>
                <w:sz w:val="14"/>
                <w:szCs w:val="14"/>
              </w:rPr>
              <w:t>VI.1</w:t>
            </w:r>
            <w:r>
              <w:rPr>
                <w:sz w:val="14"/>
                <w:szCs w:val="14"/>
              </w:rPr>
              <w:t xml:space="preserve">  </w:t>
            </w:r>
            <w:r w:rsidRPr="008C3520">
              <w:rPr>
                <w:sz w:val="14"/>
                <w:szCs w:val="14"/>
              </w:rPr>
              <w:t>Avances en el diálogo internacional sobre políticas entre los Estados miembros de la OMPI para fomentar el respeto por la P.I. sobre la base de la recomendación 45 de la Agenda de la OMPI para el Desarrollo</w:t>
            </w:r>
          </w:p>
          <w:p w:rsidR="00236E18" w:rsidRPr="00F922F0" w:rsidRDefault="00236E18" w:rsidP="00294272">
            <w:pPr>
              <w:tabs>
                <w:tab w:val="left" w:pos="384"/>
                <w:tab w:val="left" w:pos="2237"/>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756</w:t>
            </w:r>
          </w:p>
          <w:p w:rsidR="00236E18" w:rsidRPr="00F6717D" w:rsidRDefault="00236E18" w:rsidP="00294272">
            <w:pPr>
              <w:tabs>
                <w:tab w:val="left" w:pos="395"/>
                <w:tab w:val="left" w:pos="2237"/>
                <w:tab w:val="right" w:pos="2835"/>
              </w:tabs>
              <w:rPr>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F6717D">
              <w:rPr>
                <w:i/>
                <w:iCs/>
                <w:color w:val="0000FF"/>
                <w:sz w:val="14"/>
                <w:szCs w:val="14"/>
              </w:rPr>
              <w:t xml:space="preserve">: </w:t>
            </w:r>
            <w:r w:rsidRPr="00F6717D">
              <w:rPr>
                <w:i/>
                <w:iCs/>
                <w:color w:val="0000FF"/>
                <w:sz w:val="14"/>
                <w:szCs w:val="14"/>
              </w:rPr>
              <w:tab/>
            </w:r>
            <w:r w:rsidRPr="00F6717D">
              <w:rPr>
                <w:i/>
                <w:iCs/>
                <w:color w:val="0000FF"/>
                <w:sz w:val="14"/>
                <w:szCs w:val="14"/>
              </w:rPr>
              <w:tab/>
              <w:t>507</w:t>
            </w:r>
          </w:p>
          <w:p w:rsidR="00236E18" w:rsidRPr="00F922F0" w:rsidRDefault="00236E18" w:rsidP="00294272">
            <w:pPr>
              <w:tabs>
                <w:tab w:val="right" w:pos="2835"/>
              </w:tabs>
              <w:rPr>
                <w:sz w:val="14"/>
                <w:szCs w:val="14"/>
              </w:rPr>
            </w:pPr>
          </w:p>
          <w:p w:rsidR="00236E18" w:rsidRPr="00F922F0" w:rsidRDefault="00236E18" w:rsidP="00294272">
            <w:pPr>
              <w:tabs>
                <w:tab w:val="right" w:pos="2835"/>
              </w:tabs>
              <w:spacing w:after="60"/>
              <w:rPr>
                <w:sz w:val="14"/>
                <w:szCs w:val="14"/>
              </w:rPr>
            </w:pPr>
            <w:r w:rsidRPr="00F922F0">
              <w:rPr>
                <w:sz w:val="14"/>
                <w:szCs w:val="14"/>
              </w:rPr>
              <w:t>VI.2</w:t>
            </w:r>
            <w:r>
              <w:rPr>
                <w:sz w:val="14"/>
                <w:szCs w:val="14"/>
              </w:rPr>
              <w:t xml:space="preserve">  </w:t>
            </w:r>
            <w:r w:rsidRPr="008C3520">
              <w:rPr>
                <w:sz w:val="14"/>
                <w:szCs w:val="14"/>
              </w:rPr>
              <w:t>Cooperación y coordinación sistemáticas, eficaces y transparentes entre la OMPI y otras organizaciones internacionales en el fomento del respeto por la P.I.</w:t>
            </w:r>
          </w:p>
          <w:p w:rsidR="00236E18" w:rsidRPr="00F922F0" w:rsidRDefault="00236E18" w:rsidP="00294272">
            <w:pPr>
              <w:tabs>
                <w:tab w:val="left" w:pos="397"/>
                <w:tab w:val="left" w:pos="2237"/>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1.308</w:t>
            </w:r>
          </w:p>
          <w:p w:rsidR="00236E18" w:rsidRPr="00F922F0" w:rsidRDefault="00236E18" w:rsidP="00294272">
            <w:pPr>
              <w:tabs>
                <w:tab w:val="left" w:pos="384"/>
                <w:tab w:val="left" w:pos="2237"/>
                <w:tab w:val="right" w:pos="2835"/>
              </w:tabs>
              <w:rPr>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F6717D">
              <w:rPr>
                <w:i/>
                <w:iCs/>
                <w:color w:val="0000FF"/>
                <w:sz w:val="14"/>
                <w:szCs w:val="14"/>
              </w:rPr>
              <w:t xml:space="preserve">: </w:t>
            </w:r>
            <w:r w:rsidRPr="00F6717D">
              <w:rPr>
                <w:i/>
                <w:iCs/>
                <w:color w:val="0000FF"/>
                <w:sz w:val="14"/>
                <w:szCs w:val="14"/>
              </w:rPr>
              <w:tab/>
            </w:r>
            <w:r w:rsidRPr="00F6717D">
              <w:rPr>
                <w:i/>
                <w:iCs/>
                <w:color w:val="0000FF"/>
                <w:sz w:val="14"/>
                <w:szCs w:val="14"/>
              </w:rPr>
              <w:tab/>
              <w:t>981</w:t>
            </w:r>
          </w:p>
        </w:tc>
        <w:tc>
          <w:tcPr>
            <w:tcW w:w="3046" w:type="dxa"/>
            <w:tcBorders>
              <w:top w:val="nil"/>
              <w:left w:val="nil"/>
              <w:right w:val="single" w:sz="4" w:space="0" w:color="auto"/>
            </w:tcBorders>
            <w:shd w:val="clear" w:color="auto" w:fill="auto"/>
          </w:tcPr>
          <w:p w:rsidR="00236E18" w:rsidRPr="00F922F0" w:rsidRDefault="00236E18" w:rsidP="00294272">
            <w:pPr>
              <w:tabs>
                <w:tab w:val="right" w:pos="2835"/>
              </w:tabs>
              <w:rPr>
                <w:sz w:val="14"/>
                <w:szCs w:val="14"/>
              </w:rPr>
            </w:pPr>
            <w:r w:rsidRPr="00F922F0">
              <w:rPr>
                <w:sz w:val="14"/>
                <w:szCs w:val="14"/>
              </w:rPr>
              <w:t xml:space="preserve">VII.2 </w:t>
            </w:r>
            <w:r>
              <w:rPr>
                <w:sz w:val="14"/>
                <w:szCs w:val="14"/>
              </w:rPr>
              <w:t xml:space="preserve"> </w:t>
            </w:r>
            <w:r w:rsidRPr="008C3520">
              <w:rPr>
                <w:sz w:val="14"/>
                <w:szCs w:val="14"/>
              </w:rPr>
              <w:t>Plataformas y herramientas de P.I. utilizadas para la transferencia de conocimiento</w:t>
            </w:r>
            <w:r>
              <w:rPr>
                <w:sz w:val="14"/>
                <w:szCs w:val="14"/>
              </w:rPr>
              <w:t>s</w:t>
            </w:r>
            <w:r w:rsidRPr="008C3520">
              <w:rPr>
                <w:sz w:val="14"/>
                <w:szCs w:val="14"/>
              </w:rPr>
              <w:t xml:space="preserve"> y la adaptación y difusión de tecnología de los países desarrollados a los países en desarrollo, en particular, a los menos adelantados, con el fin de atender los desafíos mundiales</w:t>
            </w:r>
          </w:p>
          <w:p w:rsidR="00236E18" w:rsidRPr="00F922F0" w:rsidRDefault="00236E18" w:rsidP="00294272">
            <w:pPr>
              <w:tabs>
                <w:tab w:val="right" w:pos="2835"/>
              </w:tabs>
              <w:rPr>
                <w:sz w:val="14"/>
                <w:szCs w:val="14"/>
              </w:rPr>
            </w:pPr>
          </w:p>
          <w:p w:rsidR="00236E18" w:rsidRPr="00F922F0" w:rsidRDefault="00236E18" w:rsidP="00294272">
            <w:pPr>
              <w:tabs>
                <w:tab w:val="left" w:pos="424"/>
                <w:tab w:val="left" w:pos="2253"/>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3.950</w:t>
            </w:r>
          </w:p>
          <w:p w:rsidR="00236E18" w:rsidRPr="00740337" w:rsidRDefault="00236E18" w:rsidP="00294272">
            <w:pPr>
              <w:tabs>
                <w:tab w:val="left" w:pos="399"/>
                <w:tab w:val="left" w:pos="2253"/>
                <w:tab w:val="right" w:pos="2835"/>
              </w:tabs>
              <w:rPr>
                <w:i/>
                <w:iCs/>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740337">
              <w:rPr>
                <w:i/>
                <w:iCs/>
                <w:color w:val="0000FF"/>
                <w:sz w:val="14"/>
                <w:szCs w:val="14"/>
              </w:rPr>
              <w:t xml:space="preserve">: </w:t>
            </w:r>
            <w:r w:rsidRPr="00740337">
              <w:rPr>
                <w:i/>
                <w:iCs/>
                <w:color w:val="0000FF"/>
                <w:sz w:val="14"/>
                <w:szCs w:val="14"/>
              </w:rPr>
              <w:tab/>
            </w:r>
            <w:r w:rsidRPr="00740337">
              <w:rPr>
                <w:i/>
                <w:iCs/>
                <w:color w:val="0000FF"/>
                <w:sz w:val="14"/>
                <w:szCs w:val="14"/>
              </w:rPr>
              <w:tab/>
              <w:t>3.016</w:t>
            </w:r>
          </w:p>
          <w:p w:rsidR="00236E18" w:rsidRPr="00F922F0" w:rsidRDefault="00236E18" w:rsidP="00294272">
            <w:pPr>
              <w:tabs>
                <w:tab w:val="right" w:pos="2835"/>
              </w:tabs>
              <w:rPr>
                <w:sz w:val="14"/>
                <w:szCs w:val="14"/>
              </w:rPr>
            </w:pPr>
          </w:p>
          <w:p w:rsidR="00236E18" w:rsidRPr="00F922F0" w:rsidRDefault="00236E18" w:rsidP="00294272">
            <w:pPr>
              <w:tabs>
                <w:tab w:val="right" w:pos="2835"/>
              </w:tabs>
              <w:rPr>
                <w:sz w:val="14"/>
                <w:szCs w:val="14"/>
              </w:rPr>
            </w:pPr>
          </w:p>
          <w:p w:rsidR="00236E18" w:rsidRPr="00F922F0" w:rsidRDefault="00236E18" w:rsidP="00294272">
            <w:pPr>
              <w:tabs>
                <w:tab w:val="left" w:pos="424"/>
                <w:tab w:val="left" w:pos="2253"/>
                <w:tab w:val="right" w:pos="2835"/>
              </w:tabs>
              <w:rPr>
                <w:sz w:val="14"/>
                <w:szCs w:val="14"/>
              </w:rPr>
            </w:pPr>
            <w:r w:rsidRPr="00F922F0">
              <w:rPr>
                <w:i/>
                <w:iCs/>
                <w:sz w:val="14"/>
                <w:szCs w:val="14"/>
              </w:rPr>
              <w:tab/>
            </w:r>
            <w:r w:rsidRPr="00F922F0">
              <w:rPr>
                <w:i/>
                <w:iCs/>
                <w:sz w:val="14"/>
                <w:szCs w:val="14"/>
              </w:rPr>
              <w:tab/>
            </w:r>
          </w:p>
        </w:tc>
      </w:tr>
      <w:tr w:rsidR="00236E18" w:rsidRPr="00F922F0" w:rsidTr="00294272">
        <w:trPr>
          <w:trHeight w:val="145"/>
        </w:trPr>
        <w:tc>
          <w:tcPr>
            <w:tcW w:w="387" w:type="dxa"/>
            <w:vMerge/>
            <w:tcBorders>
              <w:top w:val="single" w:sz="8" w:space="0" w:color="auto"/>
              <w:left w:val="single" w:sz="8" w:space="0" w:color="auto"/>
              <w:bottom w:val="single" w:sz="4" w:space="0" w:color="000000"/>
              <w:right w:val="nil"/>
            </w:tcBorders>
            <w:vAlign w:val="center"/>
          </w:tcPr>
          <w:p w:rsidR="00236E18" w:rsidRPr="00F922F0" w:rsidRDefault="00236E18" w:rsidP="00294272">
            <w:pPr>
              <w:tabs>
                <w:tab w:val="right" w:pos="2835"/>
              </w:tabs>
              <w:rPr>
                <w:b/>
                <w:bCs/>
                <w:sz w:val="16"/>
                <w:szCs w:val="16"/>
              </w:rPr>
            </w:pPr>
          </w:p>
        </w:tc>
        <w:tc>
          <w:tcPr>
            <w:tcW w:w="3040" w:type="dxa"/>
            <w:tcBorders>
              <w:top w:val="nil"/>
              <w:left w:val="single" w:sz="4" w:space="0" w:color="auto"/>
              <w:bottom w:val="single" w:sz="4" w:space="0" w:color="auto"/>
              <w:right w:val="nil"/>
            </w:tcBorders>
            <w:shd w:val="clear" w:color="auto" w:fill="auto"/>
          </w:tcPr>
          <w:p w:rsidR="00236E18" w:rsidRPr="00F922F0" w:rsidRDefault="00236E18" w:rsidP="00294272">
            <w:pPr>
              <w:tabs>
                <w:tab w:val="left" w:pos="2157"/>
                <w:tab w:val="right" w:pos="2835"/>
              </w:tabs>
              <w:rPr>
                <w:i/>
                <w:iCs/>
                <w:sz w:val="14"/>
                <w:szCs w:val="14"/>
              </w:rPr>
            </w:pPr>
            <w:r w:rsidRPr="00F922F0">
              <w:rPr>
                <w:i/>
                <w:iCs/>
                <w:sz w:val="14"/>
                <w:szCs w:val="14"/>
              </w:rPr>
              <w:t>Total presupuesto propuesto, meta I:</w:t>
            </w:r>
            <w:r w:rsidRPr="00F922F0">
              <w:rPr>
                <w:iCs/>
                <w:sz w:val="14"/>
                <w:szCs w:val="14"/>
              </w:rPr>
              <w:t xml:space="preserve"> </w:t>
            </w:r>
            <w:r w:rsidRPr="00F922F0">
              <w:rPr>
                <w:i/>
                <w:iCs/>
                <w:sz w:val="14"/>
                <w:szCs w:val="14"/>
              </w:rPr>
              <w:t>24.762</w:t>
            </w:r>
          </w:p>
          <w:p w:rsidR="00236E18" w:rsidRPr="00F922F0" w:rsidRDefault="00236E18" w:rsidP="00294272">
            <w:pPr>
              <w:tabs>
                <w:tab w:val="left" w:pos="2157"/>
                <w:tab w:val="right" w:pos="2835"/>
              </w:tabs>
              <w:rPr>
                <w:i/>
                <w:iCs/>
                <w:sz w:val="14"/>
                <w:szCs w:val="14"/>
              </w:rPr>
            </w:pPr>
            <w:r w:rsidRPr="00F922F0">
              <w:rPr>
                <w:i/>
                <w:iCs/>
                <w:color w:val="0000FF"/>
                <w:sz w:val="14"/>
                <w:szCs w:val="14"/>
              </w:rPr>
              <w:t>Total cuota</w:t>
            </w:r>
            <w:r>
              <w:rPr>
                <w:i/>
                <w:iCs/>
                <w:color w:val="0000FF"/>
                <w:sz w:val="14"/>
                <w:szCs w:val="14"/>
              </w:rPr>
              <w:t xml:space="preserve"> para el desarrollo</w:t>
            </w:r>
            <w:r w:rsidRPr="00F922F0">
              <w:rPr>
                <w:i/>
                <w:iCs/>
                <w:color w:val="0000FF"/>
                <w:sz w:val="14"/>
                <w:szCs w:val="14"/>
              </w:rPr>
              <w:t>, meta I:</w:t>
            </w:r>
            <w:r w:rsidRPr="00F922F0">
              <w:rPr>
                <w:iCs/>
                <w:color w:val="0000FF"/>
                <w:sz w:val="14"/>
                <w:szCs w:val="14"/>
              </w:rPr>
              <w:t xml:space="preserve"> </w:t>
            </w:r>
            <w:r w:rsidRPr="00F922F0">
              <w:rPr>
                <w:i/>
                <w:iCs/>
                <w:color w:val="0000FF"/>
                <w:sz w:val="14"/>
                <w:szCs w:val="14"/>
              </w:rPr>
              <w:t>17.005</w:t>
            </w:r>
          </w:p>
        </w:tc>
        <w:tc>
          <w:tcPr>
            <w:tcW w:w="3041" w:type="dxa"/>
            <w:tcBorders>
              <w:top w:val="nil"/>
              <w:left w:val="nil"/>
              <w:bottom w:val="single" w:sz="4" w:space="0" w:color="auto"/>
              <w:right w:val="nil"/>
            </w:tcBorders>
            <w:shd w:val="clear" w:color="auto" w:fill="auto"/>
          </w:tcPr>
          <w:p w:rsidR="00236E18" w:rsidRPr="00F922F0" w:rsidRDefault="00236E18" w:rsidP="00294272">
            <w:pPr>
              <w:tabs>
                <w:tab w:val="left" w:pos="2173"/>
                <w:tab w:val="right" w:pos="2835"/>
              </w:tabs>
              <w:rPr>
                <w:i/>
                <w:iCs/>
                <w:sz w:val="14"/>
                <w:szCs w:val="14"/>
              </w:rPr>
            </w:pPr>
            <w:r w:rsidRPr="00F922F0">
              <w:rPr>
                <w:i/>
                <w:iCs/>
                <w:sz w:val="14"/>
                <w:szCs w:val="14"/>
              </w:rPr>
              <w:t xml:space="preserve">Total presupuesto propuesto, meta II: </w:t>
            </w:r>
            <w:r>
              <w:rPr>
                <w:i/>
                <w:iCs/>
                <w:sz w:val="14"/>
                <w:szCs w:val="14"/>
              </w:rPr>
              <w:tab/>
            </w:r>
            <w:r w:rsidRPr="00F922F0">
              <w:rPr>
                <w:i/>
                <w:iCs/>
                <w:sz w:val="14"/>
                <w:szCs w:val="14"/>
              </w:rPr>
              <w:t>291.655</w:t>
            </w:r>
          </w:p>
          <w:p w:rsidR="00236E18" w:rsidRPr="00F922F0" w:rsidRDefault="00236E18" w:rsidP="00294272">
            <w:pPr>
              <w:tabs>
                <w:tab w:val="left" w:pos="2173"/>
                <w:tab w:val="right" w:pos="2835"/>
              </w:tabs>
              <w:rPr>
                <w:i/>
                <w:iCs/>
                <w:sz w:val="14"/>
                <w:szCs w:val="14"/>
              </w:rPr>
            </w:pPr>
            <w:r w:rsidRPr="001C77E2">
              <w:rPr>
                <w:i/>
                <w:iCs/>
                <w:color w:val="0000FF"/>
                <w:sz w:val="14"/>
                <w:szCs w:val="14"/>
              </w:rPr>
              <w:t>Total cuota</w:t>
            </w:r>
            <w:r>
              <w:rPr>
                <w:i/>
                <w:iCs/>
                <w:color w:val="0000FF"/>
                <w:sz w:val="14"/>
                <w:szCs w:val="14"/>
              </w:rPr>
              <w:t xml:space="preserve"> para el desarrollo, meta II: 21</w:t>
            </w:r>
            <w:r w:rsidRPr="001C77E2">
              <w:rPr>
                <w:i/>
                <w:iCs/>
                <w:color w:val="0000FF"/>
                <w:sz w:val="14"/>
                <w:szCs w:val="14"/>
              </w:rPr>
              <w:t>.</w:t>
            </w:r>
            <w:r>
              <w:rPr>
                <w:i/>
                <w:iCs/>
                <w:color w:val="0000FF"/>
                <w:sz w:val="14"/>
                <w:szCs w:val="14"/>
              </w:rPr>
              <w:t>527</w:t>
            </w:r>
            <w:r w:rsidRPr="001C77E2">
              <w:rPr>
                <w:i/>
                <w:iCs/>
                <w:color w:val="0000FF"/>
                <w:sz w:val="14"/>
                <w:szCs w:val="14"/>
              </w:rPr>
              <w:t xml:space="preserve">  </w:t>
            </w:r>
            <w:r w:rsidRPr="00F922F0">
              <w:rPr>
                <w:i/>
                <w:iCs/>
                <w:sz w:val="14"/>
                <w:szCs w:val="14"/>
              </w:rPr>
              <w:tab/>
              <w:t xml:space="preserve"> </w:t>
            </w:r>
          </w:p>
        </w:tc>
        <w:tc>
          <w:tcPr>
            <w:tcW w:w="3043" w:type="dxa"/>
            <w:tcBorders>
              <w:top w:val="nil"/>
              <w:left w:val="nil"/>
              <w:bottom w:val="single" w:sz="4" w:space="0" w:color="auto"/>
              <w:right w:val="nil"/>
            </w:tcBorders>
            <w:shd w:val="clear" w:color="auto" w:fill="auto"/>
          </w:tcPr>
          <w:p w:rsidR="00236E18" w:rsidRPr="00F922F0" w:rsidRDefault="00236E18" w:rsidP="00294272">
            <w:pPr>
              <w:tabs>
                <w:tab w:val="left" w:pos="2189"/>
                <w:tab w:val="right" w:pos="2835"/>
              </w:tabs>
              <w:rPr>
                <w:i/>
                <w:iCs/>
                <w:sz w:val="14"/>
                <w:szCs w:val="14"/>
              </w:rPr>
            </w:pPr>
            <w:r w:rsidRPr="00F922F0">
              <w:rPr>
                <w:i/>
                <w:iCs/>
                <w:sz w:val="14"/>
                <w:szCs w:val="14"/>
              </w:rPr>
              <w:t>Total presupuesto propuesto, meta III:</w:t>
            </w:r>
            <w:r w:rsidRPr="00F922F0">
              <w:rPr>
                <w:iCs/>
                <w:sz w:val="14"/>
                <w:szCs w:val="14"/>
              </w:rPr>
              <w:t xml:space="preserve"> </w:t>
            </w:r>
            <w:r>
              <w:rPr>
                <w:iCs/>
                <w:sz w:val="14"/>
                <w:szCs w:val="14"/>
              </w:rPr>
              <w:tab/>
            </w:r>
            <w:r w:rsidRPr="00F922F0">
              <w:rPr>
                <w:i/>
                <w:iCs/>
                <w:sz w:val="14"/>
                <w:szCs w:val="14"/>
              </w:rPr>
              <w:t>63.974</w:t>
            </w:r>
          </w:p>
          <w:p w:rsidR="00236E18" w:rsidRPr="00F922F0" w:rsidRDefault="00236E18" w:rsidP="00294272">
            <w:pPr>
              <w:tabs>
                <w:tab w:val="left" w:pos="2189"/>
                <w:tab w:val="right" w:pos="2835"/>
              </w:tabs>
              <w:rPr>
                <w:i/>
                <w:iCs/>
                <w:sz w:val="14"/>
                <w:szCs w:val="14"/>
              </w:rPr>
            </w:pPr>
            <w:r w:rsidRPr="00AC50B8">
              <w:rPr>
                <w:i/>
                <w:iCs/>
                <w:color w:val="0000FF"/>
                <w:sz w:val="14"/>
                <w:szCs w:val="14"/>
              </w:rPr>
              <w:t>Total cuota</w:t>
            </w:r>
            <w:r>
              <w:rPr>
                <w:i/>
                <w:iCs/>
                <w:color w:val="0000FF"/>
                <w:sz w:val="14"/>
                <w:szCs w:val="14"/>
              </w:rPr>
              <w:t xml:space="preserve"> para el desarrollo</w:t>
            </w:r>
            <w:r w:rsidRPr="00AC50B8">
              <w:rPr>
                <w:i/>
                <w:iCs/>
                <w:color w:val="0000FF"/>
                <w:sz w:val="14"/>
                <w:szCs w:val="14"/>
              </w:rPr>
              <w:t>, meta III: 63.142</w:t>
            </w:r>
          </w:p>
        </w:tc>
        <w:tc>
          <w:tcPr>
            <w:tcW w:w="3041" w:type="dxa"/>
            <w:tcBorders>
              <w:top w:val="nil"/>
              <w:left w:val="nil"/>
              <w:bottom w:val="single" w:sz="4" w:space="0" w:color="auto"/>
              <w:right w:val="nil"/>
            </w:tcBorders>
            <w:shd w:val="clear" w:color="auto" w:fill="auto"/>
          </w:tcPr>
          <w:p w:rsidR="00236E18" w:rsidRPr="00F922F0" w:rsidRDefault="00236E18" w:rsidP="00294272">
            <w:pPr>
              <w:tabs>
                <w:tab w:val="left" w:pos="2205"/>
                <w:tab w:val="right" w:pos="2835"/>
              </w:tabs>
              <w:rPr>
                <w:i/>
                <w:iCs/>
                <w:sz w:val="14"/>
                <w:szCs w:val="14"/>
              </w:rPr>
            </w:pPr>
            <w:r w:rsidRPr="00F922F0">
              <w:rPr>
                <w:i/>
                <w:iCs/>
                <w:sz w:val="14"/>
                <w:szCs w:val="14"/>
              </w:rPr>
              <w:t xml:space="preserve">Total presupuesto propuesto, meta IV: </w:t>
            </w:r>
            <w:r>
              <w:rPr>
                <w:i/>
                <w:iCs/>
                <w:sz w:val="14"/>
                <w:szCs w:val="14"/>
              </w:rPr>
              <w:tab/>
              <w:t xml:space="preserve"> </w:t>
            </w:r>
            <w:r w:rsidRPr="00F922F0">
              <w:rPr>
                <w:i/>
                <w:iCs/>
                <w:sz w:val="14"/>
                <w:szCs w:val="14"/>
              </w:rPr>
              <w:t>46.974</w:t>
            </w:r>
          </w:p>
          <w:p w:rsidR="00236E18" w:rsidRDefault="00236E18" w:rsidP="00294272">
            <w:pPr>
              <w:tabs>
                <w:tab w:val="left" w:pos="2205"/>
                <w:tab w:val="right" w:pos="2835"/>
              </w:tabs>
              <w:rPr>
                <w:i/>
                <w:iCs/>
                <w:sz w:val="14"/>
                <w:szCs w:val="14"/>
              </w:rPr>
            </w:pPr>
            <w:r w:rsidRPr="00A040DB">
              <w:rPr>
                <w:i/>
                <w:iCs/>
                <w:color w:val="0000FF"/>
                <w:sz w:val="14"/>
                <w:szCs w:val="14"/>
              </w:rPr>
              <w:t>Total cuota</w:t>
            </w:r>
            <w:r>
              <w:rPr>
                <w:i/>
                <w:iCs/>
                <w:color w:val="0000FF"/>
                <w:sz w:val="14"/>
                <w:szCs w:val="14"/>
              </w:rPr>
              <w:t xml:space="preserve"> para el desarrollo</w:t>
            </w:r>
            <w:r w:rsidRPr="00A040DB">
              <w:rPr>
                <w:i/>
                <w:iCs/>
                <w:color w:val="0000FF"/>
                <w:sz w:val="14"/>
                <w:szCs w:val="14"/>
              </w:rPr>
              <w:t>, meta IV: 32.003</w:t>
            </w:r>
            <w:r w:rsidRPr="00F922F0">
              <w:rPr>
                <w:i/>
                <w:iCs/>
                <w:sz w:val="14"/>
                <w:szCs w:val="14"/>
              </w:rPr>
              <w:tab/>
            </w:r>
          </w:p>
          <w:p w:rsidR="00236E18" w:rsidRDefault="00236E18" w:rsidP="00294272">
            <w:pPr>
              <w:tabs>
                <w:tab w:val="left" w:pos="2205"/>
                <w:tab w:val="right" w:pos="2835"/>
              </w:tabs>
              <w:rPr>
                <w:i/>
                <w:iCs/>
                <w:sz w:val="14"/>
                <w:szCs w:val="14"/>
              </w:rPr>
            </w:pPr>
          </w:p>
          <w:p w:rsidR="00236E18" w:rsidRDefault="00236E18" w:rsidP="00294272">
            <w:pPr>
              <w:tabs>
                <w:tab w:val="left" w:pos="2205"/>
                <w:tab w:val="right" w:pos="2835"/>
              </w:tabs>
              <w:rPr>
                <w:i/>
                <w:iCs/>
                <w:sz w:val="14"/>
                <w:szCs w:val="14"/>
              </w:rPr>
            </w:pPr>
          </w:p>
          <w:p w:rsidR="00236E18" w:rsidRDefault="00236E18" w:rsidP="00294272">
            <w:pPr>
              <w:tabs>
                <w:tab w:val="left" w:pos="2205"/>
                <w:tab w:val="right" w:pos="2835"/>
              </w:tabs>
              <w:rPr>
                <w:i/>
                <w:iCs/>
                <w:sz w:val="14"/>
                <w:szCs w:val="14"/>
              </w:rPr>
            </w:pPr>
          </w:p>
          <w:p w:rsidR="00236E18" w:rsidRPr="00F922F0" w:rsidRDefault="00236E18" w:rsidP="00294272">
            <w:pPr>
              <w:tabs>
                <w:tab w:val="left" w:pos="2205"/>
                <w:tab w:val="right" w:pos="2835"/>
              </w:tabs>
              <w:rPr>
                <w:i/>
                <w:iCs/>
                <w:sz w:val="14"/>
                <w:szCs w:val="14"/>
              </w:rPr>
            </w:pPr>
          </w:p>
        </w:tc>
        <w:tc>
          <w:tcPr>
            <w:tcW w:w="3040" w:type="dxa"/>
            <w:tcBorders>
              <w:top w:val="nil"/>
              <w:left w:val="nil"/>
              <w:bottom w:val="single" w:sz="4" w:space="0" w:color="auto"/>
              <w:right w:val="nil"/>
            </w:tcBorders>
            <w:shd w:val="clear" w:color="auto" w:fill="auto"/>
          </w:tcPr>
          <w:p w:rsidR="00236E18" w:rsidRPr="00F922F0" w:rsidRDefault="00236E18" w:rsidP="00294272">
            <w:pPr>
              <w:tabs>
                <w:tab w:val="left" w:pos="2221"/>
                <w:tab w:val="right" w:pos="2835"/>
              </w:tabs>
              <w:rPr>
                <w:i/>
                <w:iCs/>
                <w:sz w:val="14"/>
                <w:szCs w:val="14"/>
              </w:rPr>
            </w:pPr>
            <w:r w:rsidRPr="00F922F0">
              <w:rPr>
                <w:i/>
                <w:iCs/>
                <w:sz w:val="14"/>
                <w:szCs w:val="14"/>
              </w:rPr>
              <w:t>Total presupuesto propuesto, meta V:</w:t>
            </w:r>
            <w:r>
              <w:rPr>
                <w:i/>
                <w:iCs/>
                <w:sz w:val="14"/>
                <w:szCs w:val="14"/>
              </w:rPr>
              <w:t xml:space="preserve"> </w:t>
            </w:r>
            <w:r w:rsidRPr="00F922F0">
              <w:rPr>
                <w:i/>
                <w:iCs/>
                <w:sz w:val="14"/>
                <w:szCs w:val="14"/>
              </w:rPr>
              <w:t>6.072</w:t>
            </w:r>
          </w:p>
          <w:p w:rsidR="00236E18" w:rsidRPr="00F922F0" w:rsidRDefault="00236E18" w:rsidP="00294272">
            <w:pPr>
              <w:tabs>
                <w:tab w:val="left" w:pos="2221"/>
                <w:tab w:val="right" w:pos="2835"/>
              </w:tabs>
              <w:rPr>
                <w:i/>
                <w:iCs/>
                <w:sz w:val="14"/>
                <w:szCs w:val="14"/>
              </w:rPr>
            </w:pPr>
            <w:r w:rsidRPr="00FF7586">
              <w:rPr>
                <w:i/>
                <w:iCs/>
                <w:color w:val="0000FF"/>
                <w:sz w:val="14"/>
                <w:szCs w:val="14"/>
              </w:rPr>
              <w:t>Total cuota</w:t>
            </w:r>
            <w:r>
              <w:rPr>
                <w:i/>
                <w:iCs/>
                <w:color w:val="0000FF"/>
                <w:sz w:val="14"/>
                <w:szCs w:val="14"/>
              </w:rPr>
              <w:t xml:space="preserve"> para el desarrollo</w:t>
            </w:r>
            <w:r w:rsidRPr="00FF7586">
              <w:rPr>
                <w:i/>
                <w:iCs/>
                <w:color w:val="0000FF"/>
                <w:sz w:val="14"/>
                <w:szCs w:val="14"/>
              </w:rPr>
              <w:t>, meta V: 1.525</w:t>
            </w:r>
            <w:r w:rsidRPr="00FF7586">
              <w:rPr>
                <w:i/>
                <w:iCs/>
                <w:color w:val="0000FF"/>
                <w:sz w:val="14"/>
                <w:szCs w:val="14"/>
              </w:rPr>
              <w:tab/>
            </w:r>
          </w:p>
        </w:tc>
        <w:tc>
          <w:tcPr>
            <w:tcW w:w="3041" w:type="dxa"/>
            <w:tcBorders>
              <w:top w:val="nil"/>
              <w:left w:val="nil"/>
              <w:bottom w:val="single" w:sz="4" w:space="0" w:color="auto"/>
              <w:right w:val="nil"/>
            </w:tcBorders>
            <w:shd w:val="clear" w:color="auto" w:fill="auto"/>
          </w:tcPr>
          <w:p w:rsidR="00236E18" w:rsidRPr="00F922F0" w:rsidRDefault="00236E18" w:rsidP="00294272">
            <w:pPr>
              <w:tabs>
                <w:tab w:val="left" w:pos="2237"/>
                <w:tab w:val="right" w:pos="2835"/>
              </w:tabs>
              <w:rPr>
                <w:i/>
                <w:iCs/>
                <w:sz w:val="14"/>
                <w:szCs w:val="14"/>
              </w:rPr>
            </w:pPr>
            <w:r w:rsidRPr="00F922F0">
              <w:rPr>
                <w:i/>
                <w:iCs/>
                <w:sz w:val="14"/>
                <w:szCs w:val="14"/>
              </w:rPr>
              <w:t>Total presupuesto propuesto, meta VI:</w:t>
            </w:r>
            <w:r>
              <w:rPr>
                <w:i/>
                <w:iCs/>
                <w:sz w:val="14"/>
                <w:szCs w:val="14"/>
              </w:rPr>
              <w:t xml:space="preserve"> </w:t>
            </w:r>
            <w:r w:rsidRPr="00F922F0">
              <w:rPr>
                <w:i/>
                <w:iCs/>
                <w:sz w:val="14"/>
                <w:szCs w:val="14"/>
              </w:rPr>
              <w:t>2.064</w:t>
            </w:r>
          </w:p>
          <w:p w:rsidR="00236E18" w:rsidRPr="00F922F0" w:rsidRDefault="00236E18" w:rsidP="00294272">
            <w:pPr>
              <w:tabs>
                <w:tab w:val="left" w:pos="2237"/>
                <w:tab w:val="right" w:pos="2835"/>
              </w:tabs>
              <w:rPr>
                <w:i/>
                <w:iCs/>
                <w:sz w:val="14"/>
                <w:szCs w:val="14"/>
              </w:rPr>
            </w:pPr>
            <w:r w:rsidRPr="00F6717D">
              <w:rPr>
                <w:i/>
                <w:iCs/>
                <w:color w:val="0000FF"/>
                <w:sz w:val="14"/>
                <w:szCs w:val="14"/>
              </w:rPr>
              <w:t>Total cuota</w:t>
            </w:r>
            <w:r>
              <w:rPr>
                <w:i/>
                <w:iCs/>
                <w:color w:val="0000FF"/>
                <w:sz w:val="14"/>
                <w:szCs w:val="14"/>
              </w:rPr>
              <w:t xml:space="preserve"> para el desarrollo</w:t>
            </w:r>
            <w:r w:rsidRPr="00F6717D">
              <w:rPr>
                <w:i/>
                <w:iCs/>
                <w:color w:val="0000FF"/>
                <w:sz w:val="14"/>
                <w:szCs w:val="14"/>
              </w:rPr>
              <w:t>, meta VI: 1.488</w:t>
            </w:r>
            <w:r w:rsidRPr="00F922F0">
              <w:rPr>
                <w:i/>
                <w:iCs/>
                <w:sz w:val="14"/>
                <w:szCs w:val="14"/>
              </w:rPr>
              <w:tab/>
              <w:t xml:space="preserve">   </w:t>
            </w:r>
          </w:p>
        </w:tc>
        <w:tc>
          <w:tcPr>
            <w:tcW w:w="3046" w:type="dxa"/>
            <w:tcBorders>
              <w:top w:val="nil"/>
              <w:left w:val="nil"/>
              <w:bottom w:val="single" w:sz="4" w:space="0" w:color="auto"/>
              <w:right w:val="single" w:sz="4" w:space="0" w:color="auto"/>
            </w:tcBorders>
            <w:shd w:val="clear" w:color="auto" w:fill="auto"/>
          </w:tcPr>
          <w:p w:rsidR="00236E18" w:rsidRPr="00F922F0" w:rsidRDefault="00236E18" w:rsidP="00294272">
            <w:pPr>
              <w:tabs>
                <w:tab w:val="left" w:pos="2253"/>
                <w:tab w:val="right" w:pos="2835"/>
              </w:tabs>
              <w:rPr>
                <w:i/>
                <w:iCs/>
                <w:sz w:val="14"/>
                <w:szCs w:val="14"/>
              </w:rPr>
            </w:pPr>
            <w:r w:rsidRPr="00F922F0">
              <w:rPr>
                <w:i/>
                <w:iCs/>
                <w:sz w:val="14"/>
                <w:szCs w:val="14"/>
              </w:rPr>
              <w:t xml:space="preserve">Total presupuesto propuesto, meta VII: </w:t>
            </w:r>
            <w:r>
              <w:rPr>
                <w:i/>
                <w:iCs/>
                <w:sz w:val="14"/>
                <w:szCs w:val="14"/>
              </w:rPr>
              <w:tab/>
            </w:r>
            <w:r w:rsidRPr="00F922F0">
              <w:rPr>
                <w:i/>
                <w:iCs/>
                <w:sz w:val="14"/>
                <w:szCs w:val="14"/>
              </w:rPr>
              <w:t>3.950</w:t>
            </w:r>
          </w:p>
          <w:p w:rsidR="00236E18" w:rsidRPr="00F922F0" w:rsidRDefault="00236E18" w:rsidP="00294272">
            <w:pPr>
              <w:tabs>
                <w:tab w:val="left" w:pos="2253"/>
                <w:tab w:val="right" w:pos="2835"/>
              </w:tabs>
              <w:rPr>
                <w:i/>
                <w:iCs/>
                <w:sz w:val="14"/>
                <w:szCs w:val="14"/>
              </w:rPr>
            </w:pPr>
            <w:r w:rsidRPr="00147560">
              <w:rPr>
                <w:i/>
                <w:iCs/>
                <w:color w:val="0000FF"/>
                <w:sz w:val="14"/>
                <w:szCs w:val="14"/>
              </w:rPr>
              <w:t>Total cuota</w:t>
            </w:r>
            <w:r>
              <w:rPr>
                <w:i/>
                <w:iCs/>
                <w:color w:val="0000FF"/>
                <w:sz w:val="14"/>
                <w:szCs w:val="14"/>
              </w:rPr>
              <w:t xml:space="preserve"> para el desarrollo</w:t>
            </w:r>
            <w:r w:rsidRPr="00147560">
              <w:rPr>
                <w:i/>
                <w:iCs/>
                <w:color w:val="0000FF"/>
                <w:sz w:val="14"/>
                <w:szCs w:val="14"/>
              </w:rPr>
              <w:t>, meta VII:</w:t>
            </w:r>
            <w:r w:rsidRPr="00147560">
              <w:rPr>
                <w:i/>
                <w:iCs/>
                <w:color w:val="0000FF"/>
                <w:sz w:val="14"/>
                <w:szCs w:val="14"/>
              </w:rPr>
              <w:tab/>
              <w:t>3.016</w:t>
            </w:r>
            <w:r w:rsidRPr="00147560">
              <w:rPr>
                <w:i/>
                <w:iCs/>
                <w:color w:val="0000FF"/>
                <w:sz w:val="14"/>
                <w:szCs w:val="14"/>
              </w:rPr>
              <w:tab/>
            </w:r>
          </w:p>
        </w:tc>
      </w:tr>
      <w:tr w:rsidR="00236E18" w:rsidRPr="00F922F0" w:rsidTr="00294272">
        <w:trPr>
          <w:trHeight w:val="294"/>
        </w:trPr>
        <w:tc>
          <w:tcPr>
            <w:tcW w:w="387" w:type="dxa"/>
            <w:vMerge/>
            <w:tcBorders>
              <w:top w:val="single" w:sz="8" w:space="0" w:color="auto"/>
              <w:left w:val="single" w:sz="8" w:space="0" w:color="auto"/>
              <w:bottom w:val="single" w:sz="4" w:space="0" w:color="000000"/>
              <w:right w:val="nil"/>
            </w:tcBorders>
            <w:vAlign w:val="center"/>
          </w:tcPr>
          <w:p w:rsidR="00236E18" w:rsidRPr="00F922F0" w:rsidRDefault="00236E18" w:rsidP="00294272">
            <w:pPr>
              <w:tabs>
                <w:tab w:val="right" w:pos="2835"/>
              </w:tabs>
              <w:rPr>
                <w:b/>
                <w:bCs/>
                <w:sz w:val="16"/>
                <w:szCs w:val="16"/>
              </w:rPr>
            </w:pPr>
          </w:p>
        </w:tc>
        <w:tc>
          <w:tcPr>
            <w:tcW w:w="21292" w:type="dxa"/>
            <w:gridSpan w:val="7"/>
            <w:tcBorders>
              <w:top w:val="single" w:sz="4" w:space="0" w:color="auto"/>
              <w:left w:val="single" w:sz="4" w:space="0" w:color="auto"/>
              <w:bottom w:val="single" w:sz="4" w:space="0" w:color="auto"/>
              <w:right w:val="single" w:sz="4" w:space="0" w:color="000000"/>
            </w:tcBorders>
            <w:shd w:val="clear" w:color="auto" w:fill="C6D9F1"/>
            <w:vAlign w:val="center"/>
          </w:tcPr>
          <w:p w:rsidR="00236E18" w:rsidRPr="00F922F0" w:rsidRDefault="00236E18" w:rsidP="00294272">
            <w:pPr>
              <w:keepNext/>
              <w:keepLines/>
              <w:tabs>
                <w:tab w:val="right" w:pos="2835"/>
              </w:tabs>
              <w:jc w:val="center"/>
              <w:rPr>
                <w:b/>
                <w:bCs/>
                <w:sz w:val="16"/>
                <w:szCs w:val="16"/>
              </w:rPr>
            </w:pPr>
            <w:r>
              <w:rPr>
                <w:b/>
                <w:bCs/>
                <w:sz w:val="16"/>
                <w:szCs w:val="16"/>
              </w:rPr>
              <w:br/>
            </w:r>
            <w:r>
              <w:rPr>
                <w:b/>
                <w:bCs/>
                <w:sz w:val="16"/>
                <w:szCs w:val="16"/>
              </w:rPr>
              <w:br/>
            </w:r>
            <w:r>
              <w:rPr>
                <w:b/>
                <w:bCs/>
                <w:sz w:val="16"/>
                <w:szCs w:val="16"/>
              </w:rPr>
              <w:br/>
            </w:r>
            <w:r w:rsidRPr="00F922F0">
              <w:rPr>
                <w:b/>
                <w:bCs/>
                <w:sz w:val="16"/>
                <w:szCs w:val="16"/>
              </w:rPr>
              <w:t>Meta estratégica IX</w:t>
            </w:r>
            <w:r>
              <w:rPr>
                <w:b/>
                <w:bCs/>
                <w:sz w:val="16"/>
                <w:szCs w:val="16"/>
              </w:rPr>
              <w:t xml:space="preserve">:  </w:t>
            </w:r>
            <w:r w:rsidRPr="00F922F0">
              <w:rPr>
                <w:b/>
                <w:bCs/>
                <w:sz w:val="16"/>
                <w:szCs w:val="16"/>
              </w:rPr>
              <w:t>Apoyo administrativo y financiero eficiente</w:t>
            </w:r>
          </w:p>
        </w:tc>
      </w:tr>
      <w:tr w:rsidR="00236E18" w:rsidRPr="00F922F0" w:rsidTr="00294272">
        <w:trPr>
          <w:trHeight w:val="1552"/>
        </w:trPr>
        <w:tc>
          <w:tcPr>
            <w:tcW w:w="387" w:type="dxa"/>
            <w:vMerge/>
            <w:tcBorders>
              <w:top w:val="single" w:sz="8" w:space="0" w:color="auto"/>
              <w:left w:val="single" w:sz="8" w:space="0" w:color="auto"/>
              <w:bottom w:val="single" w:sz="4" w:space="0" w:color="000000"/>
              <w:right w:val="nil"/>
            </w:tcBorders>
            <w:vAlign w:val="center"/>
          </w:tcPr>
          <w:p w:rsidR="00236E18" w:rsidRPr="00F922F0" w:rsidRDefault="00236E18" w:rsidP="00294272">
            <w:pPr>
              <w:tabs>
                <w:tab w:val="right" w:pos="2835"/>
              </w:tabs>
              <w:rPr>
                <w:b/>
                <w:bCs/>
                <w:sz w:val="16"/>
                <w:szCs w:val="16"/>
              </w:rPr>
            </w:pPr>
          </w:p>
        </w:tc>
        <w:tc>
          <w:tcPr>
            <w:tcW w:w="3040" w:type="dxa"/>
            <w:tcBorders>
              <w:top w:val="nil"/>
              <w:left w:val="single" w:sz="4" w:space="0" w:color="auto"/>
              <w:bottom w:val="single" w:sz="4" w:space="0" w:color="auto"/>
              <w:right w:val="nil"/>
            </w:tcBorders>
            <w:shd w:val="clear" w:color="auto" w:fill="auto"/>
          </w:tcPr>
          <w:p w:rsidR="00236E18" w:rsidRPr="00F922F0" w:rsidRDefault="00236E18" w:rsidP="00294272">
            <w:pPr>
              <w:tabs>
                <w:tab w:val="left" w:pos="1525"/>
                <w:tab w:val="right" w:pos="2835"/>
              </w:tabs>
              <w:rPr>
                <w:sz w:val="15"/>
                <w:szCs w:val="15"/>
              </w:rPr>
            </w:pPr>
            <w:r w:rsidRPr="00F922F0">
              <w:rPr>
                <w:sz w:val="15"/>
                <w:szCs w:val="15"/>
              </w:rPr>
              <w:br/>
            </w:r>
          </w:p>
        </w:tc>
        <w:tc>
          <w:tcPr>
            <w:tcW w:w="3041" w:type="dxa"/>
            <w:tcBorders>
              <w:top w:val="nil"/>
              <w:left w:val="nil"/>
              <w:bottom w:val="single" w:sz="4" w:space="0" w:color="auto"/>
              <w:right w:val="nil"/>
            </w:tcBorders>
            <w:shd w:val="clear" w:color="auto" w:fill="auto"/>
          </w:tcPr>
          <w:p w:rsidR="00236E18" w:rsidRPr="00F922F0" w:rsidRDefault="00236E18" w:rsidP="00294272">
            <w:pPr>
              <w:tabs>
                <w:tab w:val="right" w:pos="2835"/>
              </w:tabs>
              <w:spacing w:after="60"/>
              <w:rPr>
                <w:sz w:val="14"/>
                <w:szCs w:val="14"/>
              </w:rPr>
            </w:pPr>
            <w:r>
              <w:rPr>
                <w:sz w:val="14"/>
                <w:szCs w:val="14"/>
              </w:rPr>
              <w:br/>
            </w:r>
            <w:r w:rsidRPr="00F922F0">
              <w:rPr>
                <w:sz w:val="14"/>
                <w:szCs w:val="14"/>
              </w:rPr>
              <w:t xml:space="preserve">IX.1  </w:t>
            </w:r>
            <w:r w:rsidRPr="008C3520">
              <w:rPr>
                <w:sz w:val="14"/>
                <w:szCs w:val="14"/>
              </w:rPr>
              <w:t>Servicios de apoyo eficaces, eficientes, de calidad y orientados al cliente, tanto a los usuarios internos como a las partes interesadas externas</w:t>
            </w:r>
          </w:p>
          <w:p w:rsidR="00236E18" w:rsidRPr="00F922F0" w:rsidRDefault="00236E18" w:rsidP="00294272">
            <w:pPr>
              <w:tabs>
                <w:tab w:val="left" w:pos="335"/>
                <w:tab w:val="left" w:pos="2173"/>
                <w:tab w:val="right" w:pos="2835"/>
              </w:tabs>
              <w:rPr>
                <w:i/>
                <w:iCs/>
                <w:sz w:val="14"/>
                <w:szCs w:val="14"/>
              </w:rPr>
            </w:pPr>
            <w:r w:rsidRPr="00F922F0">
              <w:rPr>
                <w:i/>
                <w:iCs/>
                <w:sz w:val="14"/>
                <w:szCs w:val="14"/>
              </w:rPr>
              <w:tab/>
            </w:r>
          </w:p>
          <w:p w:rsidR="00236E18" w:rsidRPr="00F922F0" w:rsidRDefault="00236E18" w:rsidP="00294272">
            <w:pPr>
              <w:tabs>
                <w:tab w:val="left" w:pos="335"/>
                <w:tab w:val="left" w:pos="2173"/>
                <w:tab w:val="right" w:pos="2835"/>
              </w:tabs>
              <w:rPr>
                <w:i/>
                <w:iCs/>
                <w:sz w:val="14"/>
                <w:szCs w:val="14"/>
              </w:rPr>
            </w:pPr>
            <w:r w:rsidRPr="00F922F0">
              <w:rPr>
                <w:i/>
                <w:iCs/>
                <w:sz w:val="14"/>
                <w:szCs w:val="14"/>
              </w:rPr>
              <w:tab/>
            </w:r>
          </w:p>
          <w:p w:rsidR="00236E18" w:rsidRPr="00F922F0" w:rsidRDefault="00236E18" w:rsidP="00294272">
            <w:pPr>
              <w:tabs>
                <w:tab w:val="left" w:pos="335"/>
                <w:tab w:val="left" w:pos="2173"/>
                <w:tab w:val="right" w:pos="2835"/>
              </w:tabs>
              <w:rPr>
                <w:i/>
                <w:iCs/>
                <w:sz w:val="14"/>
                <w:szCs w:val="14"/>
              </w:rPr>
            </w:pPr>
            <w:r w:rsidRPr="00F922F0">
              <w:rPr>
                <w:i/>
                <w:iCs/>
                <w:sz w:val="14"/>
                <w:szCs w:val="14"/>
              </w:rPr>
              <w:tab/>
              <w:t>Presupuesto propuesto 16/17:</w:t>
            </w:r>
            <w:r w:rsidRPr="00F922F0">
              <w:rPr>
                <w:iCs/>
                <w:sz w:val="14"/>
                <w:szCs w:val="14"/>
              </w:rPr>
              <w:t xml:space="preserve"> </w:t>
            </w:r>
            <w:r w:rsidRPr="00F922F0">
              <w:rPr>
                <w:i/>
                <w:iCs/>
                <w:sz w:val="14"/>
                <w:szCs w:val="14"/>
              </w:rPr>
              <w:t>165.356</w:t>
            </w:r>
          </w:p>
          <w:p w:rsidR="00236E18" w:rsidRPr="00F922F0" w:rsidRDefault="00236E18" w:rsidP="00294272">
            <w:pPr>
              <w:tabs>
                <w:tab w:val="left" w:pos="335"/>
                <w:tab w:val="left" w:pos="1525"/>
                <w:tab w:val="right" w:pos="2669"/>
              </w:tabs>
              <w:rPr>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F922F0">
              <w:rPr>
                <w:i/>
                <w:iCs/>
                <w:color w:val="0000FF"/>
                <w:sz w:val="14"/>
                <w:szCs w:val="14"/>
              </w:rPr>
              <w:t>:</w:t>
            </w:r>
            <w:r w:rsidRPr="00F922F0">
              <w:rPr>
                <w:i/>
                <w:iCs/>
                <w:color w:val="0000FF"/>
                <w:sz w:val="14"/>
                <w:szCs w:val="14"/>
              </w:rPr>
              <w:tab/>
              <w:t xml:space="preserve">-  </w:t>
            </w:r>
          </w:p>
        </w:tc>
        <w:tc>
          <w:tcPr>
            <w:tcW w:w="3043" w:type="dxa"/>
            <w:tcBorders>
              <w:top w:val="nil"/>
              <w:left w:val="nil"/>
              <w:bottom w:val="single" w:sz="4" w:space="0" w:color="auto"/>
              <w:right w:val="nil"/>
            </w:tcBorders>
            <w:shd w:val="clear" w:color="auto" w:fill="auto"/>
          </w:tcPr>
          <w:p w:rsidR="00236E18" w:rsidRPr="00F922F0" w:rsidRDefault="00236E18" w:rsidP="00294272">
            <w:pPr>
              <w:keepNext/>
              <w:keepLines/>
              <w:tabs>
                <w:tab w:val="right" w:pos="2835"/>
              </w:tabs>
              <w:spacing w:after="60"/>
              <w:rPr>
                <w:sz w:val="14"/>
                <w:szCs w:val="14"/>
              </w:rPr>
            </w:pPr>
            <w:r>
              <w:rPr>
                <w:sz w:val="14"/>
                <w:szCs w:val="14"/>
              </w:rPr>
              <w:br/>
              <w:t xml:space="preserve">IX.2  </w:t>
            </w:r>
            <w:r w:rsidRPr="008C3520">
              <w:rPr>
                <w:sz w:val="14"/>
                <w:szCs w:val="14"/>
              </w:rPr>
              <w:t>Funcionamiento sin contratiempos de la Secretaría, provista de un personal bien dirigido, dotado de las competencias adecuadas, y capaz de conseguir resultados</w:t>
            </w:r>
          </w:p>
          <w:p w:rsidR="00236E18" w:rsidRDefault="00236E18" w:rsidP="00294272">
            <w:pPr>
              <w:keepNext/>
              <w:keepLines/>
              <w:tabs>
                <w:tab w:val="left" w:pos="325"/>
                <w:tab w:val="left" w:pos="2189"/>
                <w:tab w:val="right" w:pos="2835"/>
              </w:tabs>
              <w:rPr>
                <w:i/>
                <w:iCs/>
                <w:sz w:val="14"/>
                <w:szCs w:val="14"/>
              </w:rPr>
            </w:pPr>
          </w:p>
          <w:p w:rsidR="00236E18" w:rsidRPr="00F922F0" w:rsidRDefault="00236E18" w:rsidP="00294272">
            <w:pPr>
              <w:keepNext/>
              <w:keepLines/>
              <w:tabs>
                <w:tab w:val="left" w:pos="325"/>
                <w:tab w:val="left" w:pos="2189"/>
                <w:tab w:val="right" w:pos="2835"/>
              </w:tabs>
              <w:rPr>
                <w:i/>
                <w:iCs/>
                <w:sz w:val="14"/>
                <w:szCs w:val="14"/>
              </w:rPr>
            </w:pPr>
          </w:p>
          <w:p w:rsidR="00236E18" w:rsidRPr="00F922F0" w:rsidRDefault="00236E18" w:rsidP="00294272">
            <w:pPr>
              <w:keepNext/>
              <w:keepLines/>
              <w:tabs>
                <w:tab w:val="left" w:pos="338"/>
                <w:tab w:val="left" w:pos="1525"/>
                <w:tab w:val="right" w:pos="2604"/>
              </w:tabs>
              <w:rPr>
                <w:sz w:val="14"/>
                <w:szCs w:val="14"/>
              </w:rPr>
            </w:pPr>
            <w:r>
              <w:rPr>
                <w:i/>
                <w:iCs/>
                <w:sz w:val="14"/>
                <w:szCs w:val="14"/>
              </w:rPr>
              <w:tab/>
              <w:t xml:space="preserve">Presupuesto propuesto 16/17:  </w:t>
            </w:r>
            <w:r w:rsidRPr="00F922F0">
              <w:rPr>
                <w:i/>
                <w:iCs/>
                <w:sz w:val="14"/>
                <w:szCs w:val="14"/>
              </w:rPr>
              <w:t>35.257</w:t>
            </w: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A040DB">
              <w:rPr>
                <w:i/>
                <w:iCs/>
                <w:color w:val="0000FF"/>
                <w:sz w:val="14"/>
                <w:szCs w:val="14"/>
              </w:rPr>
              <w:t>:</w:t>
            </w:r>
            <w:r w:rsidRPr="00A040DB">
              <w:rPr>
                <w:i/>
                <w:iCs/>
                <w:color w:val="0000FF"/>
                <w:sz w:val="14"/>
                <w:szCs w:val="14"/>
              </w:rPr>
              <w:tab/>
              <w:t xml:space="preserve">- </w:t>
            </w:r>
          </w:p>
        </w:tc>
        <w:tc>
          <w:tcPr>
            <w:tcW w:w="3041" w:type="dxa"/>
            <w:tcBorders>
              <w:top w:val="nil"/>
              <w:left w:val="nil"/>
              <w:bottom w:val="single" w:sz="4" w:space="0" w:color="auto"/>
              <w:right w:val="nil"/>
            </w:tcBorders>
            <w:shd w:val="clear" w:color="auto" w:fill="auto"/>
          </w:tcPr>
          <w:p w:rsidR="00236E18" w:rsidRPr="00F922F0" w:rsidRDefault="00236E18" w:rsidP="00294272">
            <w:pPr>
              <w:keepNext/>
              <w:keepLines/>
              <w:tabs>
                <w:tab w:val="left" w:pos="1525"/>
                <w:tab w:val="right" w:pos="2835"/>
              </w:tabs>
              <w:spacing w:after="60"/>
              <w:rPr>
                <w:sz w:val="14"/>
                <w:szCs w:val="14"/>
              </w:rPr>
            </w:pPr>
            <w:r>
              <w:rPr>
                <w:sz w:val="14"/>
                <w:szCs w:val="14"/>
              </w:rPr>
              <w:br/>
              <w:t xml:space="preserve">IX.3 </w:t>
            </w:r>
            <w:r w:rsidRPr="00F922F0">
              <w:rPr>
                <w:sz w:val="14"/>
                <w:szCs w:val="14"/>
              </w:rPr>
              <w:t xml:space="preserve"> </w:t>
            </w:r>
            <w:r w:rsidRPr="008C3520">
              <w:rPr>
                <w:sz w:val="14"/>
                <w:szCs w:val="14"/>
              </w:rPr>
              <w:t>Entorno de trabajo propicio basado en un marco reg</w:t>
            </w:r>
            <w:r>
              <w:rPr>
                <w:sz w:val="14"/>
                <w:szCs w:val="14"/>
              </w:rPr>
              <w:t>ulador</w:t>
            </w:r>
            <w:r w:rsidRPr="008C3520">
              <w:rPr>
                <w:sz w:val="14"/>
                <w:szCs w:val="14"/>
              </w:rPr>
              <w:t xml:space="preserve"> eficaz y medios adecuados para atender los temas de interés del personal</w:t>
            </w:r>
          </w:p>
          <w:p w:rsidR="00236E18" w:rsidRDefault="00236E18" w:rsidP="00294272">
            <w:pPr>
              <w:keepNext/>
              <w:keepLines/>
              <w:tabs>
                <w:tab w:val="left" w:pos="378"/>
                <w:tab w:val="left" w:pos="2205"/>
                <w:tab w:val="right" w:pos="2835"/>
              </w:tabs>
              <w:rPr>
                <w:i/>
                <w:iCs/>
                <w:sz w:val="14"/>
                <w:szCs w:val="14"/>
              </w:rPr>
            </w:pPr>
          </w:p>
          <w:p w:rsidR="00236E18" w:rsidRPr="00F922F0" w:rsidRDefault="00236E18" w:rsidP="00294272">
            <w:pPr>
              <w:keepNext/>
              <w:keepLines/>
              <w:tabs>
                <w:tab w:val="left" w:pos="378"/>
                <w:tab w:val="left" w:pos="2205"/>
                <w:tab w:val="right" w:pos="2835"/>
              </w:tabs>
              <w:rPr>
                <w:i/>
                <w:iCs/>
                <w:sz w:val="14"/>
                <w:szCs w:val="14"/>
              </w:rPr>
            </w:pPr>
          </w:p>
          <w:p w:rsidR="00236E18" w:rsidRPr="00F922F0" w:rsidRDefault="00236E18" w:rsidP="00294272">
            <w:pPr>
              <w:keepNext/>
              <w:keepLines/>
              <w:tabs>
                <w:tab w:val="left" w:pos="378"/>
                <w:tab w:val="left" w:pos="2205"/>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2.540</w:t>
            </w:r>
          </w:p>
          <w:p w:rsidR="00236E18" w:rsidRPr="00F922F0" w:rsidRDefault="00236E18" w:rsidP="00294272">
            <w:pPr>
              <w:keepNext/>
              <w:keepLines/>
              <w:tabs>
                <w:tab w:val="left" w:pos="366"/>
                <w:tab w:val="right" w:pos="2835"/>
              </w:tabs>
              <w:rPr>
                <w:i/>
                <w:iCs/>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A040DB">
              <w:rPr>
                <w:i/>
                <w:iCs/>
                <w:color w:val="0000FF"/>
                <w:sz w:val="14"/>
                <w:szCs w:val="14"/>
              </w:rPr>
              <w:t>:</w:t>
            </w:r>
            <w:r w:rsidRPr="00A040DB">
              <w:rPr>
                <w:i/>
                <w:iCs/>
                <w:color w:val="0000FF"/>
                <w:sz w:val="14"/>
                <w:szCs w:val="14"/>
              </w:rPr>
              <w:tab/>
              <w:t>-</w:t>
            </w:r>
          </w:p>
          <w:p w:rsidR="00236E18" w:rsidRPr="00F922F0" w:rsidRDefault="00236E18" w:rsidP="00294272">
            <w:pPr>
              <w:keepNext/>
              <w:keepLines/>
              <w:tabs>
                <w:tab w:val="left" w:pos="1525"/>
                <w:tab w:val="right" w:pos="2835"/>
              </w:tabs>
              <w:rPr>
                <w:i/>
                <w:iCs/>
                <w:sz w:val="14"/>
                <w:szCs w:val="14"/>
              </w:rPr>
            </w:pPr>
          </w:p>
        </w:tc>
        <w:tc>
          <w:tcPr>
            <w:tcW w:w="3040" w:type="dxa"/>
            <w:tcBorders>
              <w:top w:val="nil"/>
              <w:left w:val="nil"/>
              <w:bottom w:val="single" w:sz="4" w:space="0" w:color="auto"/>
              <w:right w:val="nil"/>
            </w:tcBorders>
            <w:shd w:val="clear" w:color="auto" w:fill="auto"/>
          </w:tcPr>
          <w:p w:rsidR="00236E18" w:rsidRPr="00F922F0" w:rsidRDefault="00236E18" w:rsidP="00294272">
            <w:pPr>
              <w:tabs>
                <w:tab w:val="right" w:pos="2835"/>
              </w:tabs>
              <w:spacing w:after="60"/>
              <w:rPr>
                <w:sz w:val="14"/>
                <w:szCs w:val="14"/>
              </w:rPr>
            </w:pPr>
            <w:r>
              <w:rPr>
                <w:sz w:val="14"/>
                <w:szCs w:val="14"/>
              </w:rPr>
              <w:br/>
            </w:r>
            <w:r w:rsidRPr="00F922F0">
              <w:rPr>
                <w:sz w:val="14"/>
                <w:szCs w:val="14"/>
              </w:rPr>
              <w:t>IX.4</w:t>
            </w:r>
            <w:r>
              <w:rPr>
                <w:sz w:val="14"/>
                <w:szCs w:val="14"/>
              </w:rPr>
              <w:t xml:space="preserve"> </w:t>
            </w:r>
            <w:r w:rsidRPr="00F922F0">
              <w:rPr>
                <w:sz w:val="14"/>
                <w:szCs w:val="14"/>
              </w:rPr>
              <w:t xml:space="preserve"> </w:t>
            </w:r>
            <w:r w:rsidRPr="008C3520">
              <w:rPr>
                <w:sz w:val="14"/>
                <w:szCs w:val="14"/>
              </w:rPr>
              <w:t>Una Organización responsable con el medio ambiente y la sociedad en la que se garantiza la seguridad del personal de la OMPI, los delegados, los visitantes, la información y los activos físicos</w:t>
            </w:r>
          </w:p>
          <w:p w:rsidR="00236E18" w:rsidRPr="00F922F0" w:rsidRDefault="00236E18" w:rsidP="00294272">
            <w:pPr>
              <w:tabs>
                <w:tab w:val="left" w:pos="368"/>
                <w:tab w:val="left" w:pos="2221"/>
                <w:tab w:val="right" w:pos="2835"/>
              </w:tabs>
              <w:rPr>
                <w:i/>
                <w:iCs/>
                <w:sz w:val="14"/>
                <w:szCs w:val="14"/>
              </w:rPr>
            </w:pPr>
            <w:r w:rsidRPr="00F922F0">
              <w:rPr>
                <w:i/>
                <w:iCs/>
                <w:sz w:val="14"/>
                <w:szCs w:val="14"/>
              </w:rPr>
              <w:tab/>
            </w:r>
          </w:p>
          <w:p w:rsidR="00236E18" w:rsidRPr="00F922F0" w:rsidRDefault="00236E18" w:rsidP="00294272">
            <w:pPr>
              <w:tabs>
                <w:tab w:val="left" w:pos="368"/>
                <w:tab w:val="left" w:pos="2221"/>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ab/>
            </w:r>
            <w:r w:rsidRPr="00F922F0">
              <w:rPr>
                <w:i/>
                <w:iCs/>
                <w:sz w:val="14"/>
                <w:szCs w:val="14"/>
              </w:rPr>
              <w:t>18.403</w:t>
            </w:r>
          </w:p>
          <w:p w:rsidR="00236E18" w:rsidRPr="00D20CE0" w:rsidRDefault="00236E18" w:rsidP="00294272">
            <w:pPr>
              <w:tabs>
                <w:tab w:val="left" w:pos="356"/>
                <w:tab w:val="left" w:pos="1525"/>
                <w:tab w:val="right" w:pos="2835"/>
              </w:tabs>
              <w:rPr>
                <w:color w:val="0000FF"/>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FF7586">
              <w:rPr>
                <w:iCs/>
                <w:color w:val="0000FF"/>
                <w:sz w:val="14"/>
                <w:szCs w:val="14"/>
              </w:rPr>
              <w:t>:</w:t>
            </w:r>
            <w:r w:rsidRPr="00FF7586">
              <w:rPr>
                <w:iCs/>
                <w:color w:val="0000FF"/>
                <w:sz w:val="14"/>
                <w:szCs w:val="14"/>
              </w:rPr>
              <w:tab/>
            </w:r>
            <w:r w:rsidRPr="00FF7586">
              <w:rPr>
                <w:iCs/>
                <w:color w:val="0000FF"/>
                <w:sz w:val="14"/>
                <w:szCs w:val="14"/>
              </w:rPr>
              <w:tab/>
              <w:t>-</w:t>
            </w:r>
          </w:p>
        </w:tc>
        <w:tc>
          <w:tcPr>
            <w:tcW w:w="3041" w:type="dxa"/>
            <w:tcBorders>
              <w:top w:val="nil"/>
              <w:left w:val="nil"/>
              <w:bottom w:val="single" w:sz="4" w:space="0" w:color="auto"/>
              <w:right w:val="nil"/>
            </w:tcBorders>
            <w:shd w:val="clear" w:color="auto" w:fill="auto"/>
          </w:tcPr>
          <w:p w:rsidR="00236E18" w:rsidRDefault="00236E18" w:rsidP="00294272">
            <w:pPr>
              <w:spacing w:after="60"/>
              <w:rPr>
                <w:sz w:val="14"/>
                <w:szCs w:val="14"/>
                <w:lang w:bidi="th-TH"/>
              </w:rPr>
            </w:pPr>
            <w:r>
              <w:rPr>
                <w:sz w:val="14"/>
                <w:szCs w:val="14"/>
                <w:lang w:bidi="th-TH"/>
              </w:rPr>
              <w:br/>
              <w:t xml:space="preserve">IX.8  </w:t>
            </w:r>
            <w:r w:rsidRPr="008C3520">
              <w:rPr>
                <w:sz w:val="14"/>
                <w:szCs w:val="14"/>
                <w:lang w:bidi="th-TH"/>
              </w:rPr>
              <w:t>Mejor rendición de cuentas, aprendizaje institucional, uso óptimo de los recursos, administración, control interno y buen gobierno gracias a la asistencia que proporciona una supervisión eficaz e independiente</w:t>
            </w:r>
          </w:p>
          <w:p w:rsidR="00236E18" w:rsidRPr="00F922F0" w:rsidRDefault="00236E18" w:rsidP="00294272">
            <w:pPr>
              <w:tabs>
                <w:tab w:val="left" w:pos="378"/>
                <w:tab w:val="left" w:pos="2205"/>
                <w:tab w:val="right" w:pos="2835"/>
              </w:tabs>
              <w:rPr>
                <w:sz w:val="14"/>
                <w:szCs w:val="14"/>
                <w:lang w:bidi="th-TH"/>
              </w:rPr>
            </w:pPr>
          </w:p>
          <w:p w:rsidR="00236E18" w:rsidRPr="00F922F0" w:rsidRDefault="00236E18" w:rsidP="00294272">
            <w:pPr>
              <w:tabs>
                <w:tab w:val="left" w:pos="412"/>
                <w:tab w:val="left" w:pos="2237"/>
                <w:tab w:val="right" w:pos="2835"/>
              </w:tabs>
              <w:rPr>
                <w:i/>
                <w:iCs/>
                <w:sz w:val="14"/>
                <w:szCs w:val="14"/>
              </w:rPr>
            </w:pPr>
            <w:r w:rsidRPr="00F922F0">
              <w:rPr>
                <w:i/>
                <w:iCs/>
                <w:sz w:val="14"/>
                <w:szCs w:val="14"/>
              </w:rPr>
              <w:tab/>
              <w:t>Presupuesto propuesto 16/17:</w:t>
            </w:r>
            <w:r w:rsidRPr="00F922F0">
              <w:rPr>
                <w:iCs/>
                <w:sz w:val="14"/>
                <w:szCs w:val="14"/>
              </w:rPr>
              <w:t xml:space="preserve"> </w:t>
            </w:r>
            <w:r>
              <w:rPr>
                <w:iCs/>
                <w:sz w:val="14"/>
                <w:szCs w:val="14"/>
              </w:rPr>
              <w:t xml:space="preserve"> </w:t>
            </w:r>
            <w:r>
              <w:rPr>
                <w:iCs/>
                <w:sz w:val="14"/>
                <w:szCs w:val="14"/>
              </w:rPr>
              <w:tab/>
            </w:r>
            <w:r w:rsidRPr="00F922F0">
              <w:rPr>
                <w:i/>
                <w:iCs/>
                <w:sz w:val="14"/>
                <w:szCs w:val="14"/>
              </w:rPr>
              <w:t>7.035</w:t>
            </w:r>
          </w:p>
          <w:p w:rsidR="00236E18" w:rsidRPr="00F922F0" w:rsidRDefault="00236E18" w:rsidP="00294272">
            <w:pPr>
              <w:tabs>
                <w:tab w:val="left" w:pos="424"/>
                <w:tab w:val="left" w:pos="2237"/>
                <w:tab w:val="right" w:pos="2835"/>
              </w:tabs>
              <w:rPr>
                <w:i/>
                <w:iCs/>
                <w:sz w:val="14"/>
                <w:szCs w:val="14"/>
              </w:rPr>
            </w:pPr>
            <w:r w:rsidRPr="00F922F0">
              <w:rPr>
                <w:i/>
                <w:iCs/>
                <w:sz w:val="14"/>
                <w:szCs w:val="14"/>
              </w:rPr>
              <w:tab/>
            </w:r>
            <w:r w:rsidRPr="00F922F0">
              <w:rPr>
                <w:i/>
                <w:iCs/>
                <w:color w:val="0000FF"/>
                <w:sz w:val="14"/>
                <w:szCs w:val="14"/>
              </w:rPr>
              <w:t>Cuota</w:t>
            </w:r>
            <w:r>
              <w:rPr>
                <w:i/>
                <w:iCs/>
                <w:color w:val="0000FF"/>
                <w:sz w:val="14"/>
                <w:szCs w:val="14"/>
              </w:rPr>
              <w:t xml:space="preserve"> para el desarrollo</w:t>
            </w:r>
            <w:r w:rsidRPr="00F6717D">
              <w:rPr>
                <w:i/>
                <w:iCs/>
                <w:color w:val="0000FF"/>
                <w:sz w:val="14"/>
                <w:szCs w:val="14"/>
              </w:rPr>
              <w:t>:</w:t>
            </w:r>
            <w:r w:rsidRPr="00F6717D">
              <w:rPr>
                <w:i/>
                <w:iCs/>
                <w:color w:val="0000FF"/>
                <w:sz w:val="14"/>
                <w:szCs w:val="14"/>
              </w:rPr>
              <w:tab/>
            </w:r>
            <w:r w:rsidRPr="00F6717D">
              <w:rPr>
                <w:i/>
                <w:iCs/>
                <w:color w:val="0000FF"/>
                <w:sz w:val="14"/>
                <w:szCs w:val="14"/>
              </w:rPr>
              <w:tab/>
              <w:t>963</w:t>
            </w:r>
          </w:p>
          <w:p w:rsidR="00236E18" w:rsidRPr="00F922F0" w:rsidRDefault="00236E18" w:rsidP="00294272">
            <w:pPr>
              <w:tabs>
                <w:tab w:val="left" w:pos="397"/>
                <w:tab w:val="right" w:pos="2835"/>
              </w:tabs>
              <w:rPr>
                <w:sz w:val="14"/>
                <w:szCs w:val="14"/>
              </w:rPr>
            </w:pPr>
          </w:p>
        </w:tc>
        <w:tc>
          <w:tcPr>
            <w:tcW w:w="3046" w:type="dxa"/>
            <w:tcBorders>
              <w:top w:val="nil"/>
              <w:left w:val="nil"/>
              <w:bottom w:val="single" w:sz="4" w:space="0" w:color="auto"/>
              <w:right w:val="single" w:sz="4" w:space="0" w:color="auto"/>
            </w:tcBorders>
            <w:shd w:val="clear" w:color="auto" w:fill="auto"/>
          </w:tcPr>
          <w:p w:rsidR="00236E18" w:rsidRPr="00F922F0" w:rsidRDefault="00236E18" w:rsidP="00294272">
            <w:pPr>
              <w:tabs>
                <w:tab w:val="right" w:pos="2835"/>
              </w:tabs>
              <w:rPr>
                <w:i/>
                <w:iCs/>
                <w:sz w:val="14"/>
                <w:szCs w:val="14"/>
              </w:rPr>
            </w:pPr>
            <w:r w:rsidRPr="00F922F0">
              <w:rPr>
                <w:sz w:val="14"/>
                <w:szCs w:val="14"/>
              </w:rPr>
              <w:br/>
            </w:r>
          </w:p>
          <w:p w:rsidR="00236E18" w:rsidRPr="00F922F0" w:rsidRDefault="00236E18" w:rsidP="00294272">
            <w:pPr>
              <w:tabs>
                <w:tab w:val="left" w:pos="2040"/>
                <w:tab w:val="right" w:pos="2835"/>
              </w:tabs>
              <w:rPr>
                <w:i/>
                <w:iCs/>
                <w:sz w:val="14"/>
                <w:szCs w:val="14"/>
              </w:rPr>
            </w:pPr>
          </w:p>
          <w:p w:rsidR="00236E18" w:rsidRPr="00F922F0" w:rsidRDefault="00236E18" w:rsidP="00294272">
            <w:pPr>
              <w:tabs>
                <w:tab w:val="left" w:pos="2040"/>
                <w:tab w:val="right" w:pos="2835"/>
              </w:tabs>
              <w:rPr>
                <w:i/>
                <w:iCs/>
                <w:sz w:val="14"/>
                <w:szCs w:val="14"/>
              </w:rPr>
            </w:pPr>
          </w:p>
          <w:p w:rsidR="00236E18" w:rsidRPr="00F922F0" w:rsidRDefault="00236E18" w:rsidP="00294272">
            <w:pPr>
              <w:tabs>
                <w:tab w:val="left" w:pos="2253"/>
                <w:tab w:val="right" w:pos="2835"/>
              </w:tabs>
              <w:rPr>
                <w:i/>
                <w:iCs/>
                <w:sz w:val="14"/>
                <w:szCs w:val="14"/>
              </w:rPr>
            </w:pPr>
            <w:r w:rsidRPr="00F922F0">
              <w:rPr>
                <w:i/>
                <w:iCs/>
                <w:sz w:val="14"/>
                <w:szCs w:val="14"/>
              </w:rPr>
              <w:t xml:space="preserve">Total presupuesto propuesto, meta IX: </w:t>
            </w:r>
            <w:r>
              <w:rPr>
                <w:i/>
                <w:iCs/>
                <w:sz w:val="14"/>
                <w:szCs w:val="14"/>
              </w:rPr>
              <w:tab/>
            </w:r>
            <w:r w:rsidRPr="00F922F0">
              <w:rPr>
                <w:i/>
                <w:iCs/>
                <w:sz w:val="14"/>
                <w:szCs w:val="14"/>
              </w:rPr>
              <w:t>228.591</w:t>
            </w:r>
          </w:p>
          <w:p w:rsidR="00236E18" w:rsidRPr="00F922F0" w:rsidRDefault="00236E18" w:rsidP="00294272">
            <w:pPr>
              <w:tabs>
                <w:tab w:val="left" w:pos="2488"/>
                <w:tab w:val="right" w:pos="2835"/>
              </w:tabs>
              <w:rPr>
                <w:sz w:val="14"/>
                <w:szCs w:val="14"/>
              </w:rPr>
            </w:pPr>
            <w:r w:rsidRPr="00147560">
              <w:rPr>
                <w:i/>
                <w:color w:val="0000FF"/>
                <w:sz w:val="14"/>
                <w:szCs w:val="14"/>
              </w:rPr>
              <w:t>Total cuota</w:t>
            </w:r>
            <w:r>
              <w:rPr>
                <w:i/>
                <w:color w:val="0000FF"/>
                <w:sz w:val="14"/>
                <w:szCs w:val="14"/>
              </w:rPr>
              <w:t xml:space="preserve"> para el desarrollo</w:t>
            </w:r>
            <w:r w:rsidRPr="00147560">
              <w:rPr>
                <w:i/>
                <w:color w:val="0000FF"/>
                <w:sz w:val="14"/>
                <w:szCs w:val="14"/>
              </w:rPr>
              <w:t>, meta IX:</w:t>
            </w:r>
            <w:r>
              <w:rPr>
                <w:i/>
                <w:color w:val="0000FF"/>
                <w:sz w:val="14"/>
                <w:szCs w:val="14"/>
              </w:rPr>
              <w:t xml:space="preserve">      </w:t>
            </w:r>
            <w:r w:rsidRPr="00147560">
              <w:rPr>
                <w:i/>
                <w:color w:val="0000FF"/>
                <w:sz w:val="14"/>
                <w:szCs w:val="14"/>
              </w:rPr>
              <w:t>963</w:t>
            </w:r>
          </w:p>
        </w:tc>
      </w:tr>
      <w:tr w:rsidR="00236E18" w:rsidRPr="00F922F0" w:rsidTr="00294272">
        <w:trPr>
          <w:trHeight w:val="684"/>
        </w:trPr>
        <w:tc>
          <w:tcPr>
            <w:tcW w:w="387" w:type="dxa"/>
            <w:tcBorders>
              <w:top w:val="nil"/>
              <w:left w:val="nil"/>
              <w:bottom w:val="nil"/>
              <w:right w:val="nil"/>
            </w:tcBorders>
            <w:shd w:val="clear" w:color="auto" w:fill="auto"/>
            <w:noWrap/>
            <w:vAlign w:val="bottom"/>
          </w:tcPr>
          <w:p w:rsidR="00236E18" w:rsidRPr="00F922F0" w:rsidRDefault="00236E18" w:rsidP="00294272">
            <w:pPr>
              <w:tabs>
                <w:tab w:val="right" w:pos="2835"/>
              </w:tabs>
              <w:rPr>
                <w:i/>
                <w:sz w:val="16"/>
                <w:szCs w:val="16"/>
              </w:rPr>
            </w:pPr>
          </w:p>
        </w:tc>
        <w:tc>
          <w:tcPr>
            <w:tcW w:w="12165" w:type="dxa"/>
            <w:gridSpan w:val="4"/>
            <w:tcBorders>
              <w:top w:val="single" w:sz="4" w:space="0" w:color="auto"/>
              <w:left w:val="nil"/>
              <w:bottom w:val="nil"/>
              <w:right w:val="nil"/>
            </w:tcBorders>
            <w:shd w:val="clear" w:color="auto" w:fill="auto"/>
            <w:vAlign w:val="center"/>
          </w:tcPr>
          <w:p w:rsidR="00236E18" w:rsidRPr="00F922F0" w:rsidRDefault="00236E18" w:rsidP="00294272">
            <w:pPr>
              <w:tabs>
                <w:tab w:val="right" w:pos="2835"/>
              </w:tabs>
              <w:rPr>
                <w:i/>
                <w:iCs/>
                <w:sz w:val="12"/>
                <w:szCs w:val="12"/>
              </w:rPr>
            </w:pPr>
            <w:r>
              <w:rPr>
                <w:i/>
                <w:iCs/>
                <w:sz w:val="12"/>
                <w:szCs w:val="12"/>
              </w:rPr>
              <w:br/>
            </w:r>
            <w:r w:rsidRPr="00F922F0">
              <w:rPr>
                <w:i/>
                <w:iCs/>
                <w:sz w:val="12"/>
                <w:szCs w:val="12"/>
              </w:rPr>
              <w:t xml:space="preserve">1 En la propuesta de presupuesto por resultados no aparece el importe de 6.319 millones de francos suizos, correspondiente a fondos no asignados. </w:t>
            </w:r>
          </w:p>
          <w:p w:rsidR="00236E18" w:rsidRPr="00F922F0" w:rsidRDefault="00236E18" w:rsidP="00294272">
            <w:pPr>
              <w:tabs>
                <w:tab w:val="right" w:pos="2835"/>
              </w:tabs>
              <w:rPr>
                <w:i/>
                <w:iCs/>
                <w:sz w:val="12"/>
                <w:szCs w:val="12"/>
              </w:rPr>
            </w:pPr>
            <w:r w:rsidRPr="00F922F0">
              <w:rPr>
                <w:i/>
                <w:iCs/>
                <w:sz w:val="12"/>
                <w:szCs w:val="12"/>
              </w:rPr>
              <w:t>2 Cuota</w:t>
            </w:r>
            <w:r>
              <w:rPr>
                <w:i/>
                <w:iCs/>
                <w:sz w:val="12"/>
                <w:szCs w:val="12"/>
              </w:rPr>
              <w:t xml:space="preserve"> para el desarrollo</w:t>
            </w:r>
            <w:proofErr w:type="gramStart"/>
            <w:r w:rsidRPr="00F922F0">
              <w:rPr>
                <w:i/>
                <w:iCs/>
                <w:sz w:val="12"/>
                <w:szCs w:val="12"/>
              </w:rPr>
              <w:t>:  Los</w:t>
            </w:r>
            <w:proofErr w:type="gramEnd"/>
            <w:r w:rsidRPr="00F922F0">
              <w:rPr>
                <w:i/>
                <w:iCs/>
                <w:sz w:val="12"/>
                <w:szCs w:val="12"/>
              </w:rPr>
              <w:t xml:space="preserve"> gastos se definen en tanto que gastos destinados a desarrollo exclusivamente en la medida en que el beneficiario sea un país en desarrollo y que no se haya previsto un gasto equivalente para los países desarrollados (conforme a lo que se viene haciendo hasta la fecha, a los fines del presupuesto por programas se incluye a los países con economías en transición).</w:t>
            </w:r>
          </w:p>
          <w:p w:rsidR="00236E18" w:rsidRPr="00F922F0" w:rsidRDefault="00236E18" w:rsidP="00294272">
            <w:pPr>
              <w:tabs>
                <w:tab w:val="right" w:pos="2835"/>
              </w:tabs>
              <w:rPr>
                <w:i/>
                <w:iCs/>
                <w:sz w:val="12"/>
                <w:szCs w:val="12"/>
              </w:rPr>
            </w:pPr>
            <w:r w:rsidRPr="00F922F0">
              <w:rPr>
                <w:i/>
                <w:iCs/>
                <w:sz w:val="12"/>
                <w:szCs w:val="12"/>
              </w:rPr>
              <w:t>3 En los importes correspondientes a la cuota</w:t>
            </w:r>
            <w:r>
              <w:rPr>
                <w:i/>
                <w:iCs/>
                <w:sz w:val="12"/>
                <w:szCs w:val="12"/>
              </w:rPr>
              <w:t xml:space="preserve"> para el desarrollo</w:t>
            </w:r>
            <w:r w:rsidRPr="00F922F0">
              <w:rPr>
                <w:i/>
                <w:iCs/>
                <w:sz w:val="12"/>
                <w:szCs w:val="12"/>
              </w:rPr>
              <w:t xml:space="preserve"> están incluidos los recursos para proyectos de la Agenda para el Desarrollo.</w:t>
            </w:r>
          </w:p>
          <w:p w:rsidR="00236E18" w:rsidRPr="00F922F0" w:rsidRDefault="00236E18" w:rsidP="00294272">
            <w:pPr>
              <w:tabs>
                <w:tab w:val="right" w:pos="2835"/>
              </w:tabs>
              <w:rPr>
                <w:sz w:val="16"/>
                <w:szCs w:val="16"/>
              </w:rPr>
            </w:pPr>
            <w:r w:rsidRPr="00F922F0">
              <w:rPr>
                <w:i/>
                <w:iCs/>
                <w:sz w:val="12"/>
                <w:szCs w:val="12"/>
              </w:rPr>
              <w:t>4 En caso de que las cifras no correspondan al presupuesto total se deberá al redondeo de los importes.</w:t>
            </w:r>
          </w:p>
        </w:tc>
        <w:tc>
          <w:tcPr>
            <w:tcW w:w="3040" w:type="dxa"/>
            <w:tcBorders>
              <w:top w:val="nil"/>
              <w:left w:val="nil"/>
              <w:bottom w:val="nil"/>
              <w:right w:val="nil"/>
            </w:tcBorders>
            <w:shd w:val="clear" w:color="auto" w:fill="auto"/>
            <w:noWrap/>
            <w:vAlign w:val="bottom"/>
          </w:tcPr>
          <w:p w:rsidR="00236E18" w:rsidRPr="00F922F0" w:rsidRDefault="00236E18" w:rsidP="00294272">
            <w:pPr>
              <w:tabs>
                <w:tab w:val="right" w:pos="2835"/>
              </w:tabs>
              <w:rPr>
                <w:sz w:val="16"/>
                <w:szCs w:val="16"/>
              </w:rPr>
            </w:pPr>
          </w:p>
        </w:tc>
        <w:tc>
          <w:tcPr>
            <w:tcW w:w="6087" w:type="dxa"/>
            <w:gridSpan w:val="2"/>
            <w:tcBorders>
              <w:top w:val="nil"/>
              <w:left w:val="nil"/>
              <w:bottom w:val="nil"/>
              <w:right w:val="nil"/>
            </w:tcBorders>
            <w:shd w:val="clear" w:color="auto" w:fill="auto"/>
            <w:noWrap/>
          </w:tcPr>
          <w:p w:rsidR="00236E18" w:rsidRPr="00F922F0" w:rsidRDefault="00236E18" w:rsidP="00294272">
            <w:pPr>
              <w:tabs>
                <w:tab w:val="right" w:pos="2835"/>
              </w:tabs>
              <w:rPr>
                <w:b/>
                <w:bCs/>
                <w:i/>
                <w:iCs/>
                <w:sz w:val="16"/>
                <w:szCs w:val="16"/>
              </w:rPr>
            </w:pPr>
          </w:p>
          <w:p w:rsidR="00236E18" w:rsidRPr="00F922F0" w:rsidRDefault="00236E18" w:rsidP="00294272">
            <w:pPr>
              <w:tabs>
                <w:tab w:val="right" w:pos="2835"/>
              </w:tabs>
              <w:rPr>
                <w:b/>
                <w:bCs/>
                <w:i/>
                <w:iCs/>
                <w:sz w:val="16"/>
                <w:szCs w:val="16"/>
              </w:rPr>
            </w:pPr>
            <w:r w:rsidRPr="00F922F0">
              <w:rPr>
                <w:b/>
                <w:bCs/>
                <w:i/>
                <w:iCs/>
                <w:sz w:val="16"/>
                <w:szCs w:val="16"/>
              </w:rPr>
              <w:t xml:space="preserve">Total del presupuesto propuesto 2016/17:   </w:t>
            </w:r>
            <w:r w:rsidRPr="00F922F0">
              <w:rPr>
                <w:bCs/>
                <w:iCs/>
                <w:sz w:val="16"/>
                <w:szCs w:val="16"/>
              </w:rPr>
              <w:t xml:space="preserve"> </w:t>
            </w:r>
            <w:r w:rsidRPr="00F922F0">
              <w:rPr>
                <w:b/>
                <w:bCs/>
                <w:i/>
                <w:iCs/>
                <w:sz w:val="16"/>
                <w:szCs w:val="16"/>
              </w:rPr>
              <w:t xml:space="preserve">707.036 </w:t>
            </w:r>
          </w:p>
          <w:p w:rsidR="00236E18" w:rsidRPr="00F922F0" w:rsidRDefault="00236E18" w:rsidP="00294272">
            <w:pPr>
              <w:tabs>
                <w:tab w:val="right" w:pos="2663"/>
              </w:tabs>
              <w:rPr>
                <w:b/>
                <w:bCs/>
                <w:i/>
                <w:iCs/>
                <w:sz w:val="16"/>
                <w:szCs w:val="16"/>
              </w:rPr>
            </w:pPr>
            <w:r w:rsidRPr="00147560">
              <w:rPr>
                <w:b/>
                <w:bCs/>
                <w:i/>
                <w:iCs/>
                <w:color w:val="0000FF"/>
                <w:sz w:val="16"/>
                <w:szCs w:val="16"/>
              </w:rPr>
              <w:t>Total de la cuota</w:t>
            </w:r>
            <w:r>
              <w:rPr>
                <w:b/>
                <w:bCs/>
                <w:i/>
                <w:iCs/>
                <w:color w:val="0000FF"/>
                <w:sz w:val="16"/>
                <w:szCs w:val="16"/>
              </w:rPr>
              <w:t xml:space="preserve"> para el desarrollo</w:t>
            </w:r>
            <w:r w:rsidRPr="00147560">
              <w:rPr>
                <w:b/>
                <w:bCs/>
                <w:i/>
                <w:iCs/>
                <w:color w:val="0000FF"/>
                <w:sz w:val="16"/>
                <w:szCs w:val="16"/>
              </w:rPr>
              <w:t xml:space="preserve">: </w:t>
            </w:r>
            <w:r>
              <w:rPr>
                <w:b/>
                <w:bCs/>
                <w:i/>
                <w:iCs/>
                <w:color w:val="0000FF"/>
                <w:sz w:val="16"/>
                <w:szCs w:val="16"/>
              </w:rPr>
              <w:t xml:space="preserve">   151.500</w:t>
            </w:r>
          </w:p>
        </w:tc>
      </w:tr>
    </w:tbl>
    <w:p w:rsidR="00236E18" w:rsidRDefault="00236E18" w:rsidP="00236E18">
      <w:pPr>
        <w:rPr>
          <w:szCs w:val="22"/>
          <w:highlight w:val="lightGray"/>
        </w:rPr>
      </w:pPr>
    </w:p>
    <w:p w:rsidR="00236E18" w:rsidRDefault="00236E18" w:rsidP="00236E18">
      <w:pPr>
        <w:rPr>
          <w:szCs w:val="22"/>
          <w:highlight w:val="lightGray"/>
        </w:rPr>
      </w:pPr>
      <w:r>
        <w:rPr>
          <w:szCs w:val="22"/>
          <w:highlight w:val="lightGray"/>
        </w:rPr>
        <w:br w:type="page"/>
      </w:r>
    </w:p>
    <w:p w:rsidR="00236E18" w:rsidRPr="00F922F0" w:rsidRDefault="00236E18" w:rsidP="00236E18">
      <w:pPr>
        <w:rPr>
          <w:szCs w:val="22"/>
          <w:highlight w:val="lightGray"/>
        </w:rPr>
        <w:sectPr w:rsidR="00236E18" w:rsidRPr="00F922F0" w:rsidSect="00080272">
          <w:pgSz w:w="23814" w:h="16840" w:orient="landscape" w:code="8"/>
          <w:pgMar w:top="851" w:right="624" w:bottom="567" w:left="1134" w:header="510" w:footer="340" w:gutter="0"/>
          <w:cols w:space="720"/>
          <w:titlePg/>
          <w:docGrid w:linePitch="299"/>
        </w:sectPr>
      </w:pPr>
    </w:p>
    <w:p w:rsidR="00236E18" w:rsidRPr="00250BC6" w:rsidRDefault="00236E18" w:rsidP="00236E18">
      <w:pPr>
        <w:pStyle w:val="StyleHeading3ComplexItalic"/>
        <w:tabs>
          <w:tab w:val="clear" w:pos="1985"/>
          <w:tab w:val="left" w:pos="1843"/>
        </w:tabs>
        <w:ind w:left="1843" w:hanging="1843"/>
        <w:rPr>
          <w:sz w:val="20"/>
          <w:highlight w:val="lightGray"/>
        </w:rPr>
      </w:pPr>
      <w:bookmarkStart w:id="18" w:name="_Toc419540399"/>
      <w:bookmarkStart w:id="19" w:name="_Toc431573534"/>
      <w:bookmarkStart w:id="20" w:name="_Toc431573934"/>
      <w:r w:rsidRPr="00250BC6">
        <w:rPr>
          <w:sz w:val="20"/>
          <w:lang w:val="es-ES"/>
        </w:rPr>
        <w:lastRenderedPageBreak/>
        <w:t>RESULTADOS Y RECURSOS</w:t>
      </w:r>
      <w:bookmarkEnd w:id="18"/>
      <w:bookmarkEnd w:id="19"/>
      <w:bookmarkEnd w:id="20"/>
    </w:p>
    <w:p w:rsidR="00236E18" w:rsidRPr="00250BC6" w:rsidRDefault="00236E18" w:rsidP="00236E18">
      <w:pPr>
        <w:jc w:val="both"/>
        <w:rPr>
          <w:sz w:val="20"/>
        </w:rPr>
      </w:pPr>
    </w:p>
    <w:p w:rsidR="00236E18" w:rsidRPr="00250BC6" w:rsidRDefault="00236E18" w:rsidP="00236E18">
      <w:pPr>
        <w:jc w:val="both"/>
        <w:rPr>
          <w:sz w:val="20"/>
        </w:rPr>
      </w:pPr>
    </w:p>
    <w:p w:rsidR="00236E18" w:rsidRPr="00250BC6"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250BC6">
        <w:rPr>
          <w:rFonts w:ascii="Arial" w:hAnsi="Arial"/>
          <w:sz w:val="20"/>
          <w:lang w:val="es-ES"/>
        </w:rPr>
        <w:t>Por lo tanto, en la propuesta para el bienio 2016/17 se aspira a que los recursos de la Organización se sigan utilizando para obtener los resultados que mayor importancia revisten para los Estados miembros y demás partes interesadas.  El gasto total propuesto para el bienio 2016/17 asciende a 707,0 millones de francos suizos, lo que representa un aumento de 33 millones de francos suizos, es decir, el 4,9% con respecto al presupuesto aprobado de 2014/15, de 674 millones de francos suizos.</w:t>
      </w:r>
      <w:r w:rsidRPr="00250BC6">
        <w:rPr>
          <w:rFonts w:ascii="Arial" w:eastAsia="SimSun" w:hAnsi="Arial" w:cs="Arial"/>
          <w:sz w:val="20"/>
          <w:lang w:val="es-ES" w:eastAsia="zh-CN"/>
        </w:rPr>
        <w:t xml:space="preserve">  Estas cifras deben situarse en el contexto de un aumento previsto de ingresos del 6,0%  en comparación con el presupuesto aprobado de 2014/15.  Esto pone de manifiesto los esfuerzos de la Secretaría por contener los costos a pesar de que aumenta la demanda de sus servicios.</w:t>
      </w:r>
    </w:p>
    <w:p w:rsidR="00236E18" w:rsidRPr="00250BC6" w:rsidRDefault="00236E18" w:rsidP="00236E18">
      <w:pPr>
        <w:jc w:val="both"/>
        <w:rPr>
          <w:sz w:val="20"/>
        </w:rPr>
      </w:pPr>
    </w:p>
    <w:p w:rsidR="00236E18" w:rsidRPr="00250BC6"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250BC6">
        <w:rPr>
          <w:rFonts w:ascii="Arial" w:hAnsi="Arial"/>
          <w:sz w:val="20"/>
          <w:lang w:val="es-ES"/>
        </w:rPr>
        <w:t>En la sinopsis del marco de resultados se exponen los 37 resultados previstos a nivel de la Organización para el bienio 2016/17 en los que se proporciona el mandato de los programas que contribuyen a la consecución de esos resultados.  La sinopsis del marco de resultados aporta también una perspectiva del presupuesto para el bienio 2016/17 basada en los resultados, así como información sobre el porcentaje de los recursos asignados a actividades para el desarrollo, por resultado.  Además, en cada uno de los programas y en el Anexo VIII figura un desglose de los recursos extrapresupuestarios de que se podría disponer en cada programa.</w:t>
      </w:r>
    </w:p>
    <w:p w:rsidR="00236E18" w:rsidRPr="00250BC6" w:rsidRDefault="00236E18" w:rsidP="00236E18">
      <w:pPr>
        <w:jc w:val="both"/>
        <w:rPr>
          <w:sz w:val="20"/>
        </w:rPr>
      </w:pPr>
    </w:p>
    <w:p w:rsidR="00236E18" w:rsidRPr="00250BC6"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sidRPr="00250BC6">
        <w:rPr>
          <w:rFonts w:ascii="Arial" w:eastAsia="SimSun" w:hAnsi="Arial" w:cs="Arial"/>
          <w:sz w:val="20"/>
          <w:lang w:val="es-ES" w:eastAsia="zh-CN"/>
        </w:rPr>
        <w:t>En los cuadros 4 y 5 que figuran a continuación se resume el</w:t>
      </w:r>
      <w:r>
        <w:rPr>
          <w:rFonts w:ascii="Arial" w:eastAsia="SimSun" w:hAnsi="Arial" w:cs="Arial"/>
          <w:sz w:val="20"/>
          <w:lang w:val="es-ES" w:eastAsia="zh-CN"/>
        </w:rPr>
        <w:t xml:space="preserve"> presupuesto por programas para </w:t>
      </w:r>
      <w:r w:rsidRPr="00250BC6">
        <w:rPr>
          <w:rFonts w:ascii="Arial" w:eastAsia="SimSun" w:hAnsi="Arial" w:cs="Arial"/>
          <w:sz w:val="20"/>
          <w:lang w:val="es-ES" w:eastAsia="zh-CN"/>
        </w:rPr>
        <w:t xml:space="preserve">2016/17 por categoría de costos.  La estructura de los programas sigue siendo la misma que en el bienio 2014/15, a excepción del i) programa 29 (Nueva sala de conferencias) que, tras la finalización de la construcción, no es necesario que figure en el bienio 2016/17 y del ii) programa 28 que comprende actualmente el aseguramiento de la información (que se ha trasladado del programa 25 (Tecnologías de la información y de las comunicaciones)) así como la seguridad y vigilancia.  En el Anexo I se ofrece una comparación del presupuesto por programas </w:t>
      </w:r>
      <w:r>
        <w:rPr>
          <w:rFonts w:ascii="Arial" w:eastAsia="SimSun" w:hAnsi="Arial" w:cs="Arial"/>
          <w:sz w:val="20"/>
          <w:lang w:val="es-ES" w:eastAsia="zh-CN"/>
        </w:rPr>
        <w:t>de</w:t>
      </w:r>
      <w:r w:rsidRPr="00250BC6">
        <w:rPr>
          <w:rFonts w:ascii="Arial" w:eastAsia="SimSun" w:hAnsi="Arial" w:cs="Arial"/>
          <w:sz w:val="20"/>
          <w:lang w:val="es-ES" w:eastAsia="zh-CN"/>
        </w:rPr>
        <w:t xml:space="preserve"> 2016/17 </w:t>
      </w:r>
      <w:r>
        <w:rPr>
          <w:rFonts w:ascii="Arial" w:eastAsia="SimSun" w:hAnsi="Arial" w:cs="Arial"/>
          <w:sz w:val="20"/>
          <w:lang w:val="es-ES" w:eastAsia="zh-CN"/>
        </w:rPr>
        <w:t>con</w:t>
      </w:r>
      <w:r w:rsidRPr="00250BC6">
        <w:rPr>
          <w:rFonts w:ascii="Arial" w:eastAsia="SimSun" w:hAnsi="Arial" w:cs="Arial"/>
          <w:sz w:val="20"/>
          <w:lang w:val="es-ES" w:eastAsia="zh-CN"/>
        </w:rPr>
        <w:t xml:space="preserve"> el presupuesto aprobado</w:t>
      </w:r>
      <w:r>
        <w:rPr>
          <w:rFonts w:ascii="Arial" w:eastAsia="SimSun" w:hAnsi="Arial" w:cs="Arial"/>
          <w:sz w:val="20"/>
          <w:lang w:val="es-ES" w:eastAsia="zh-CN"/>
        </w:rPr>
        <w:t xml:space="preserve"> de 2014/15</w:t>
      </w:r>
      <w:r w:rsidRPr="00250BC6">
        <w:rPr>
          <w:rFonts w:ascii="Arial" w:eastAsia="SimSun" w:hAnsi="Arial" w:cs="Arial"/>
          <w:sz w:val="20"/>
          <w:lang w:val="es-ES" w:eastAsia="zh-CN"/>
        </w:rPr>
        <w:t xml:space="preserve"> y el presupuesto de</w:t>
      </w:r>
      <w:r>
        <w:rPr>
          <w:rFonts w:ascii="Arial" w:eastAsia="SimSun" w:hAnsi="Arial" w:cs="Arial"/>
          <w:sz w:val="20"/>
          <w:lang w:val="es-ES" w:eastAsia="zh-CN"/>
        </w:rPr>
        <w:t xml:space="preserve"> 2014/15 tras</w:t>
      </w:r>
      <w:r w:rsidRPr="00250BC6">
        <w:rPr>
          <w:rFonts w:ascii="Arial" w:eastAsia="SimSun" w:hAnsi="Arial" w:cs="Arial"/>
          <w:sz w:val="20"/>
          <w:lang w:val="es-ES" w:eastAsia="zh-CN"/>
        </w:rPr>
        <w:t xml:space="preserve"> las transferencias.  En el cuadro 13 del Anexo III figura el presupuesto por programas para </w:t>
      </w:r>
      <w:r w:rsidRPr="00250BC6">
        <w:rPr>
          <w:rFonts w:ascii="Arial" w:hAnsi="Arial" w:cs="Arial"/>
          <w:sz w:val="20"/>
          <w:lang w:val="es-ES"/>
        </w:rPr>
        <w:t xml:space="preserve">2016/17, por Unión. </w:t>
      </w:r>
    </w:p>
    <w:p w:rsidR="00236E18" w:rsidRPr="00250BC6" w:rsidRDefault="00236E18" w:rsidP="00236E18">
      <w:pPr>
        <w:widowControl w:val="0"/>
        <w:tabs>
          <w:tab w:val="num" w:pos="690"/>
        </w:tabs>
        <w:jc w:val="both"/>
        <w:rPr>
          <w:sz w:val="20"/>
        </w:rPr>
      </w:pPr>
    </w:p>
    <w:p w:rsidR="00236E18" w:rsidRPr="00250BC6"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sidRPr="00250BC6">
        <w:rPr>
          <w:rFonts w:ascii="Arial" w:hAnsi="Arial" w:cs="Arial"/>
          <w:sz w:val="20"/>
          <w:lang w:val="es-ES"/>
        </w:rPr>
        <w:t>Conforme al Reglamento Financiero y la Reglamentación Financiera de la Organización, el presupuesto de la OMPI se prepara con arreglo al criterio de base contable de acumulación (o devengado) modificada</w:t>
      </w:r>
      <w:r w:rsidRPr="00250BC6">
        <w:rPr>
          <w:rStyle w:val="FootnoteReference"/>
          <w:rFonts w:ascii="Arial" w:hAnsi="Arial" w:cs="Arial"/>
          <w:sz w:val="20"/>
          <w:lang w:val="es-ES"/>
        </w:rPr>
        <w:footnoteReference w:id="6"/>
      </w:r>
      <w:r w:rsidRPr="00250BC6">
        <w:rPr>
          <w:rFonts w:ascii="Arial" w:hAnsi="Arial" w:cs="Arial"/>
          <w:sz w:val="20"/>
          <w:lang w:val="es-ES"/>
        </w:rPr>
        <w:t xml:space="preserve">.  El presupuesto de la OMPI sigue siendo sometido al examen y la aprobación de las Asambleas con frecuencia bienal.  El requisito de las IPSAS de presentación anual de informes sobre los estados financieros de la Organización también exige que la Organización presente su presupuesto con frecuencia anual.  Con ese fin, en el Anexo IX del presente documento se suministran cifras presupuestarias anuales, en relación tanto con los ingresos como con los gastos. </w:t>
      </w:r>
    </w:p>
    <w:p w:rsidR="00236E18" w:rsidRPr="00250BC6" w:rsidRDefault="00236E18" w:rsidP="00236E18">
      <w:pPr>
        <w:widowControl w:val="0"/>
        <w:tabs>
          <w:tab w:val="num" w:pos="690"/>
        </w:tabs>
        <w:jc w:val="both"/>
        <w:rPr>
          <w:sz w:val="20"/>
        </w:rPr>
      </w:pPr>
    </w:p>
    <w:p w:rsidR="00236E18" w:rsidRPr="00250BC6" w:rsidRDefault="00236E18" w:rsidP="00236E18">
      <w:pPr>
        <w:keepNext/>
        <w:keepLines/>
        <w:jc w:val="center"/>
        <w:rPr>
          <w:b/>
          <w:sz w:val="20"/>
        </w:rPr>
      </w:pPr>
      <w:r w:rsidRPr="00250BC6">
        <w:rPr>
          <w:b/>
          <w:sz w:val="20"/>
        </w:rPr>
        <w:lastRenderedPageBreak/>
        <w:t>Cuadro 4.  Presupuesto propuesto para 2016/17, por programa</w:t>
      </w:r>
    </w:p>
    <w:p w:rsidR="00236E18" w:rsidRPr="00D609BF" w:rsidRDefault="00236E18" w:rsidP="00236E18">
      <w:pPr>
        <w:keepNext/>
        <w:keepLines/>
        <w:jc w:val="center"/>
        <w:rPr>
          <w:sz w:val="20"/>
        </w:rPr>
      </w:pPr>
      <w:r w:rsidRPr="00250BC6">
        <w:rPr>
          <w:i/>
          <w:sz w:val="20"/>
        </w:rPr>
        <w:t>(</w:t>
      </w:r>
      <w:proofErr w:type="gramStart"/>
      <w:r w:rsidRPr="00250BC6">
        <w:rPr>
          <w:i/>
          <w:sz w:val="20"/>
        </w:rPr>
        <w:t>en</w:t>
      </w:r>
      <w:proofErr w:type="gramEnd"/>
      <w:r w:rsidRPr="00250BC6">
        <w:rPr>
          <w:i/>
          <w:sz w:val="20"/>
        </w:rPr>
        <w:t xml:space="preserve"> miles de francos suizos)</w:t>
      </w:r>
    </w:p>
    <w:p w:rsidR="00236E18" w:rsidRPr="00362498" w:rsidRDefault="00236E18" w:rsidP="00236E18">
      <w:pPr>
        <w:keepNext/>
        <w:keepLines/>
        <w:widowControl w:val="0"/>
        <w:tabs>
          <w:tab w:val="num" w:pos="690"/>
        </w:tabs>
        <w:jc w:val="both"/>
        <w:rPr>
          <w:sz w:val="20"/>
        </w:rPr>
      </w:pPr>
    </w:p>
    <w:p w:rsidR="00236E18" w:rsidRPr="00362498" w:rsidRDefault="00236E18" w:rsidP="00236E18">
      <w:pPr>
        <w:keepNext/>
        <w:keepLines/>
        <w:widowControl w:val="0"/>
        <w:tabs>
          <w:tab w:val="num" w:pos="690"/>
          <w:tab w:val="left" w:pos="7655"/>
        </w:tabs>
        <w:jc w:val="center"/>
      </w:pPr>
      <w:r w:rsidRPr="002976EE">
        <w:rPr>
          <w:noProof/>
          <w:lang w:val="en-US" w:eastAsia="en-US"/>
        </w:rPr>
        <w:drawing>
          <wp:inline distT="0" distB="0" distL="0" distR="0" wp14:anchorId="165997BD" wp14:editId="061EF49F">
            <wp:extent cx="5940425" cy="6009441"/>
            <wp:effectExtent l="0" t="0" r="3175" b="0"/>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6009441"/>
                    </a:xfrm>
                    <a:prstGeom prst="rect">
                      <a:avLst/>
                    </a:prstGeom>
                    <a:noFill/>
                    <a:ln>
                      <a:noFill/>
                    </a:ln>
                  </pic:spPr>
                </pic:pic>
              </a:graphicData>
            </a:graphic>
          </wp:inline>
        </w:drawing>
      </w:r>
    </w:p>
    <w:p w:rsidR="00236E18" w:rsidRPr="00362498" w:rsidRDefault="00236E18" w:rsidP="00236E18">
      <w:pPr>
        <w:widowControl w:val="0"/>
        <w:tabs>
          <w:tab w:val="num" w:pos="690"/>
        </w:tabs>
        <w:jc w:val="both"/>
        <w:rPr>
          <w:b/>
          <w:color w:val="000000"/>
          <w:sz w:val="20"/>
        </w:rPr>
      </w:pPr>
    </w:p>
    <w:p w:rsidR="00236E18" w:rsidRPr="00362498" w:rsidRDefault="00236E18" w:rsidP="00236E18">
      <w:pPr>
        <w:widowControl w:val="0"/>
        <w:tabs>
          <w:tab w:val="num" w:pos="690"/>
        </w:tabs>
        <w:jc w:val="both"/>
        <w:rPr>
          <w:b/>
          <w:color w:val="000000"/>
          <w:sz w:val="20"/>
        </w:rPr>
      </w:pPr>
    </w:p>
    <w:p w:rsidR="00236E18" w:rsidRPr="00362498" w:rsidRDefault="00236E18" w:rsidP="00236E18">
      <w:pPr>
        <w:widowControl w:val="0"/>
        <w:tabs>
          <w:tab w:val="num" w:pos="690"/>
        </w:tabs>
        <w:jc w:val="both"/>
        <w:rPr>
          <w:b/>
          <w:color w:val="000000"/>
          <w:sz w:val="20"/>
        </w:rPr>
      </w:pPr>
      <w:r>
        <w:rPr>
          <w:b/>
          <w:color w:val="000000"/>
          <w:sz w:val="20"/>
        </w:rPr>
        <w:t>Principales prioridades en el bienio</w:t>
      </w:r>
    </w:p>
    <w:p w:rsidR="00236E18" w:rsidRPr="00362498" w:rsidRDefault="00236E18" w:rsidP="00236E18">
      <w:pPr>
        <w:widowControl w:val="0"/>
        <w:tabs>
          <w:tab w:val="num" w:pos="690"/>
        </w:tabs>
        <w:jc w:val="both"/>
        <w:rPr>
          <w:color w:val="000000"/>
          <w:sz w:val="20"/>
        </w:rPr>
      </w:pPr>
    </w:p>
    <w:p w:rsidR="00236E18" w:rsidRDefault="00236E18" w:rsidP="00236E18">
      <w:pPr>
        <w:pStyle w:val="ListParagraph"/>
        <w:widowControl w:val="0"/>
        <w:numPr>
          <w:ilvl w:val="0"/>
          <w:numId w:val="5"/>
        </w:numPr>
        <w:tabs>
          <w:tab w:val="left" w:pos="567"/>
        </w:tabs>
        <w:ind w:left="0" w:firstLine="0"/>
        <w:jc w:val="both"/>
        <w:rPr>
          <w:rFonts w:ascii="Arial" w:hAnsi="Arial"/>
          <w:sz w:val="20"/>
          <w:lang w:val="es-ES"/>
        </w:rPr>
      </w:pPr>
      <w:r>
        <w:rPr>
          <w:rFonts w:ascii="Arial" w:hAnsi="Arial"/>
          <w:sz w:val="20"/>
          <w:lang w:val="es-ES"/>
        </w:rPr>
        <w:t>Velar por que se utilicen de manera más generalizada y eficaz los servicios que prestan los sistemas mundiales de registro de la OMPI, sobre todo, los Sistemas del PCT, de Madrid y de La Haya</w:t>
      </w:r>
      <w:r w:rsidRPr="00B97C03">
        <w:rPr>
          <w:rFonts w:ascii="Arial" w:hAnsi="Arial"/>
          <w:sz w:val="20"/>
          <w:lang w:val="es-ES"/>
        </w:rPr>
        <w:t xml:space="preserve"> </w:t>
      </w:r>
      <w:r>
        <w:rPr>
          <w:rFonts w:ascii="Arial" w:hAnsi="Arial"/>
          <w:sz w:val="20"/>
          <w:lang w:val="es-ES"/>
        </w:rPr>
        <w:t>sigue siendo una prioridad fundamental de cara al bienio 2016/17.  Dotar de los recursos apropiados y suficientes a los programas que prestan los servicios de registro, que constituyen la base principal de la sostenibilidad financiera a largo plazo de la Organización, es esencial para garantizar que la OMPI cumpla las obligaciones previstas en los tratados y siga satisfaciendo las demandas de los solicitantes mediante unos servicios de alta calidad.  Para ello, será necesario afrontar los desafíos que plantean los cambios en la composición geográfica de los usuarios de dichos servicios, sin olvidarse de atender a las correspondientes competencias lingüísticas, y el rápido aumento del número de miembros participantes, especialmente en los Sistemas de Madrid y de La Haya.  Asimismo, seguirá siendo prioritario que los sistemas de registro funcionen eficazmente a medida que la OMPI sigue avanzando en el establecimiento de un entorno completamente electrónico para los Sistemas del PCT, de Madrid y de La Haya.</w:t>
      </w:r>
    </w:p>
    <w:p w:rsidR="00236E18" w:rsidRPr="00362498" w:rsidRDefault="00236E18" w:rsidP="00236E18">
      <w:pPr>
        <w:pStyle w:val="ListParagraph"/>
        <w:widowControl w:val="0"/>
        <w:tabs>
          <w:tab w:val="left" w:pos="567"/>
        </w:tabs>
        <w:ind w:left="0"/>
        <w:jc w:val="both"/>
        <w:rPr>
          <w:rFonts w:ascii="Arial" w:hAnsi="Arial"/>
          <w:sz w:val="20"/>
          <w:lang w:val="es-ES"/>
        </w:rPr>
      </w:pPr>
    </w:p>
    <w:p w:rsidR="00236E18" w:rsidRPr="00362498" w:rsidRDefault="00236E18" w:rsidP="00236E18">
      <w:pPr>
        <w:pStyle w:val="ListParagraph"/>
        <w:keepLines/>
        <w:numPr>
          <w:ilvl w:val="0"/>
          <w:numId w:val="7"/>
        </w:numPr>
        <w:tabs>
          <w:tab w:val="right" w:pos="1134"/>
        </w:tabs>
        <w:ind w:left="1134" w:hanging="567"/>
        <w:jc w:val="both"/>
        <w:rPr>
          <w:rFonts w:ascii="Arial" w:hAnsi="Arial"/>
          <w:i/>
          <w:sz w:val="20"/>
          <w:lang w:val="es-ES"/>
        </w:rPr>
      </w:pPr>
      <w:r>
        <w:rPr>
          <w:rFonts w:ascii="Arial" w:hAnsi="Arial"/>
          <w:i/>
          <w:sz w:val="20"/>
          <w:lang w:val="es-ES"/>
        </w:rPr>
        <w:lastRenderedPageBreak/>
        <w:t>La correspondiente dotación global de recursos para el Sistema de La Haya queda reflejada en el programa 31 (Sistema de La Haya) y los aumentos correspondientes a los Sistemas del PCT y de Madrid quedan reflejados en el programa 5 (PCT) y el programa 6 (Sistema de Madrid)</w:t>
      </w:r>
      <w:r w:rsidRPr="00362498">
        <w:rPr>
          <w:rFonts w:ascii="Arial" w:hAnsi="Arial"/>
          <w:i/>
          <w:sz w:val="20"/>
          <w:lang w:val="es-ES"/>
        </w:rPr>
        <w:t xml:space="preserve">. </w:t>
      </w:r>
    </w:p>
    <w:p w:rsidR="00236E18" w:rsidRPr="00362498" w:rsidRDefault="00236E18" w:rsidP="00236E18">
      <w:pPr>
        <w:tabs>
          <w:tab w:val="left" w:pos="567"/>
        </w:tabs>
        <w:jc w:val="both"/>
        <w:rPr>
          <w:sz w:val="20"/>
        </w:rPr>
      </w:pPr>
    </w:p>
    <w:p w:rsidR="00236E18" w:rsidRPr="0068170E" w:rsidRDefault="00236E18" w:rsidP="00236E18">
      <w:pPr>
        <w:pStyle w:val="ListParagraph"/>
        <w:widowControl w:val="0"/>
        <w:numPr>
          <w:ilvl w:val="0"/>
          <w:numId w:val="5"/>
        </w:numPr>
        <w:tabs>
          <w:tab w:val="left" w:pos="567"/>
        </w:tabs>
        <w:ind w:left="0" w:firstLine="0"/>
        <w:jc w:val="both"/>
        <w:rPr>
          <w:rFonts w:ascii="Arial" w:hAnsi="Arial"/>
          <w:sz w:val="20"/>
          <w:lang w:val="es-ES"/>
        </w:rPr>
      </w:pPr>
      <w:r>
        <w:rPr>
          <w:rFonts w:ascii="Arial" w:hAnsi="Arial" w:cs="Arial"/>
          <w:bCs/>
          <w:sz w:val="20"/>
          <w:lang w:val="es-ES"/>
        </w:rPr>
        <w:t>Habida cuenta de</w:t>
      </w:r>
      <w:r w:rsidRPr="0068170E">
        <w:rPr>
          <w:rFonts w:ascii="Arial" w:hAnsi="Arial" w:cs="Arial"/>
          <w:bCs/>
          <w:sz w:val="20"/>
          <w:lang w:val="es-ES"/>
        </w:rPr>
        <w:t xml:space="preserve"> que </w:t>
      </w:r>
      <w:r>
        <w:rPr>
          <w:rFonts w:ascii="Arial" w:hAnsi="Arial" w:cs="Arial"/>
          <w:bCs/>
          <w:sz w:val="20"/>
          <w:lang w:val="es-ES"/>
        </w:rPr>
        <w:t xml:space="preserve">hay </w:t>
      </w:r>
      <w:r w:rsidRPr="0068170E">
        <w:rPr>
          <w:rFonts w:ascii="Arial" w:hAnsi="Arial" w:cs="Arial"/>
          <w:bCs/>
          <w:sz w:val="20"/>
          <w:lang w:val="es-ES"/>
        </w:rPr>
        <w:t>cada vez más amenazas a las operaciones de la OMPI procedentes del entorno externo, se fortalecerán las capacidades de planificación para casos de emergencia mediante la creación de un marco institucional de reacción</w:t>
      </w:r>
      <w:r>
        <w:rPr>
          <w:rFonts w:ascii="Arial" w:hAnsi="Arial" w:cs="Arial"/>
          <w:bCs/>
          <w:sz w:val="20"/>
          <w:lang w:val="es-ES"/>
        </w:rPr>
        <w:t xml:space="preserve"> y recuperación</w:t>
      </w:r>
      <w:r w:rsidRPr="0068170E">
        <w:rPr>
          <w:rFonts w:ascii="Arial" w:hAnsi="Arial" w:cs="Arial"/>
          <w:bCs/>
          <w:sz w:val="20"/>
          <w:lang w:val="es-ES"/>
        </w:rPr>
        <w:t xml:space="preserve"> con el fin de mitigar o minimizar, en la medida de lo posible, la repercusión de las interrupciones de las operaciones esenciales de la Organización.</w:t>
      </w:r>
    </w:p>
    <w:p w:rsidR="00236E18" w:rsidRPr="00362498" w:rsidRDefault="00236E18" w:rsidP="00236E18">
      <w:pPr>
        <w:pStyle w:val="ListParagraph"/>
        <w:widowControl w:val="0"/>
        <w:tabs>
          <w:tab w:val="left" w:pos="567"/>
        </w:tabs>
        <w:ind w:left="0"/>
        <w:jc w:val="both"/>
        <w:rPr>
          <w:rFonts w:ascii="Arial" w:hAnsi="Arial"/>
          <w:sz w:val="20"/>
          <w:lang w:val="es-ES"/>
        </w:rPr>
      </w:pPr>
    </w:p>
    <w:p w:rsidR="00236E18" w:rsidRPr="00B47DAB" w:rsidRDefault="00236E18" w:rsidP="00236E18">
      <w:pPr>
        <w:pStyle w:val="ListParagraph"/>
        <w:widowControl w:val="0"/>
        <w:numPr>
          <w:ilvl w:val="0"/>
          <w:numId w:val="7"/>
        </w:numPr>
        <w:tabs>
          <w:tab w:val="left" w:pos="567"/>
        </w:tabs>
        <w:ind w:left="1170" w:hanging="630"/>
        <w:jc w:val="both"/>
        <w:rPr>
          <w:rFonts w:ascii="Arial" w:hAnsi="Arial"/>
          <w:sz w:val="20"/>
          <w:lang w:val="es-ES"/>
        </w:rPr>
      </w:pPr>
      <w:r w:rsidRPr="00A25220">
        <w:rPr>
          <w:rFonts w:ascii="Arial" w:hAnsi="Arial"/>
          <w:i/>
          <w:sz w:val="20"/>
          <w:lang w:val="es-ES"/>
        </w:rPr>
        <w:t>L</w:t>
      </w:r>
      <w:r>
        <w:rPr>
          <w:rFonts w:ascii="Arial" w:hAnsi="Arial"/>
          <w:i/>
          <w:sz w:val="20"/>
          <w:lang w:val="es-ES"/>
        </w:rPr>
        <w:t>a correspondiente dotación global de</w:t>
      </w:r>
      <w:r w:rsidRPr="00A25220">
        <w:rPr>
          <w:rFonts w:ascii="Arial" w:hAnsi="Arial"/>
          <w:i/>
          <w:sz w:val="20"/>
          <w:lang w:val="es-ES"/>
        </w:rPr>
        <w:t xml:space="preserve"> recursos queda reflejad</w:t>
      </w:r>
      <w:r>
        <w:rPr>
          <w:rFonts w:ascii="Arial" w:hAnsi="Arial"/>
          <w:i/>
          <w:sz w:val="20"/>
          <w:lang w:val="es-ES"/>
        </w:rPr>
        <w:t>a en el programa 21 (Gestión ejecutiva).</w:t>
      </w:r>
    </w:p>
    <w:p w:rsidR="00236E18" w:rsidRPr="0051271B" w:rsidRDefault="00236E18" w:rsidP="00236E18">
      <w:pPr>
        <w:pStyle w:val="ListParagraph"/>
        <w:widowControl w:val="0"/>
        <w:tabs>
          <w:tab w:val="left" w:pos="567"/>
        </w:tabs>
        <w:ind w:left="1170"/>
        <w:jc w:val="both"/>
        <w:rPr>
          <w:rFonts w:ascii="Arial" w:hAnsi="Arial"/>
          <w:sz w:val="20"/>
          <w:lang w:val="es-ES"/>
        </w:rPr>
      </w:pPr>
    </w:p>
    <w:p w:rsidR="00236E18" w:rsidRPr="0051271B"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51271B">
        <w:rPr>
          <w:rFonts w:ascii="Arial" w:hAnsi="Arial" w:cs="Arial"/>
          <w:bCs/>
          <w:sz w:val="20"/>
          <w:lang w:val="es-ES"/>
        </w:rPr>
        <w:t>La Organización depende más que nunca de una infraestructura y unos servicios de TIC fiables y eficaces.  Los usuarios mundiales esperan que los servicios de TIC de la OMPI respondan más adecuadamente a sus necesidades, y sean cada vez más fiables, accesibles y seguros ante los desastres naturales y los humanos, como los ciberataques.  Por lo tanto, la seguridad de la información y la continuidad de las operaciones cobran máxima prioridad y serán el centro de la atención a lo largo del siguiente bienio</w:t>
      </w:r>
      <w:r w:rsidRPr="0051271B">
        <w:rPr>
          <w:rFonts w:ascii="Arial" w:hAnsi="Arial"/>
          <w:sz w:val="20"/>
          <w:lang w:val="es-ES"/>
        </w:rPr>
        <w:t>.</w:t>
      </w:r>
    </w:p>
    <w:p w:rsidR="00236E18" w:rsidRPr="0051271B" w:rsidRDefault="00236E18" w:rsidP="00236E18">
      <w:pPr>
        <w:pStyle w:val="ListParagraph"/>
        <w:widowControl w:val="0"/>
        <w:tabs>
          <w:tab w:val="left" w:pos="567"/>
        </w:tabs>
        <w:ind w:left="0"/>
        <w:jc w:val="both"/>
        <w:rPr>
          <w:rFonts w:ascii="Arial" w:hAnsi="Arial"/>
          <w:sz w:val="20"/>
          <w:lang w:val="es-ES"/>
        </w:rPr>
      </w:pPr>
    </w:p>
    <w:p w:rsidR="00236E18" w:rsidRPr="0051271B" w:rsidRDefault="00236E18" w:rsidP="00236E18">
      <w:pPr>
        <w:pStyle w:val="ListParagraph"/>
        <w:numPr>
          <w:ilvl w:val="0"/>
          <w:numId w:val="7"/>
        </w:numPr>
        <w:tabs>
          <w:tab w:val="right" w:pos="1134"/>
        </w:tabs>
        <w:ind w:left="1134" w:hanging="567"/>
        <w:jc w:val="both"/>
        <w:rPr>
          <w:rFonts w:ascii="Arial" w:hAnsi="Arial"/>
          <w:i/>
          <w:sz w:val="20"/>
          <w:lang w:val="es-ES"/>
        </w:rPr>
      </w:pPr>
      <w:r>
        <w:rPr>
          <w:rFonts w:ascii="Arial" w:hAnsi="Arial"/>
          <w:i/>
          <w:sz w:val="20"/>
          <w:lang w:val="es-ES"/>
        </w:rPr>
        <w:t xml:space="preserve">El correspondiente aumento en la dotación global de </w:t>
      </w:r>
      <w:r w:rsidRPr="0051271B">
        <w:rPr>
          <w:rFonts w:ascii="Arial" w:hAnsi="Arial"/>
          <w:i/>
          <w:sz w:val="20"/>
          <w:lang w:val="es-ES"/>
        </w:rPr>
        <w:t xml:space="preserve">recursos queda reflejado en el programa 5 (PCT), el programa 25 (Tecnologías de la información y de las comunicaciones) y el programa 28 (Aseguramiento de la información, seguridad y vigilancia). </w:t>
      </w:r>
    </w:p>
    <w:p w:rsidR="00236E18" w:rsidRPr="0051271B" w:rsidRDefault="00236E18" w:rsidP="00236E18">
      <w:pPr>
        <w:tabs>
          <w:tab w:val="left" w:pos="567"/>
        </w:tabs>
        <w:jc w:val="both"/>
        <w:rPr>
          <w:i/>
          <w:sz w:val="20"/>
        </w:rPr>
      </w:pPr>
    </w:p>
    <w:p w:rsidR="00236E18" w:rsidRPr="0051271B"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51271B">
        <w:rPr>
          <w:rFonts w:ascii="Arial" w:hAnsi="Arial"/>
          <w:sz w:val="20"/>
          <w:lang w:val="es-ES"/>
        </w:rPr>
        <w:t>Se seguirá facilitando la cooperación y el acuerdo entre los Estados miembros a fin de seguir desarrollando un marco normativo equilibrado a nivel internacional para la P.I. en 2016/17, teniendo en cuenta las decisiones de los Estados miembros.  La hipótesis de planificación para 2016/17 comprende tres sesiones del Comité Permanente sobre el Derecho de Patentes (SCP) y el Comité Permanente sobre el Derecho de Marcas, Diseños Industriales e Indicaciones Geográficas (SCT) y hasta cuatro sesiones del Comité Permanente de Derecho de Autor y Derechos Conexos (SCCR) y el Comité Intergubernamental sobre Propiedad Intelectual y Recursos Genéticos, Conocimientos Tradicionales y Folclore (CIG), reflejadas en el programa 1 (Derecho de patentes), el programa 2 (Derecho de marcas</w:t>
      </w:r>
      <w:r>
        <w:rPr>
          <w:rFonts w:ascii="Arial" w:hAnsi="Arial"/>
          <w:sz w:val="20"/>
          <w:lang w:val="es-ES"/>
        </w:rPr>
        <w:t>, diseños industriales e indicaciones geográficas</w:t>
      </w:r>
      <w:r w:rsidRPr="0051271B">
        <w:rPr>
          <w:rFonts w:ascii="Arial" w:hAnsi="Arial"/>
          <w:sz w:val="20"/>
          <w:lang w:val="es-ES"/>
        </w:rPr>
        <w:t>), el programa 3 (Derecho de autor y derechos conexos) y el programa 4 (Conocimientos tradicionales, expresiones culturales tradicionales y recursos genéticos).</w:t>
      </w:r>
    </w:p>
    <w:p w:rsidR="00236E18" w:rsidRPr="0051271B" w:rsidRDefault="00236E18" w:rsidP="00236E18">
      <w:pPr>
        <w:pStyle w:val="ListParagraph"/>
        <w:widowControl w:val="0"/>
        <w:tabs>
          <w:tab w:val="left" w:pos="567"/>
        </w:tabs>
        <w:ind w:left="0"/>
        <w:jc w:val="both"/>
        <w:rPr>
          <w:rFonts w:ascii="Arial" w:hAnsi="Arial"/>
          <w:sz w:val="20"/>
          <w:lang w:val="es-ES"/>
        </w:rPr>
      </w:pPr>
      <w:r w:rsidRPr="0051271B">
        <w:rPr>
          <w:rFonts w:ascii="Arial" w:hAnsi="Arial"/>
          <w:sz w:val="20"/>
          <w:lang w:val="es-ES"/>
        </w:rPr>
        <w:t xml:space="preserve"> </w:t>
      </w:r>
    </w:p>
    <w:p w:rsidR="00236E18" w:rsidRPr="0051271B" w:rsidRDefault="00236E18" w:rsidP="00236E18">
      <w:pPr>
        <w:pStyle w:val="ListParagraph"/>
        <w:numPr>
          <w:ilvl w:val="0"/>
          <w:numId w:val="7"/>
        </w:numPr>
        <w:tabs>
          <w:tab w:val="right" w:pos="1134"/>
        </w:tabs>
        <w:ind w:left="1134" w:hanging="567"/>
        <w:jc w:val="both"/>
        <w:rPr>
          <w:rFonts w:ascii="Arial" w:hAnsi="Arial"/>
          <w:i/>
          <w:sz w:val="20"/>
          <w:lang w:val="es-ES"/>
        </w:rPr>
      </w:pPr>
      <w:r w:rsidRPr="0051271B">
        <w:rPr>
          <w:rFonts w:ascii="Arial" w:hAnsi="Arial"/>
          <w:i/>
          <w:sz w:val="20"/>
          <w:lang w:val="es-ES"/>
        </w:rPr>
        <w:t>Se ha establecido una asignación de 1 millón de francos suizos en el presupuesto para poder celebrar una conferencia diplomática en caso de que los Estados miembros convoquen una en el bienio 2016/17.  La asignación queda reflejada en el rubro “Sin consignar”.</w:t>
      </w:r>
    </w:p>
    <w:p w:rsidR="00236E18" w:rsidRPr="0051271B" w:rsidRDefault="00236E18" w:rsidP="00236E18">
      <w:pPr>
        <w:tabs>
          <w:tab w:val="left" w:pos="567"/>
        </w:tabs>
        <w:jc w:val="both"/>
        <w:rPr>
          <w:sz w:val="20"/>
        </w:rPr>
      </w:pPr>
    </w:p>
    <w:p w:rsidR="00236E18" w:rsidRPr="0051271B"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51271B">
        <w:rPr>
          <w:rFonts w:ascii="Arial" w:hAnsi="Arial"/>
          <w:sz w:val="20"/>
          <w:lang w:val="es-ES"/>
        </w:rPr>
        <w:t>Proseguirá la labor destinada a fomentar la adhesión a los tratados de la OMPI y su aplicación, especialmente, el Tratado de Beijing, el Tratado de Marrakech, los Tratados Internet de la OMPI, el Tratado de Singapur y el Tratado sobre el Derecho de Patentes</w:t>
      </w:r>
      <w:r w:rsidRPr="0051271B">
        <w:rPr>
          <w:rFonts w:ascii="Arial" w:hAnsi="Arial" w:cs="Arial"/>
          <w:sz w:val="20"/>
          <w:lang w:val="es-ES"/>
        </w:rPr>
        <w:t>.</w:t>
      </w:r>
    </w:p>
    <w:p w:rsidR="00236E18" w:rsidRPr="0051271B" w:rsidRDefault="00236E18" w:rsidP="00236E18">
      <w:pPr>
        <w:pStyle w:val="ListParagraph"/>
        <w:widowControl w:val="0"/>
        <w:tabs>
          <w:tab w:val="left" w:pos="567"/>
        </w:tabs>
        <w:ind w:left="0"/>
        <w:jc w:val="both"/>
        <w:rPr>
          <w:rFonts w:ascii="Arial" w:hAnsi="Arial"/>
          <w:sz w:val="20"/>
          <w:lang w:val="es-ES"/>
        </w:rPr>
      </w:pPr>
    </w:p>
    <w:p w:rsidR="00236E18" w:rsidRPr="0051271B" w:rsidRDefault="00236E18" w:rsidP="00236E18">
      <w:pPr>
        <w:pStyle w:val="ListParagraph"/>
        <w:numPr>
          <w:ilvl w:val="0"/>
          <w:numId w:val="7"/>
        </w:numPr>
        <w:tabs>
          <w:tab w:val="right" w:pos="1134"/>
        </w:tabs>
        <w:ind w:left="1134" w:hanging="567"/>
        <w:jc w:val="both"/>
        <w:rPr>
          <w:rFonts w:ascii="Arial" w:hAnsi="Arial"/>
          <w:i/>
          <w:sz w:val="20"/>
          <w:lang w:val="es-ES"/>
        </w:rPr>
      </w:pPr>
      <w:r w:rsidRPr="0051271B">
        <w:rPr>
          <w:rFonts w:ascii="Arial" w:hAnsi="Arial"/>
          <w:i/>
          <w:sz w:val="20"/>
          <w:lang w:val="es-ES"/>
        </w:rPr>
        <w:t>L</w:t>
      </w:r>
      <w:r>
        <w:rPr>
          <w:rFonts w:ascii="Arial" w:hAnsi="Arial"/>
          <w:i/>
          <w:sz w:val="20"/>
          <w:lang w:val="es-ES"/>
        </w:rPr>
        <w:t>a correspondiente dotación global de</w:t>
      </w:r>
      <w:r w:rsidRPr="0051271B">
        <w:rPr>
          <w:rFonts w:ascii="Arial" w:hAnsi="Arial"/>
          <w:i/>
          <w:sz w:val="20"/>
          <w:lang w:val="es-ES"/>
        </w:rPr>
        <w:t xml:space="preserve"> recursos queda reflejad</w:t>
      </w:r>
      <w:r>
        <w:rPr>
          <w:rFonts w:ascii="Arial" w:hAnsi="Arial"/>
          <w:i/>
          <w:sz w:val="20"/>
          <w:lang w:val="es-ES"/>
        </w:rPr>
        <w:t>a</w:t>
      </w:r>
      <w:r w:rsidRPr="0051271B">
        <w:rPr>
          <w:rFonts w:ascii="Arial" w:hAnsi="Arial"/>
          <w:i/>
          <w:sz w:val="20"/>
          <w:lang w:val="es-ES"/>
        </w:rPr>
        <w:t xml:space="preserve"> en el programa 1 (Derecho de patentes), el programa 2 (Marcas, diseños industriales e indicaciones geográficas) y el programa 3 (Derecho de autor y derechos conexos). </w:t>
      </w:r>
    </w:p>
    <w:p w:rsidR="00236E18" w:rsidRPr="00BC4BF1" w:rsidRDefault="00236E18" w:rsidP="00236E18">
      <w:pPr>
        <w:tabs>
          <w:tab w:val="left" w:pos="567"/>
        </w:tabs>
        <w:ind w:left="1080"/>
        <w:jc w:val="both"/>
        <w:rPr>
          <w:i/>
          <w:sz w:val="20"/>
        </w:rPr>
      </w:pPr>
    </w:p>
    <w:p w:rsidR="00236E18" w:rsidRPr="009C1D2C"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BC4BF1">
        <w:rPr>
          <w:rFonts w:ascii="Arial" w:hAnsi="Arial" w:cs="Arial"/>
          <w:sz w:val="20"/>
          <w:lang w:val="es-ES"/>
        </w:rPr>
        <w:t xml:space="preserve">El Centro de Datos Estadísticos de P.I. continuará facilitando todas las estadísticas a usuarios de todo el mundo.  </w:t>
      </w:r>
      <w:r w:rsidRPr="00BC4BF1">
        <w:rPr>
          <w:rFonts w:ascii="Arial" w:hAnsi="Arial"/>
          <w:sz w:val="20"/>
          <w:lang w:val="es-ES"/>
        </w:rPr>
        <w:t xml:space="preserve">Se harán esfuerzos especiales para recopilar y dar a conocer nuevas estadísticas sobre actividades relacionadas con las indicaciones geográficas y el derecho de autor y para seguir facilitando el uso de las estadísticas de la OMPI.  </w:t>
      </w:r>
      <w:r w:rsidRPr="00BC4BF1">
        <w:rPr>
          <w:rFonts w:ascii="Arial" w:hAnsi="Arial" w:cs="Arial"/>
          <w:sz w:val="20"/>
          <w:lang w:val="es-ES"/>
        </w:rPr>
        <w:t xml:space="preserve">En el ámbito del análisis económico, la OMPI continuará siendo </w:t>
      </w:r>
      <w:proofErr w:type="spellStart"/>
      <w:r w:rsidRPr="00BC4BF1">
        <w:rPr>
          <w:rFonts w:ascii="Arial" w:hAnsi="Arial" w:cs="Arial"/>
          <w:sz w:val="20"/>
          <w:lang w:val="es-ES"/>
        </w:rPr>
        <w:t>co</w:t>
      </w:r>
      <w:proofErr w:type="spellEnd"/>
      <w:r w:rsidRPr="00BC4BF1">
        <w:rPr>
          <w:rFonts w:ascii="Arial" w:hAnsi="Arial" w:cs="Arial"/>
          <w:sz w:val="20"/>
          <w:lang w:val="es-ES"/>
        </w:rPr>
        <w:t xml:space="preserve">-editor del Índice mundial de innovación en el empeño de coadyuvar a la medición de la innovación y proporcionar a los responsables de la adopción de políticas una herramienta apropiada para la evaluación comparativa de los resultados de la innovación.  La OMPI continuará asimismo publicando la serie "Informe mundial sobre la propiedad intelectual" con la voluntad de examinar </w:t>
      </w:r>
      <w:r>
        <w:rPr>
          <w:rFonts w:ascii="Arial" w:hAnsi="Arial" w:cs="Arial"/>
          <w:sz w:val="20"/>
          <w:lang w:val="es-ES"/>
        </w:rPr>
        <w:t xml:space="preserve">nuevos temas y profundizar los </w:t>
      </w:r>
      <w:r w:rsidRPr="00BC4BF1">
        <w:rPr>
          <w:rFonts w:ascii="Arial" w:hAnsi="Arial" w:cs="Arial"/>
          <w:sz w:val="20"/>
          <w:lang w:val="es-ES"/>
        </w:rPr>
        <w:t xml:space="preserve">análisis realizados hasta la fecha en torno a la problemática mundial de P.I.  </w:t>
      </w:r>
      <w:r>
        <w:rPr>
          <w:rFonts w:ascii="Arial" w:hAnsi="Arial" w:cs="Arial"/>
          <w:sz w:val="20"/>
          <w:lang w:val="es-ES"/>
        </w:rPr>
        <w:t>Además, en </w:t>
      </w:r>
      <w:r w:rsidRPr="00BC4BF1">
        <w:rPr>
          <w:rFonts w:ascii="Arial" w:hAnsi="Arial" w:cs="Arial"/>
          <w:sz w:val="20"/>
          <w:lang w:val="es-ES"/>
        </w:rPr>
        <w:t xml:space="preserve">2016/17 se establecerá una nueva línea de investigación en materia de política y desempeño en las industrias relacionadas con el derecho </w:t>
      </w:r>
      <w:r>
        <w:rPr>
          <w:rFonts w:ascii="Arial" w:hAnsi="Arial" w:cs="Arial"/>
          <w:sz w:val="20"/>
          <w:lang w:val="es-ES"/>
        </w:rPr>
        <w:t>de autor.</w:t>
      </w:r>
    </w:p>
    <w:p w:rsidR="00236E18" w:rsidRPr="00362498" w:rsidRDefault="00236E18" w:rsidP="00236E18">
      <w:pPr>
        <w:pStyle w:val="ListParagraph"/>
        <w:widowControl w:val="0"/>
        <w:tabs>
          <w:tab w:val="left" w:pos="567"/>
        </w:tabs>
        <w:ind w:left="0"/>
        <w:jc w:val="both"/>
        <w:rPr>
          <w:rFonts w:ascii="Arial" w:hAnsi="Arial"/>
          <w:sz w:val="20"/>
          <w:lang w:val="es-ES"/>
        </w:rPr>
      </w:pPr>
    </w:p>
    <w:p w:rsidR="00236E18" w:rsidRPr="00362498" w:rsidRDefault="00236E18" w:rsidP="00236E18">
      <w:pPr>
        <w:pStyle w:val="ListParagraph"/>
        <w:numPr>
          <w:ilvl w:val="0"/>
          <w:numId w:val="7"/>
        </w:numPr>
        <w:tabs>
          <w:tab w:val="right" w:pos="1134"/>
        </w:tabs>
        <w:ind w:left="1134" w:hanging="567"/>
        <w:jc w:val="both"/>
        <w:rPr>
          <w:rFonts w:ascii="Arial" w:hAnsi="Arial"/>
          <w:i/>
          <w:sz w:val="20"/>
          <w:lang w:val="es-ES"/>
        </w:rPr>
      </w:pPr>
      <w:r>
        <w:rPr>
          <w:rFonts w:ascii="Arial" w:hAnsi="Arial"/>
          <w:i/>
          <w:sz w:val="20"/>
          <w:lang w:val="es-ES"/>
        </w:rPr>
        <w:lastRenderedPageBreak/>
        <w:t xml:space="preserve">El correspondiente aumento en la dotación global de </w:t>
      </w:r>
      <w:r w:rsidRPr="0051271B">
        <w:rPr>
          <w:rFonts w:ascii="Arial" w:hAnsi="Arial"/>
          <w:i/>
          <w:sz w:val="20"/>
          <w:lang w:val="es-ES"/>
        </w:rPr>
        <w:t xml:space="preserve">recursos queda reflejado </w:t>
      </w:r>
      <w:r>
        <w:rPr>
          <w:rFonts w:ascii="Arial" w:hAnsi="Arial"/>
          <w:i/>
          <w:sz w:val="20"/>
          <w:lang w:val="es-ES"/>
        </w:rPr>
        <w:t>en el programa 16 (Economía y estadística).</w:t>
      </w:r>
    </w:p>
    <w:p w:rsidR="00236E18" w:rsidRPr="00362498" w:rsidRDefault="00236E18" w:rsidP="00236E18">
      <w:pPr>
        <w:tabs>
          <w:tab w:val="left" w:pos="567"/>
        </w:tabs>
        <w:ind w:left="1080"/>
        <w:jc w:val="both"/>
        <w:rPr>
          <w:i/>
          <w:sz w:val="20"/>
        </w:rPr>
      </w:pPr>
    </w:p>
    <w:p w:rsidR="00236E18" w:rsidRPr="00533DD3" w:rsidRDefault="00236E18" w:rsidP="00236E18">
      <w:pPr>
        <w:pStyle w:val="ListParagraph"/>
        <w:widowControl w:val="0"/>
        <w:numPr>
          <w:ilvl w:val="0"/>
          <w:numId w:val="5"/>
        </w:numPr>
        <w:tabs>
          <w:tab w:val="left" w:pos="567"/>
        </w:tabs>
        <w:ind w:left="0" w:firstLine="0"/>
        <w:jc w:val="both"/>
        <w:rPr>
          <w:rFonts w:ascii="Arial" w:hAnsi="Arial"/>
          <w:sz w:val="20"/>
          <w:lang w:val="es-ES"/>
        </w:rPr>
      </w:pPr>
      <w:r>
        <w:rPr>
          <w:rFonts w:ascii="Arial" w:hAnsi="Arial"/>
          <w:sz w:val="20"/>
          <w:lang w:val="es-ES"/>
        </w:rPr>
        <w:t xml:space="preserve">El desarrollo sigue siendo una prioridad en el bienio </w:t>
      </w:r>
      <w:r w:rsidRPr="00362498">
        <w:rPr>
          <w:rFonts w:ascii="Arial" w:hAnsi="Arial"/>
          <w:sz w:val="20"/>
          <w:lang w:val="es-ES"/>
        </w:rPr>
        <w:t xml:space="preserve">2016/17. </w:t>
      </w:r>
      <w:r>
        <w:rPr>
          <w:rFonts w:ascii="Arial" w:hAnsi="Arial"/>
          <w:sz w:val="20"/>
          <w:lang w:val="es-ES"/>
        </w:rPr>
        <w:t>Esta circunstancia ha dado lugar a que la cuota asignada al desarrollo siga manteniéndose en el 21,1% para el siguiente bienio.</w:t>
      </w:r>
      <w:r w:rsidRPr="00362498">
        <w:rPr>
          <w:rStyle w:val="FootnoteReference"/>
          <w:rFonts w:ascii="Arial" w:hAnsi="Arial"/>
          <w:sz w:val="20"/>
          <w:lang w:val="es-ES"/>
        </w:rPr>
        <w:footnoteReference w:id="7"/>
      </w:r>
    </w:p>
    <w:p w:rsidR="00236E18" w:rsidRPr="00362498" w:rsidRDefault="00236E18" w:rsidP="00236E18">
      <w:pPr>
        <w:pStyle w:val="ListParagraph"/>
        <w:widowControl w:val="0"/>
        <w:tabs>
          <w:tab w:val="left" w:pos="567"/>
        </w:tabs>
        <w:ind w:left="0"/>
        <w:jc w:val="both"/>
        <w:rPr>
          <w:rFonts w:ascii="Arial" w:hAnsi="Arial"/>
          <w:sz w:val="20"/>
          <w:lang w:val="es-ES"/>
        </w:rPr>
      </w:pPr>
    </w:p>
    <w:p w:rsidR="00236E18" w:rsidRPr="00362498" w:rsidRDefault="00236E18" w:rsidP="00236E18">
      <w:pPr>
        <w:pStyle w:val="ListParagraph"/>
        <w:numPr>
          <w:ilvl w:val="0"/>
          <w:numId w:val="7"/>
        </w:numPr>
        <w:tabs>
          <w:tab w:val="right" w:pos="1134"/>
        </w:tabs>
        <w:ind w:left="1134" w:hanging="567"/>
        <w:jc w:val="both"/>
        <w:rPr>
          <w:rFonts w:ascii="Arial" w:hAnsi="Arial"/>
          <w:i/>
          <w:sz w:val="20"/>
          <w:lang w:val="es-ES"/>
        </w:rPr>
      </w:pPr>
      <w:r>
        <w:rPr>
          <w:rFonts w:ascii="Arial" w:hAnsi="Arial"/>
          <w:i/>
          <w:sz w:val="20"/>
          <w:lang w:val="es-ES"/>
        </w:rPr>
        <w:t xml:space="preserve">Esto representa un aumento absoluto de las estimaciones de gastos destinados a desarrollo del 4% en comparación con el presupuesto aprobado de </w:t>
      </w:r>
      <w:r w:rsidRPr="00362498">
        <w:rPr>
          <w:rFonts w:ascii="Arial" w:hAnsi="Arial"/>
          <w:i/>
          <w:sz w:val="20"/>
          <w:lang w:val="es-ES"/>
        </w:rPr>
        <w:t>2014/15</w:t>
      </w:r>
      <w:r>
        <w:rPr>
          <w:rFonts w:ascii="Arial" w:hAnsi="Arial"/>
          <w:i/>
          <w:sz w:val="20"/>
          <w:lang w:val="es-ES"/>
        </w:rPr>
        <w:t>.</w:t>
      </w:r>
    </w:p>
    <w:p w:rsidR="00236E18" w:rsidRPr="00C47CC3" w:rsidRDefault="00236E18" w:rsidP="00236E18">
      <w:pPr>
        <w:jc w:val="both"/>
        <w:rPr>
          <w:sz w:val="20"/>
        </w:rPr>
      </w:pPr>
    </w:p>
    <w:p w:rsidR="00236E18" w:rsidRPr="00C47CC3" w:rsidRDefault="00236E18" w:rsidP="00236E18">
      <w:pPr>
        <w:pStyle w:val="ListParagraph"/>
        <w:widowControl w:val="0"/>
        <w:numPr>
          <w:ilvl w:val="0"/>
          <w:numId w:val="5"/>
        </w:numPr>
        <w:tabs>
          <w:tab w:val="left" w:pos="567"/>
        </w:tabs>
        <w:ind w:left="0" w:firstLine="0"/>
        <w:jc w:val="both"/>
        <w:rPr>
          <w:rFonts w:ascii="Arial" w:hAnsi="Arial" w:cs="Arial"/>
          <w:bCs/>
          <w:sz w:val="20"/>
          <w:lang w:val="es-ES"/>
        </w:rPr>
      </w:pPr>
      <w:r w:rsidRPr="00C47CC3">
        <w:rPr>
          <w:rFonts w:ascii="Arial" w:hAnsi="Arial"/>
          <w:sz w:val="20"/>
          <w:lang w:val="es-ES"/>
        </w:rPr>
        <w:t>Las recomendaciones de la A.D. siguen orientando las actividades de la OMPI en el ámbito del desarrollo.  Los vínculos existentes entre los programas y las recomendaciones de la A.D. se reflejan de forma detallada en la descripción de cada programa.  Se han incorporado los proyectos de la A.D. en lo que atañe al contenido y a los recursos de cada programa en concordancia con el proceso presupuestario aplicado a los proyectos propuestos por el Comité de Desarrollo y Propiedad Intelectual (CDIP) para dar aplicación a las recomendaciones de la A.D. aprobadas por las Asambleas de la OMPI en 2010</w:t>
      </w:r>
      <w:r w:rsidRPr="00C47CC3">
        <w:rPr>
          <w:rStyle w:val="FootnoteReference"/>
          <w:rFonts w:ascii="Arial" w:hAnsi="Arial"/>
          <w:sz w:val="20"/>
          <w:lang w:val="es-ES"/>
        </w:rPr>
        <w:footnoteReference w:id="8"/>
      </w:r>
      <w:r w:rsidRPr="00C47CC3">
        <w:rPr>
          <w:rFonts w:ascii="Arial" w:hAnsi="Arial"/>
          <w:sz w:val="20"/>
          <w:lang w:val="es-ES"/>
        </w:rPr>
        <w:t>.</w:t>
      </w:r>
    </w:p>
    <w:p w:rsidR="00236E18" w:rsidRPr="00C47CC3" w:rsidRDefault="00236E18" w:rsidP="00236E18">
      <w:pPr>
        <w:pStyle w:val="ListParagraph"/>
        <w:widowControl w:val="0"/>
        <w:tabs>
          <w:tab w:val="left" w:pos="567"/>
        </w:tabs>
        <w:ind w:left="0"/>
        <w:jc w:val="both"/>
        <w:rPr>
          <w:rFonts w:ascii="Arial" w:hAnsi="Arial" w:cs="Arial"/>
          <w:bCs/>
          <w:sz w:val="20"/>
          <w:lang w:val="es-ES"/>
        </w:rPr>
      </w:pPr>
    </w:p>
    <w:p w:rsidR="00236E18" w:rsidRPr="00E14348" w:rsidRDefault="00236E18" w:rsidP="00236E18">
      <w:pPr>
        <w:pStyle w:val="ListParagraph"/>
        <w:numPr>
          <w:ilvl w:val="0"/>
          <w:numId w:val="7"/>
        </w:numPr>
        <w:tabs>
          <w:tab w:val="right" w:pos="1134"/>
        </w:tabs>
        <w:ind w:left="1134" w:hanging="567"/>
        <w:jc w:val="both"/>
        <w:rPr>
          <w:rFonts w:ascii="Arial" w:hAnsi="Arial" w:cs="Arial"/>
          <w:bCs/>
          <w:i/>
          <w:color w:val="000000"/>
          <w:sz w:val="20"/>
          <w:lang w:val="es-ES"/>
        </w:rPr>
      </w:pPr>
      <w:r w:rsidRPr="00E14348">
        <w:rPr>
          <w:rFonts w:ascii="Arial" w:hAnsi="Arial"/>
          <w:i/>
          <w:sz w:val="20"/>
          <w:lang w:val="es-ES"/>
        </w:rPr>
        <w:t>Se propone un total de seis proyectos de la A.D. en el bienio 2016/17</w:t>
      </w:r>
      <w:r w:rsidRPr="00362498">
        <w:rPr>
          <w:rStyle w:val="FootnoteReference"/>
          <w:rFonts w:ascii="Arial" w:hAnsi="Arial"/>
          <w:i/>
          <w:sz w:val="20"/>
          <w:lang w:val="es-ES"/>
        </w:rPr>
        <w:footnoteReference w:id="9"/>
      </w:r>
      <w:r w:rsidRPr="00E14348">
        <w:rPr>
          <w:rFonts w:ascii="Arial" w:hAnsi="Arial"/>
          <w:i/>
          <w:sz w:val="20"/>
          <w:lang w:val="es-ES"/>
        </w:rPr>
        <w:t>, sujetos a la aprobación del CDIP, y una asignación total de recursos de 2,5</w:t>
      </w:r>
      <w:r>
        <w:rPr>
          <w:rFonts w:ascii="Arial" w:hAnsi="Arial"/>
          <w:i/>
          <w:sz w:val="20"/>
          <w:lang w:val="es-ES"/>
        </w:rPr>
        <w:t xml:space="preserve"> millones de francos suizos</w:t>
      </w:r>
      <w:r w:rsidRPr="00362498">
        <w:rPr>
          <w:rStyle w:val="FootnoteReference"/>
          <w:rFonts w:ascii="Arial" w:hAnsi="Arial"/>
          <w:i/>
          <w:sz w:val="20"/>
          <w:lang w:val="es-ES"/>
        </w:rPr>
        <w:footnoteReference w:id="10"/>
      </w:r>
      <w:r>
        <w:rPr>
          <w:rFonts w:ascii="Arial" w:hAnsi="Arial"/>
          <w:i/>
          <w:sz w:val="20"/>
          <w:lang w:val="es-ES"/>
        </w:rPr>
        <w:t xml:space="preserve">. </w:t>
      </w:r>
    </w:p>
    <w:p w:rsidR="00236E18" w:rsidRPr="00362498" w:rsidRDefault="00236E18" w:rsidP="00236E18">
      <w:pPr>
        <w:jc w:val="both"/>
        <w:rPr>
          <w:i/>
          <w:sz w:val="20"/>
        </w:rPr>
      </w:pPr>
    </w:p>
    <w:p w:rsidR="00236E18" w:rsidRPr="00EF52EA"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sidRPr="00EF52EA">
        <w:rPr>
          <w:rFonts w:ascii="Arial" w:hAnsi="Arial"/>
          <w:sz w:val="20"/>
          <w:lang w:val="es-ES"/>
        </w:rPr>
        <w:t>Mediante la adopción prevista por los Estados miembros de las</w:t>
      </w:r>
      <w:r>
        <w:rPr>
          <w:rFonts w:ascii="Arial" w:hAnsi="Arial"/>
          <w:sz w:val="20"/>
          <w:lang w:val="es-ES"/>
        </w:rPr>
        <w:t xml:space="preserve"> Naciones Unidas (</w:t>
      </w:r>
      <w:r w:rsidRPr="00EF52EA">
        <w:rPr>
          <w:rFonts w:ascii="Arial" w:hAnsi="Arial"/>
          <w:sz w:val="20"/>
          <w:lang w:val="es-ES"/>
        </w:rPr>
        <w:t>NN.UU.</w:t>
      </w:r>
      <w:r>
        <w:rPr>
          <w:rFonts w:ascii="Arial" w:hAnsi="Arial"/>
          <w:sz w:val="20"/>
          <w:lang w:val="es-ES"/>
        </w:rPr>
        <w:t>)</w:t>
      </w:r>
      <w:r w:rsidRPr="00EF52EA">
        <w:rPr>
          <w:rFonts w:ascii="Arial" w:hAnsi="Arial"/>
          <w:sz w:val="20"/>
          <w:lang w:val="es-ES"/>
        </w:rPr>
        <w:t xml:space="preserve"> de la agenda para el desarrollo posterior a 2015 y de un nuevo acuerdo internacional sobre el cambio climático, las NN.UU. están dispuestas a pasar de la negociación a la acción.  La OMPI, en tanto que miembro firmemente comprometido de la familia de organizaci</w:t>
      </w:r>
      <w:r>
        <w:rPr>
          <w:rFonts w:ascii="Arial" w:hAnsi="Arial"/>
          <w:sz w:val="20"/>
          <w:lang w:val="es-ES"/>
        </w:rPr>
        <w:t>ones del sistema de las NN.UU.,</w:t>
      </w:r>
      <w:r w:rsidRPr="00EF52EA">
        <w:rPr>
          <w:rFonts w:ascii="Arial" w:hAnsi="Arial"/>
          <w:sz w:val="20"/>
          <w:lang w:val="es-ES"/>
        </w:rPr>
        <w:t xml:space="preserve"> al hacer suyo el espíritu y las recomendaciones de la Agenda de la OMPI para el Desarrollo, participará plenamente en la </w:t>
      </w:r>
      <w:r>
        <w:rPr>
          <w:rFonts w:ascii="Arial" w:hAnsi="Arial"/>
          <w:sz w:val="20"/>
          <w:lang w:val="es-ES"/>
        </w:rPr>
        <w:t>Alianza M</w:t>
      </w:r>
      <w:r w:rsidRPr="00EF52EA">
        <w:rPr>
          <w:rFonts w:ascii="Arial" w:hAnsi="Arial"/>
          <w:sz w:val="20"/>
          <w:lang w:val="es-ES"/>
        </w:rPr>
        <w:t xml:space="preserve">undial para el </w:t>
      </w:r>
      <w:r>
        <w:rPr>
          <w:rFonts w:ascii="Arial" w:hAnsi="Arial"/>
          <w:sz w:val="20"/>
          <w:lang w:val="es-ES"/>
        </w:rPr>
        <w:t>D</w:t>
      </w:r>
      <w:r w:rsidRPr="00EF52EA">
        <w:rPr>
          <w:rFonts w:ascii="Arial" w:hAnsi="Arial"/>
          <w:sz w:val="20"/>
          <w:lang w:val="es-ES"/>
        </w:rPr>
        <w:t xml:space="preserve">esarrollo con el fin de promover la aplicación de todos los elementos de la agenda para el desarrollo posterior a </w:t>
      </w:r>
      <w:r w:rsidRPr="00EF52EA">
        <w:rPr>
          <w:rFonts w:ascii="Arial" w:hAnsi="Arial" w:cs="Arial"/>
          <w:sz w:val="20"/>
          <w:lang w:val="es-ES"/>
        </w:rPr>
        <w:t>2015.</w:t>
      </w:r>
    </w:p>
    <w:p w:rsidR="00236E18" w:rsidRPr="00362498" w:rsidRDefault="00236E18" w:rsidP="00236E18">
      <w:pPr>
        <w:pStyle w:val="ListParagraph"/>
        <w:widowControl w:val="0"/>
        <w:tabs>
          <w:tab w:val="left" w:pos="567"/>
        </w:tabs>
        <w:ind w:left="0"/>
        <w:jc w:val="both"/>
        <w:rPr>
          <w:rFonts w:ascii="Arial" w:hAnsi="Arial" w:cs="Arial"/>
          <w:sz w:val="20"/>
          <w:lang w:val="es-ES"/>
        </w:rPr>
      </w:pPr>
    </w:p>
    <w:p w:rsidR="00236E18" w:rsidRDefault="00236E18" w:rsidP="00236E18">
      <w:pPr>
        <w:pStyle w:val="ListParagraph"/>
        <w:numPr>
          <w:ilvl w:val="0"/>
          <w:numId w:val="7"/>
        </w:numPr>
        <w:tabs>
          <w:tab w:val="left" w:pos="567"/>
          <w:tab w:val="right" w:pos="1134"/>
        </w:tabs>
        <w:ind w:left="1134" w:hanging="567"/>
        <w:jc w:val="both"/>
        <w:rPr>
          <w:rFonts w:ascii="Arial" w:hAnsi="Arial"/>
          <w:sz w:val="20"/>
          <w:lang w:val="es-ES"/>
        </w:rPr>
      </w:pPr>
      <w:r>
        <w:rPr>
          <w:rFonts w:ascii="Arial" w:hAnsi="Arial" w:cs="Arial"/>
          <w:sz w:val="20"/>
          <w:lang w:val="es-ES"/>
        </w:rPr>
        <w:t>La correspondiente dotación global de</w:t>
      </w:r>
      <w:r w:rsidRPr="00A25220">
        <w:rPr>
          <w:rFonts w:ascii="Arial" w:hAnsi="Arial" w:cs="Arial"/>
          <w:sz w:val="20"/>
          <w:lang w:val="es-ES"/>
        </w:rPr>
        <w:t xml:space="preserve"> recursos queda</w:t>
      </w:r>
      <w:r w:rsidRPr="00621B96">
        <w:rPr>
          <w:rFonts w:ascii="Arial" w:hAnsi="Arial" w:cs="Arial"/>
          <w:sz w:val="20"/>
          <w:lang w:val="es-ES"/>
        </w:rPr>
        <w:t xml:space="preserve"> reflejad</w:t>
      </w:r>
      <w:r>
        <w:rPr>
          <w:rFonts w:ascii="Arial" w:hAnsi="Arial" w:cs="Arial"/>
          <w:sz w:val="20"/>
          <w:lang w:val="es-ES"/>
        </w:rPr>
        <w:t>a</w:t>
      </w:r>
      <w:r w:rsidRPr="00621B96">
        <w:rPr>
          <w:rFonts w:ascii="Arial" w:hAnsi="Arial" w:cs="Arial"/>
          <w:sz w:val="20"/>
          <w:lang w:val="es-ES"/>
        </w:rPr>
        <w:t xml:space="preserve"> principalmente en los programas 9 (</w:t>
      </w:r>
      <w:r>
        <w:rPr>
          <w:rFonts w:ascii="Arial" w:hAnsi="Arial"/>
          <w:sz w:val="20"/>
          <w:lang w:val="es-ES"/>
        </w:rPr>
        <w:t xml:space="preserve">Países </w:t>
      </w:r>
      <w:r w:rsidRPr="00621B96">
        <w:rPr>
          <w:rFonts w:ascii="Arial" w:hAnsi="Arial"/>
          <w:sz w:val="20"/>
          <w:lang w:val="es-ES"/>
        </w:rPr>
        <w:t xml:space="preserve">africanos, árabes, de </w:t>
      </w:r>
      <w:r>
        <w:rPr>
          <w:rFonts w:ascii="Arial" w:hAnsi="Arial"/>
          <w:sz w:val="20"/>
          <w:lang w:val="es-ES"/>
        </w:rPr>
        <w:t>A</w:t>
      </w:r>
      <w:r w:rsidRPr="00621B96">
        <w:rPr>
          <w:rFonts w:ascii="Arial" w:hAnsi="Arial"/>
          <w:sz w:val="20"/>
          <w:lang w:val="es-ES"/>
        </w:rPr>
        <w:t xml:space="preserve">mérica </w:t>
      </w:r>
      <w:r>
        <w:rPr>
          <w:rFonts w:ascii="Arial" w:hAnsi="Arial"/>
          <w:sz w:val="20"/>
          <w:lang w:val="es-ES"/>
        </w:rPr>
        <w:t>L</w:t>
      </w:r>
      <w:r w:rsidRPr="00621B96">
        <w:rPr>
          <w:rFonts w:ascii="Arial" w:hAnsi="Arial"/>
          <w:sz w:val="20"/>
          <w:lang w:val="es-ES"/>
        </w:rPr>
        <w:t xml:space="preserve">atina y el </w:t>
      </w:r>
      <w:r>
        <w:rPr>
          <w:rFonts w:ascii="Arial" w:hAnsi="Arial"/>
          <w:sz w:val="20"/>
          <w:lang w:val="es-ES"/>
        </w:rPr>
        <w:t>C</w:t>
      </w:r>
      <w:r w:rsidRPr="00621B96">
        <w:rPr>
          <w:rFonts w:ascii="Arial" w:hAnsi="Arial"/>
          <w:sz w:val="20"/>
          <w:lang w:val="es-ES"/>
        </w:rPr>
        <w:t>aribe,</w:t>
      </w:r>
      <w:r>
        <w:rPr>
          <w:rFonts w:ascii="Arial" w:hAnsi="Arial"/>
          <w:sz w:val="20"/>
          <w:lang w:val="es-ES"/>
        </w:rPr>
        <w:t xml:space="preserve"> </w:t>
      </w:r>
      <w:r w:rsidRPr="00621B96">
        <w:rPr>
          <w:rFonts w:ascii="Arial" w:hAnsi="Arial"/>
          <w:sz w:val="20"/>
          <w:lang w:val="es-ES"/>
        </w:rPr>
        <w:t xml:space="preserve">de </w:t>
      </w:r>
      <w:r>
        <w:rPr>
          <w:rFonts w:ascii="Arial" w:hAnsi="Arial"/>
          <w:sz w:val="20"/>
          <w:lang w:val="es-ES"/>
        </w:rPr>
        <w:t>A</w:t>
      </w:r>
      <w:r w:rsidRPr="00621B96">
        <w:rPr>
          <w:rFonts w:ascii="Arial" w:hAnsi="Arial"/>
          <w:sz w:val="20"/>
          <w:lang w:val="es-ES"/>
        </w:rPr>
        <w:t xml:space="preserve">sia y el </w:t>
      </w:r>
      <w:r>
        <w:rPr>
          <w:rFonts w:ascii="Arial" w:hAnsi="Arial"/>
          <w:sz w:val="20"/>
          <w:lang w:val="es-ES"/>
        </w:rPr>
        <w:t>P</w:t>
      </w:r>
      <w:r w:rsidRPr="00621B96">
        <w:rPr>
          <w:rFonts w:ascii="Arial" w:hAnsi="Arial"/>
          <w:sz w:val="20"/>
          <w:lang w:val="es-ES"/>
        </w:rPr>
        <w:t>acíf</w:t>
      </w:r>
      <w:r>
        <w:rPr>
          <w:rFonts w:ascii="Arial" w:hAnsi="Arial"/>
          <w:sz w:val="20"/>
          <w:lang w:val="es-ES"/>
        </w:rPr>
        <w:t>ico, y países menos adelantados), 10 (Países con economías en transición y países desarrollados), 18 (La P.I. y los desafíos mundiales) y 20 (Relaciones exteriores, alianzas y oficinas en el exterior).</w:t>
      </w:r>
      <w:r w:rsidRPr="00621B96">
        <w:rPr>
          <w:rFonts w:ascii="Arial" w:hAnsi="Arial"/>
          <w:sz w:val="20"/>
          <w:lang w:val="es-ES"/>
        </w:rPr>
        <w:t xml:space="preserve"> </w:t>
      </w:r>
    </w:p>
    <w:p w:rsidR="00236E18" w:rsidRPr="00C47CC3" w:rsidRDefault="00236E18" w:rsidP="00236E18">
      <w:pPr>
        <w:tabs>
          <w:tab w:val="left" w:pos="567"/>
          <w:tab w:val="right" w:pos="1134"/>
        </w:tabs>
        <w:jc w:val="both"/>
        <w:rPr>
          <w:sz w:val="20"/>
        </w:rPr>
      </w:pPr>
    </w:p>
    <w:p w:rsidR="00236E18" w:rsidRPr="00C47CC3"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C47CC3">
        <w:rPr>
          <w:rFonts w:ascii="Arial" w:hAnsi="Arial"/>
          <w:sz w:val="20"/>
          <w:lang w:val="es-ES"/>
        </w:rPr>
        <w:t>Se seguirá mejorando el acceso a la información sobre P.I. y su utilización por las instituciones de P.I. y el público, para fomentar la innovación y la creatividad.  Se ampliará la cobertura geográfica de las colecciones nacionales de datos de las bases de datos mundiales, entre las que figura la Base Mundial de Datos sobre Dibujos y Modelos Industriales, creada en el bienio</w:t>
      </w:r>
      <w:r w:rsidRPr="00C47CC3">
        <w:rPr>
          <w:rFonts w:ascii="Arial" w:hAnsi="Arial" w:cs="Arial"/>
          <w:sz w:val="20"/>
          <w:lang w:val="es-ES"/>
        </w:rPr>
        <w:t xml:space="preserve"> 2014/15. </w:t>
      </w:r>
    </w:p>
    <w:p w:rsidR="00236E18" w:rsidRPr="00C47CC3" w:rsidRDefault="00236E18" w:rsidP="00236E18">
      <w:pPr>
        <w:pStyle w:val="ListParagraph"/>
        <w:widowControl w:val="0"/>
        <w:tabs>
          <w:tab w:val="left" w:pos="567"/>
        </w:tabs>
        <w:ind w:left="0"/>
        <w:jc w:val="both"/>
        <w:rPr>
          <w:rFonts w:ascii="Arial" w:hAnsi="Arial"/>
          <w:sz w:val="20"/>
          <w:lang w:val="es-ES"/>
        </w:rPr>
      </w:pPr>
    </w:p>
    <w:p w:rsidR="00236E18" w:rsidRPr="00362498" w:rsidRDefault="00236E18" w:rsidP="00236E18">
      <w:pPr>
        <w:pStyle w:val="ListParagraph"/>
        <w:numPr>
          <w:ilvl w:val="0"/>
          <w:numId w:val="7"/>
        </w:numPr>
        <w:tabs>
          <w:tab w:val="right" w:pos="1134"/>
        </w:tabs>
        <w:ind w:left="1134" w:hanging="567"/>
        <w:jc w:val="both"/>
        <w:rPr>
          <w:rFonts w:ascii="Arial" w:hAnsi="Arial"/>
          <w:sz w:val="20"/>
          <w:lang w:val="es-ES"/>
        </w:rPr>
      </w:pPr>
      <w:r>
        <w:rPr>
          <w:rFonts w:ascii="Arial" w:hAnsi="Arial"/>
          <w:i/>
          <w:sz w:val="20"/>
          <w:lang w:val="es-ES"/>
        </w:rPr>
        <w:t xml:space="preserve">El correspondiente aumento en la dotación global de recursos queda reflejado en el programa </w:t>
      </w:r>
      <w:r w:rsidRPr="00362498">
        <w:rPr>
          <w:rFonts w:ascii="Arial" w:hAnsi="Arial"/>
          <w:i/>
          <w:sz w:val="20"/>
          <w:lang w:val="es-ES"/>
        </w:rPr>
        <w:t>13 (</w:t>
      </w:r>
      <w:r>
        <w:rPr>
          <w:rFonts w:ascii="Arial" w:hAnsi="Arial"/>
          <w:i/>
          <w:sz w:val="20"/>
          <w:lang w:val="es-ES"/>
        </w:rPr>
        <w:t>Bases mundiales de datos</w:t>
      </w:r>
      <w:r w:rsidRPr="00362498">
        <w:rPr>
          <w:rFonts w:ascii="Arial" w:hAnsi="Arial"/>
          <w:i/>
          <w:sz w:val="20"/>
          <w:lang w:val="es-ES"/>
        </w:rPr>
        <w:t>)</w:t>
      </w:r>
      <w:r w:rsidRPr="00362498">
        <w:rPr>
          <w:rFonts w:ascii="Arial" w:hAnsi="Arial"/>
          <w:sz w:val="20"/>
          <w:lang w:val="es-ES"/>
        </w:rPr>
        <w:t xml:space="preserve">. </w:t>
      </w:r>
    </w:p>
    <w:p w:rsidR="00236E18" w:rsidRPr="00362498" w:rsidRDefault="00236E18" w:rsidP="00236E18">
      <w:pPr>
        <w:tabs>
          <w:tab w:val="left" w:pos="567"/>
        </w:tabs>
        <w:jc w:val="both"/>
        <w:rPr>
          <w:sz w:val="20"/>
        </w:rPr>
      </w:pPr>
    </w:p>
    <w:p w:rsidR="00236E18" w:rsidRDefault="00236E18" w:rsidP="00236E18">
      <w:pPr>
        <w:pStyle w:val="ListParagraph"/>
        <w:widowControl w:val="0"/>
        <w:numPr>
          <w:ilvl w:val="0"/>
          <w:numId w:val="5"/>
        </w:numPr>
        <w:tabs>
          <w:tab w:val="left" w:pos="567"/>
        </w:tabs>
        <w:ind w:left="0" w:firstLine="0"/>
        <w:jc w:val="both"/>
        <w:rPr>
          <w:rFonts w:ascii="Arial" w:hAnsi="Arial"/>
          <w:sz w:val="20"/>
          <w:lang w:val="es-ES"/>
        </w:rPr>
      </w:pPr>
      <w:r>
        <w:rPr>
          <w:rFonts w:ascii="Arial" w:hAnsi="Arial"/>
          <w:sz w:val="20"/>
          <w:lang w:val="es-ES"/>
        </w:rPr>
        <w:t>Se seguirá facilitando el acceso a los conocimientos de P.I. mediante la creación o el fortalecimiento de redes duraderas de centros de apoyo a la tecnología y la innovación (CATI) y proyectos especiales que faciliten el acceso a las bases de datos comerciales.</w:t>
      </w:r>
    </w:p>
    <w:p w:rsidR="00236E18" w:rsidRDefault="00236E18" w:rsidP="00236E18">
      <w:pPr>
        <w:pStyle w:val="ListParagraph"/>
        <w:widowControl w:val="0"/>
        <w:tabs>
          <w:tab w:val="left" w:pos="567"/>
        </w:tabs>
        <w:ind w:left="0"/>
        <w:jc w:val="both"/>
        <w:rPr>
          <w:rFonts w:ascii="Arial" w:hAnsi="Arial"/>
          <w:sz w:val="20"/>
          <w:lang w:val="es-ES"/>
        </w:rPr>
      </w:pPr>
    </w:p>
    <w:p w:rsidR="00236E18" w:rsidRPr="00362498" w:rsidRDefault="00236E18" w:rsidP="00236E18">
      <w:pPr>
        <w:pStyle w:val="ListParagraph"/>
        <w:numPr>
          <w:ilvl w:val="0"/>
          <w:numId w:val="7"/>
        </w:numPr>
        <w:tabs>
          <w:tab w:val="right" w:pos="1134"/>
        </w:tabs>
        <w:ind w:left="1134" w:hanging="567"/>
        <w:jc w:val="both"/>
        <w:rPr>
          <w:rFonts w:ascii="Arial" w:hAnsi="Arial"/>
          <w:sz w:val="20"/>
          <w:lang w:val="es-ES"/>
        </w:rPr>
      </w:pPr>
      <w:r w:rsidRPr="00A25220">
        <w:rPr>
          <w:rFonts w:ascii="Arial" w:hAnsi="Arial"/>
          <w:i/>
          <w:sz w:val="20"/>
          <w:lang w:val="es-ES"/>
        </w:rPr>
        <w:t>L</w:t>
      </w:r>
      <w:r>
        <w:rPr>
          <w:rFonts w:ascii="Arial" w:hAnsi="Arial"/>
          <w:i/>
          <w:sz w:val="20"/>
          <w:lang w:val="es-ES"/>
        </w:rPr>
        <w:t>a correspondiente dotación global de</w:t>
      </w:r>
      <w:r w:rsidRPr="00A25220">
        <w:rPr>
          <w:rFonts w:ascii="Arial" w:hAnsi="Arial"/>
          <w:i/>
          <w:sz w:val="20"/>
          <w:lang w:val="es-ES"/>
        </w:rPr>
        <w:t xml:space="preserve"> recursos queda</w:t>
      </w:r>
      <w:r>
        <w:rPr>
          <w:rFonts w:ascii="Arial" w:hAnsi="Arial"/>
          <w:i/>
          <w:sz w:val="20"/>
          <w:lang w:val="es-ES"/>
        </w:rPr>
        <w:t xml:space="preserve"> reflejada en el programa </w:t>
      </w:r>
      <w:r w:rsidRPr="00362498">
        <w:rPr>
          <w:rFonts w:ascii="Arial" w:hAnsi="Arial"/>
          <w:i/>
          <w:sz w:val="20"/>
          <w:lang w:val="es-ES"/>
        </w:rPr>
        <w:t>14 (</w:t>
      </w:r>
      <w:r>
        <w:rPr>
          <w:rFonts w:ascii="Arial" w:hAnsi="Arial"/>
          <w:i/>
          <w:sz w:val="20"/>
          <w:lang w:val="es-ES"/>
        </w:rPr>
        <w:t>Servicios de acceso a la información y a los conocimientos</w:t>
      </w:r>
      <w:r w:rsidRPr="00362498">
        <w:rPr>
          <w:rFonts w:ascii="Arial" w:hAnsi="Arial"/>
          <w:i/>
          <w:sz w:val="20"/>
          <w:lang w:val="es-ES"/>
        </w:rPr>
        <w:t>)</w:t>
      </w:r>
      <w:r w:rsidRPr="00362498">
        <w:rPr>
          <w:rFonts w:ascii="Arial" w:hAnsi="Arial"/>
          <w:sz w:val="20"/>
          <w:lang w:val="es-ES"/>
        </w:rPr>
        <w:t xml:space="preserve">. </w:t>
      </w:r>
    </w:p>
    <w:p w:rsidR="00236E18" w:rsidRPr="00362498" w:rsidRDefault="00236E18" w:rsidP="00236E18">
      <w:pPr>
        <w:pStyle w:val="ListParagraph"/>
        <w:widowControl w:val="0"/>
        <w:tabs>
          <w:tab w:val="left" w:pos="567"/>
        </w:tabs>
        <w:ind w:left="0"/>
        <w:jc w:val="both"/>
        <w:rPr>
          <w:rFonts w:ascii="Arial" w:hAnsi="Arial"/>
          <w:sz w:val="20"/>
          <w:lang w:val="es-ES"/>
        </w:rPr>
      </w:pPr>
    </w:p>
    <w:p w:rsidR="00236E18" w:rsidRDefault="00236E18" w:rsidP="00236E18">
      <w:pPr>
        <w:pStyle w:val="ListParagraph"/>
        <w:widowControl w:val="0"/>
        <w:numPr>
          <w:ilvl w:val="0"/>
          <w:numId w:val="5"/>
        </w:numPr>
        <w:tabs>
          <w:tab w:val="left" w:pos="567"/>
        </w:tabs>
        <w:ind w:left="0" w:firstLine="0"/>
        <w:jc w:val="both"/>
        <w:rPr>
          <w:rFonts w:ascii="Arial" w:hAnsi="Arial"/>
          <w:sz w:val="20"/>
          <w:lang w:val="es-ES"/>
        </w:rPr>
      </w:pPr>
      <w:r>
        <w:rPr>
          <w:rFonts w:ascii="Arial" w:hAnsi="Arial"/>
          <w:sz w:val="20"/>
          <w:lang w:val="es-ES"/>
        </w:rPr>
        <w:t xml:space="preserve">En 2016/17 seguirá fortaleciéndose la infraestructura técnica de las oficinas de P.I. mediante la revisión del modelo de asistencia técnica, centrando la labor en obtener resultados duraderos en el plano nacional.  Además, se pondrá a disposición de un primer grupo de organizaciones de gestión colectiva de países en desarrollo o PMA la primera versión del Sistema WCC (siglas en inglés de </w:t>
      </w:r>
      <w:r w:rsidRPr="009A0E7D">
        <w:rPr>
          <w:rFonts w:ascii="Arial" w:hAnsi="Arial"/>
          <w:i/>
          <w:sz w:val="20"/>
          <w:lang w:val="es-ES"/>
        </w:rPr>
        <w:t xml:space="preserve">WIPO Copyright </w:t>
      </w:r>
      <w:proofErr w:type="spellStart"/>
      <w:r w:rsidRPr="009A0E7D">
        <w:rPr>
          <w:rFonts w:ascii="Arial" w:hAnsi="Arial"/>
          <w:i/>
          <w:sz w:val="20"/>
          <w:lang w:val="es-ES"/>
        </w:rPr>
        <w:t>Connection</w:t>
      </w:r>
      <w:proofErr w:type="spellEnd"/>
      <w:r>
        <w:rPr>
          <w:rFonts w:ascii="Arial" w:hAnsi="Arial"/>
          <w:sz w:val="20"/>
          <w:lang w:val="es-ES"/>
        </w:rPr>
        <w:t xml:space="preserve">, plataforma informática </w:t>
      </w:r>
      <w:r w:rsidRPr="009A0E7D">
        <w:rPr>
          <w:rFonts w:ascii="Arial" w:hAnsi="Arial"/>
          <w:sz w:val="20"/>
          <w:lang w:val="es-ES"/>
        </w:rPr>
        <w:t>para la gestión de los derechos de autor</w:t>
      </w:r>
      <w:r>
        <w:rPr>
          <w:rFonts w:ascii="Arial" w:hAnsi="Arial"/>
          <w:sz w:val="20"/>
          <w:lang w:val="es-ES"/>
        </w:rPr>
        <w:t>).</w:t>
      </w:r>
    </w:p>
    <w:p w:rsidR="00236E18" w:rsidRPr="00362498" w:rsidRDefault="00236E18" w:rsidP="00236E18">
      <w:pPr>
        <w:pStyle w:val="ListParagraph"/>
        <w:widowControl w:val="0"/>
        <w:tabs>
          <w:tab w:val="left" w:pos="567"/>
        </w:tabs>
        <w:ind w:left="0"/>
        <w:jc w:val="both"/>
        <w:rPr>
          <w:rFonts w:ascii="Arial" w:hAnsi="Arial"/>
          <w:sz w:val="20"/>
          <w:lang w:val="es-ES"/>
        </w:rPr>
      </w:pPr>
    </w:p>
    <w:p w:rsidR="00236E18" w:rsidRPr="00B7417C" w:rsidRDefault="00236E18" w:rsidP="00236E18">
      <w:pPr>
        <w:pStyle w:val="ListParagraph"/>
        <w:numPr>
          <w:ilvl w:val="0"/>
          <w:numId w:val="7"/>
        </w:numPr>
        <w:tabs>
          <w:tab w:val="right" w:pos="1134"/>
        </w:tabs>
        <w:ind w:left="1134" w:hanging="567"/>
        <w:jc w:val="both"/>
        <w:rPr>
          <w:rFonts w:ascii="Arial" w:hAnsi="Arial"/>
          <w:i/>
          <w:sz w:val="20"/>
          <w:lang w:val="es-ES"/>
        </w:rPr>
      </w:pPr>
      <w:r>
        <w:rPr>
          <w:rFonts w:ascii="Arial" w:hAnsi="Arial"/>
          <w:i/>
          <w:sz w:val="20"/>
          <w:lang w:val="es-ES"/>
        </w:rPr>
        <w:lastRenderedPageBreak/>
        <w:t xml:space="preserve">El correspondiente aumento en la dotación global de recursos </w:t>
      </w:r>
      <w:r w:rsidRPr="00B7417C">
        <w:rPr>
          <w:rFonts w:ascii="Arial" w:hAnsi="Arial"/>
          <w:i/>
          <w:sz w:val="20"/>
          <w:lang w:val="es-ES"/>
        </w:rPr>
        <w:t>queda reflejado en el programa 15 (Soluciones operativas para las oficinas de P.I.).</w:t>
      </w:r>
      <w:r w:rsidRPr="00B7417C">
        <w:rPr>
          <w:rFonts w:ascii="Arial" w:hAnsi="Arial" w:cs="Arial"/>
          <w:i/>
          <w:color w:val="000000"/>
          <w:sz w:val="20"/>
          <w:szCs w:val="21"/>
          <w:lang w:val="es-ES"/>
        </w:rPr>
        <w:t xml:space="preserve"> </w:t>
      </w:r>
    </w:p>
    <w:p w:rsidR="00236E18" w:rsidRPr="00362498" w:rsidRDefault="00236E18" w:rsidP="00236E18">
      <w:pPr>
        <w:tabs>
          <w:tab w:val="left" w:pos="567"/>
        </w:tabs>
        <w:jc w:val="both"/>
        <w:rPr>
          <w:sz w:val="20"/>
        </w:rPr>
      </w:pPr>
    </w:p>
    <w:p w:rsidR="00236E18"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sidRPr="00C43DCF">
        <w:rPr>
          <w:rFonts w:ascii="Arial" w:hAnsi="Arial" w:cs="Arial"/>
          <w:sz w:val="20"/>
          <w:lang w:val="es-ES"/>
        </w:rPr>
        <w:t xml:space="preserve">La labor en el ámbito de la infraestructura de derecho de autor y derechos conexos se centrará en establecer </w:t>
      </w:r>
      <w:r>
        <w:rPr>
          <w:rFonts w:ascii="Arial" w:hAnsi="Arial" w:cs="Arial"/>
          <w:sz w:val="20"/>
          <w:lang w:val="es-ES"/>
        </w:rPr>
        <w:t xml:space="preserve">una </w:t>
      </w:r>
      <w:r w:rsidRPr="00C43DCF">
        <w:rPr>
          <w:rFonts w:ascii="Arial" w:hAnsi="Arial" w:cs="Arial"/>
          <w:sz w:val="20"/>
          <w:lang w:val="es-ES"/>
        </w:rPr>
        <w:t xml:space="preserve">norma internacional de garantía de calidad denominada </w:t>
      </w:r>
      <w:r w:rsidRPr="00C43DCF">
        <w:rPr>
          <w:rFonts w:ascii="Arial" w:hAnsi="Arial" w:cs="Arial"/>
          <w:i/>
          <w:sz w:val="20"/>
          <w:lang w:val="es-ES"/>
        </w:rPr>
        <w:t xml:space="preserve">TAG of </w:t>
      </w:r>
      <w:proofErr w:type="spellStart"/>
      <w:r w:rsidRPr="00C43DCF">
        <w:rPr>
          <w:rFonts w:ascii="Arial" w:hAnsi="Arial" w:cs="Arial"/>
          <w:i/>
          <w:sz w:val="20"/>
          <w:lang w:val="es-ES"/>
        </w:rPr>
        <w:t>Excellence</w:t>
      </w:r>
      <w:proofErr w:type="spellEnd"/>
      <w:r w:rsidRPr="00C43DCF">
        <w:rPr>
          <w:rFonts w:ascii="Arial" w:hAnsi="Arial" w:cs="Arial"/>
          <w:i/>
          <w:sz w:val="20"/>
          <w:lang w:val="es-ES"/>
        </w:rPr>
        <w:t xml:space="preserve"> </w:t>
      </w:r>
      <w:r w:rsidRPr="00C43DCF">
        <w:rPr>
          <w:rFonts w:ascii="Arial" w:hAnsi="Arial" w:cs="Arial"/>
          <w:sz w:val="20"/>
          <w:lang w:val="es-ES"/>
        </w:rPr>
        <w:t>(</w:t>
      </w:r>
      <w:r>
        <w:rPr>
          <w:rFonts w:ascii="Arial" w:hAnsi="Arial" w:cs="Arial"/>
          <w:sz w:val="20"/>
          <w:lang w:val="es-ES"/>
        </w:rPr>
        <w:t xml:space="preserve">etiqueta de excelencia, </w:t>
      </w:r>
      <w:r w:rsidRPr="00C43DCF">
        <w:rPr>
          <w:rFonts w:ascii="Arial" w:hAnsi="Arial" w:cs="Arial"/>
          <w:sz w:val="20"/>
          <w:lang w:val="es-ES"/>
        </w:rPr>
        <w:t xml:space="preserve">es decir, excelencia en </w:t>
      </w:r>
      <w:r>
        <w:rPr>
          <w:rFonts w:ascii="Arial" w:hAnsi="Arial" w:cs="Arial"/>
          <w:sz w:val="20"/>
          <w:lang w:val="es-ES"/>
        </w:rPr>
        <w:t xml:space="preserve">la </w:t>
      </w:r>
      <w:r w:rsidRPr="00C43DCF">
        <w:rPr>
          <w:rFonts w:ascii="Arial" w:hAnsi="Arial" w:cs="Arial"/>
          <w:sz w:val="20"/>
          <w:lang w:val="es-ES"/>
        </w:rPr>
        <w:t>transparencia, rendición de cuentas y gobernanza)</w:t>
      </w:r>
      <w:r>
        <w:rPr>
          <w:rFonts w:ascii="Arial" w:hAnsi="Arial" w:cs="Arial"/>
          <w:i/>
          <w:sz w:val="20"/>
          <w:lang w:val="es-ES"/>
        </w:rPr>
        <w:t xml:space="preserve"> </w:t>
      </w:r>
      <w:r>
        <w:rPr>
          <w:rFonts w:ascii="Arial" w:hAnsi="Arial" w:cs="Arial"/>
          <w:sz w:val="20"/>
          <w:lang w:val="es-ES"/>
        </w:rPr>
        <w:t>para los organismos de gestión colectiva (OGC), así como un programa de formación sobre la transparencia, la rendición de cuentas y la gobernanza de los organismos de gestión colectiva.  A fin de complementar las actividades relativas a dicha norma, se diseñará y se pondrá en marcha un nuevo portal para ejecutar muchos de los proyectos de la OMPI de infraestructura de derecho de autor por medio de Internet y en colaboración con terceros.  Asimismo, proseguirá la labor encaminada a lograr que el Consorcio de Libros Accesibles (ABC) sea la principal entidad mundial en facilitar acceso a los libros para las personas con dificultad para acceder al texto impreso en todo el mundo.</w:t>
      </w:r>
    </w:p>
    <w:p w:rsidR="00236E18" w:rsidRPr="00C43DCF" w:rsidRDefault="00236E18" w:rsidP="00236E18">
      <w:pPr>
        <w:pStyle w:val="ListParagraph"/>
        <w:widowControl w:val="0"/>
        <w:tabs>
          <w:tab w:val="left" w:pos="567"/>
        </w:tabs>
        <w:ind w:left="0"/>
        <w:jc w:val="both"/>
        <w:rPr>
          <w:rFonts w:ascii="Arial" w:hAnsi="Arial" w:cs="Arial"/>
          <w:sz w:val="20"/>
          <w:lang w:val="es-ES"/>
        </w:rPr>
      </w:pPr>
    </w:p>
    <w:p w:rsidR="00236E18" w:rsidRPr="00B7417C" w:rsidRDefault="00236E18" w:rsidP="00236E18">
      <w:pPr>
        <w:pStyle w:val="ListParagraph"/>
        <w:numPr>
          <w:ilvl w:val="0"/>
          <w:numId w:val="7"/>
        </w:numPr>
        <w:tabs>
          <w:tab w:val="right" w:pos="1134"/>
        </w:tabs>
        <w:ind w:left="1134" w:hanging="567"/>
        <w:jc w:val="both"/>
        <w:rPr>
          <w:rFonts w:ascii="Arial" w:hAnsi="Arial" w:cs="Arial"/>
          <w:i/>
          <w:sz w:val="20"/>
          <w:lang w:val="es-ES"/>
        </w:rPr>
      </w:pPr>
      <w:r w:rsidRPr="00B7417C">
        <w:rPr>
          <w:rFonts w:ascii="Arial" w:hAnsi="Arial" w:cs="Arial"/>
          <w:i/>
          <w:sz w:val="20"/>
          <w:lang w:val="es-ES"/>
        </w:rPr>
        <w:t>L</w:t>
      </w:r>
      <w:r>
        <w:rPr>
          <w:rFonts w:ascii="Arial" w:hAnsi="Arial" w:cs="Arial"/>
          <w:i/>
          <w:sz w:val="20"/>
          <w:lang w:val="es-ES"/>
        </w:rPr>
        <w:t>a correspondiente dotación global de</w:t>
      </w:r>
      <w:r w:rsidRPr="00B7417C">
        <w:rPr>
          <w:rFonts w:ascii="Arial" w:hAnsi="Arial" w:cs="Arial"/>
          <w:i/>
          <w:sz w:val="20"/>
          <w:lang w:val="es-ES"/>
        </w:rPr>
        <w:t xml:space="preserve"> recursos queda reflejad</w:t>
      </w:r>
      <w:r>
        <w:rPr>
          <w:rFonts w:ascii="Arial" w:hAnsi="Arial" w:cs="Arial"/>
          <w:i/>
          <w:sz w:val="20"/>
          <w:lang w:val="es-ES"/>
        </w:rPr>
        <w:t>a</w:t>
      </w:r>
      <w:r w:rsidRPr="00B7417C">
        <w:rPr>
          <w:rFonts w:ascii="Arial" w:hAnsi="Arial" w:cs="Arial"/>
          <w:i/>
          <w:sz w:val="20"/>
          <w:lang w:val="es-ES"/>
        </w:rPr>
        <w:t xml:space="preserve"> en el programa 3 (Derecho de autor y derechos conexos).</w:t>
      </w:r>
    </w:p>
    <w:p w:rsidR="00236E18" w:rsidRPr="00362498" w:rsidRDefault="00236E18" w:rsidP="00236E18">
      <w:pPr>
        <w:autoSpaceDE w:val="0"/>
        <w:autoSpaceDN w:val="0"/>
        <w:adjustRightInd w:val="0"/>
        <w:jc w:val="both"/>
        <w:rPr>
          <w:sz w:val="20"/>
        </w:rPr>
      </w:pPr>
    </w:p>
    <w:p w:rsidR="00236E18" w:rsidRDefault="00236E18" w:rsidP="00236E18">
      <w:pPr>
        <w:pStyle w:val="ListParagraph"/>
        <w:widowControl w:val="0"/>
        <w:numPr>
          <w:ilvl w:val="0"/>
          <w:numId w:val="5"/>
        </w:numPr>
        <w:tabs>
          <w:tab w:val="left" w:pos="567"/>
        </w:tabs>
        <w:ind w:left="0" w:firstLine="0"/>
        <w:jc w:val="both"/>
        <w:rPr>
          <w:rFonts w:ascii="Arial" w:hAnsi="Arial" w:cs="Arial"/>
          <w:color w:val="000000"/>
          <w:sz w:val="20"/>
          <w:szCs w:val="21"/>
          <w:lang w:val="es-ES"/>
        </w:rPr>
      </w:pPr>
      <w:r w:rsidRPr="004A1FE3">
        <w:rPr>
          <w:rFonts w:ascii="Arial" w:hAnsi="Arial"/>
          <w:sz w:val="20"/>
          <w:lang w:val="es-ES"/>
        </w:rPr>
        <w:t xml:space="preserve">Se prestará atención especial en 2016/17 a mejorar la prestación y coherencia de la cooperación técnica de la OMPI en los países en desarrollo, los países menos adelantados (PMA) y los países con economías en transición, consolidando los avances realizados en la elaboración de estrategias nacionales de P.I. en </w:t>
      </w:r>
      <w:r w:rsidRPr="004A1FE3">
        <w:rPr>
          <w:rFonts w:ascii="Arial" w:hAnsi="Arial" w:cs="Arial"/>
          <w:color w:val="000000"/>
          <w:sz w:val="20"/>
          <w:szCs w:val="21"/>
          <w:lang w:val="es-ES"/>
        </w:rPr>
        <w:t xml:space="preserve">2014/15.  </w:t>
      </w:r>
      <w:r>
        <w:rPr>
          <w:rFonts w:ascii="Arial" w:hAnsi="Arial" w:cs="Arial"/>
          <w:color w:val="000000"/>
          <w:sz w:val="20"/>
          <w:szCs w:val="21"/>
          <w:lang w:val="es-ES"/>
        </w:rPr>
        <w:t>Con tal fin, se institucionalizarán los planes nacionales, elaborados y mantenidos por las Oficinas regionales en la sede, teniendo en cuenta las necesidades y las realidades de los países beneficiarios, en los que figurarán todos los proyectos y actividades que tendrán lugar en cada país.  Asimismo, la cooperación técnica se prestará cada vez más por medio de enfoques basados en proyectos, aprovechando la experiencia adquirida en años recientes mediante la aplicación de la A.D. y otros proyectos especiales de desarrollo.  Igualmente, se procurará llevar a cabo de manera coherente la planificación y la presentación de informes de actividades Sur-Sur a nivel de la Organización y se cuidarán las relaciones con todos los sectores interesados tanto a nivel interno como externo.</w:t>
      </w:r>
    </w:p>
    <w:p w:rsidR="00236E18" w:rsidRPr="00362498" w:rsidRDefault="00236E18" w:rsidP="00236E18">
      <w:pPr>
        <w:pStyle w:val="ListParagraph"/>
        <w:widowControl w:val="0"/>
        <w:tabs>
          <w:tab w:val="left" w:pos="567"/>
        </w:tabs>
        <w:ind w:left="0"/>
        <w:jc w:val="both"/>
        <w:rPr>
          <w:rFonts w:ascii="Arial" w:hAnsi="Arial" w:cs="Arial"/>
          <w:color w:val="000000"/>
          <w:sz w:val="20"/>
          <w:szCs w:val="21"/>
          <w:lang w:val="es-ES"/>
        </w:rPr>
      </w:pPr>
    </w:p>
    <w:p w:rsidR="00236E18" w:rsidRDefault="00236E18" w:rsidP="00236E18">
      <w:pPr>
        <w:pStyle w:val="ListParagraph"/>
        <w:numPr>
          <w:ilvl w:val="0"/>
          <w:numId w:val="7"/>
        </w:numPr>
        <w:tabs>
          <w:tab w:val="right" w:pos="1134"/>
        </w:tabs>
        <w:ind w:left="1134" w:hanging="567"/>
        <w:jc w:val="both"/>
        <w:rPr>
          <w:rFonts w:ascii="Arial" w:hAnsi="Arial" w:cs="Arial"/>
          <w:color w:val="000000"/>
          <w:sz w:val="20"/>
          <w:szCs w:val="21"/>
          <w:lang w:val="es-ES"/>
        </w:rPr>
      </w:pPr>
      <w:r w:rsidRPr="00B7417C">
        <w:rPr>
          <w:rFonts w:ascii="Arial" w:hAnsi="Arial" w:cs="Arial"/>
          <w:i/>
          <w:sz w:val="20"/>
          <w:lang w:val="es-ES"/>
        </w:rPr>
        <w:t>L</w:t>
      </w:r>
      <w:r>
        <w:rPr>
          <w:rFonts w:ascii="Arial" w:hAnsi="Arial" w:cs="Arial"/>
          <w:i/>
          <w:sz w:val="20"/>
          <w:lang w:val="es-ES"/>
        </w:rPr>
        <w:t>a correspondiente dotación global de</w:t>
      </w:r>
      <w:r w:rsidRPr="00B7417C">
        <w:rPr>
          <w:rFonts w:ascii="Arial" w:hAnsi="Arial" w:cs="Arial"/>
          <w:i/>
          <w:sz w:val="20"/>
          <w:lang w:val="es-ES"/>
        </w:rPr>
        <w:t xml:space="preserve"> recursos queda reflejad</w:t>
      </w:r>
      <w:r>
        <w:rPr>
          <w:rFonts w:ascii="Arial" w:hAnsi="Arial" w:cs="Arial"/>
          <w:i/>
          <w:sz w:val="20"/>
          <w:lang w:val="es-ES"/>
        </w:rPr>
        <w:t>a en el programa 9 (</w:t>
      </w:r>
      <w:r w:rsidRPr="00B7417C">
        <w:rPr>
          <w:rFonts w:ascii="Arial" w:hAnsi="Arial" w:cs="Arial"/>
          <w:i/>
          <w:sz w:val="20"/>
          <w:lang w:val="es-ES"/>
        </w:rPr>
        <w:t>Países africanos, árabes, de América Latina y el Caribe, de Asia y el Pacífico, y países menos adelantados</w:t>
      </w:r>
      <w:r>
        <w:rPr>
          <w:rFonts w:ascii="Arial" w:hAnsi="Arial" w:cs="Arial"/>
          <w:i/>
          <w:sz w:val="20"/>
          <w:lang w:val="es-ES"/>
        </w:rPr>
        <w:t>) y el 10 (</w:t>
      </w:r>
      <w:r w:rsidRPr="00B7417C">
        <w:rPr>
          <w:rFonts w:ascii="Arial" w:hAnsi="Arial" w:cs="Arial"/>
          <w:i/>
          <w:sz w:val="20"/>
          <w:lang w:val="es-ES"/>
        </w:rPr>
        <w:t xml:space="preserve">Países </w:t>
      </w:r>
      <w:r>
        <w:rPr>
          <w:rFonts w:ascii="Arial" w:hAnsi="Arial" w:cs="Arial"/>
          <w:i/>
          <w:sz w:val="20"/>
          <w:lang w:val="es-ES"/>
        </w:rPr>
        <w:t xml:space="preserve">con economías </w:t>
      </w:r>
      <w:r w:rsidRPr="00B7417C">
        <w:rPr>
          <w:rFonts w:ascii="Arial" w:hAnsi="Arial" w:cs="Arial"/>
          <w:i/>
          <w:sz w:val="20"/>
          <w:lang w:val="es-ES"/>
        </w:rPr>
        <w:t xml:space="preserve">en transición y </w:t>
      </w:r>
      <w:r>
        <w:rPr>
          <w:rFonts w:ascii="Arial" w:hAnsi="Arial" w:cs="Arial"/>
          <w:i/>
          <w:sz w:val="20"/>
          <w:lang w:val="es-ES"/>
        </w:rPr>
        <w:t xml:space="preserve">países </w:t>
      </w:r>
      <w:r w:rsidRPr="00B7417C">
        <w:rPr>
          <w:rFonts w:ascii="Arial" w:hAnsi="Arial" w:cs="Arial"/>
          <w:i/>
          <w:sz w:val="20"/>
          <w:lang w:val="es-ES"/>
        </w:rPr>
        <w:t>desarrollados</w:t>
      </w:r>
      <w:r>
        <w:rPr>
          <w:rFonts w:ascii="Arial" w:hAnsi="Arial" w:cs="Arial"/>
          <w:i/>
          <w:sz w:val="20"/>
          <w:lang w:val="es-ES"/>
        </w:rPr>
        <w:t>).</w:t>
      </w:r>
      <w:r w:rsidRPr="00362498">
        <w:rPr>
          <w:rFonts w:ascii="Arial" w:hAnsi="Arial" w:cs="Arial"/>
          <w:color w:val="000000"/>
          <w:sz w:val="20"/>
          <w:szCs w:val="21"/>
          <w:lang w:val="es-ES"/>
        </w:rPr>
        <w:t xml:space="preserve"> </w:t>
      </w:r>
    </w:p>
    <w:p w:rsidR="00236E18" w:rsidRPr="00362498" w:rsidRDefault="00236E18" w:rsidP="00236E18">
      <w:pPr>
        <w:pStyle w:val="ListParagraph"/>
        <w:tabs>
          <w:tab w:val="right" w:pos="1134"/>
        </w:tabs>
        <w:ind w:left="1134"/>
        <w:jc w:val="both"/>
        <w:rPr>
          <w:rFonts w:ascii="Arial" w:hAnsi="Arial" w:cs="Arial"/>
          <w:color w:val="000000"/>
          <w:sz w:val="20"/>
          <w:szCs w:val="21"/>
          <w:lang w:val="es-ES"/>
        </w:rPr>
      </w:pPr>
    </w:p>
    <w:p w:rsidR="00236E18" w:rsidRPr="00972DE5" w:rsidRDefault="00236E18" w:rsidP="00236E18">
      <w:pPr>
        <w:pStyle w:val="ListParagraph"/>
        <w:widowControl w:val="0"/>
        <w:numPr>
          <w:ilvl w:val="0"/>
          <w:numId w:val="5"/>
        </w:numPr>
        <w:tabs>
          <w:tab w:val="left" w:pos="567"/>
        </w:tabs>
        <w:ind w:left="0" w:firstLine="0"/>
        <w:jc w:val="both"/>
        <w:rPr>
          <w:rFonts w:ascii="Arial" w:hAnsi="Arial" w:cs="Arial"/>
          <w:color w:val="000000"/>
          <w:sz w:val="20"/>
          <w:szCs w:val="21"/>
          <w:lang w:val="es-ES"/>
        </w:rPr>
      </w:pPr>
      <w:r>
        <w:rPr>
          <w:rFonts w:ascii="Arial" w:hAnsi="Arial"/>
          <w:sz w:val="20"/>
          <w:lang w:val="es-ES"/>
        </w:rPr>
        <w:t xml:space="preserve">Se prestará mayor atención  a los PMA a fin de responder a las necesidades cada vez mayores de particulares y grupos.  Se hará hincapié especialmente en desarrollar las capacidades nacionales y tecnológicas de los PMA para prestarles asistencia en la consecución de sus objetivos principales, como la reducción de la pobreza y el crecimiento económico y otras políticas de desarrollo.  El proyecto de la A.D. </w:t>
      </w:r>
      <w:r w:rsidRPr="00F024F6">
        <w:rPr>
          <w:rFonts w:ascii="Arial" w:hAnsi="Arial"/>
          <w:sz w:val="20"/>
          <w:lang w:val="es-ES"/>
        </w:rPr>
        <w:t>sobre el fortalecimiento de capacidades en el uso de información técnica y científica relativa a tecnologías apropiadas para solucionar determinados problemas de desarrollo</w:t>
      </w:r>
      <w:r>
        <w:rPr>
          <w:rFonts w:ascii="Arial" w:hAnsi="Arial"/>
          <w:sz w:val="20"/>
          <w:lang w:val="es-ES"/>
        </w:rPr>
        <w:t xml:space="preserve"> es el vehículo principal de apoyo en esta esfera.  Además, la OMPI seguirá prestando apoyo en particular a las actividades que entran dentro de las esferas prioritarias señaladas en l</w:t>
      </w:r>
      <w:r w:rsidRPr="00F024F6">
        <w:rPr>
          <w:rFonts w:ascii="Arial" w:hAnsi="Arial"/>
          <w:sz w:val="20"/>
          <w:lang w:val="es-ES"/>
        </w:rPr>
        <w:t xml:space="preserve">as aportaciones concretas de la OMPI a los PMA, aprobadas en 2011 en el marco de la Cuarta Conferencia de las Naciones Unidas para los </w:t>
      </w:r>
      <w:r>
        <w:rPr>
          <w:rFonts w:ascii="Arial" w:hAnsi="Arial"/>
          <w:sz w:val="20"/>
          <w:lang w:val="es-ES"/>
        </w:rPr>
        <w:t xml:space="preserve">PMA (PMA IV) y concebidas para contribuir a la puesta en práctica del </w:t>
      </w:r>
      <w:r w:rsidRPr="00972DE5">
        <w:rPr>
          <w:rFonts w:ascii="Arial" w:hAnsi="Arial"/>
          <w:sz w:val="20"/>
          <w:lang w:val="es-ES"/>
        </w:rPr>
        <w:t>Programa de Acción de Estambul</w:t>
      </w:r>
      <w:r>
        <w:rPr>
          <w:rFonts w:ascii="Arial" w:hAnsi="Arial"/>
          <w:sz w:val="20"/>
          <w:lang w:val="es-ES"/>
        </w:rPr>
        <w:t>.</w:t>
      </w:r>
    </w:p>
    <w:p w:rsidR="00236E18" w:rsidRPr="00362498" w:rsidRDefault="00236E18" w:rsidP="00236E18">
      <w:pPr>
        <w:pStyle w:val="ListParagraph"/>
        <w:widowControl w:val="0"/>
        <w:tabs>
          <w:tab w:val="left" w:pos="567"/>
        </w:tabs>
        <w:ind w:left="0"/>
        <w:jc w:val="both"/>
        <w:rPr>
          <w:rFonts w:ascii="Arial" w:hAnsi="Arial" w:cs="Arial"/>
          <w:color w:val="000000"/>
          <w:sz w:val="20"/>
          <w:szCs w:val="21"/>
          <w:lang w:val="es-ES"/>
        </w:rPr>
      </w:pPr>
    </w:p>
    <w:p w:rsidR="00236E18" w:rsidRPr="00B7417C" w:rsidRDefault="00236E18" w:rsidP="00236E18">
      <w:pPr>
        <w:pStyle w:val="ListParagraph"/>
        <w:numPr>
          <w:ilvl w:val="0"/>
          <w:numId w:val="7"/>
        </w:numPr>
        <w:tabs>
          <w:tab w:val="right" w:pos="1134"/>
        </w:tabs>
        <w:ind w:left="1134" w:hanging="567"/>
        <w:jc w:val="both"/>
        <w:rPr>
          <w:rFonts w:ascii="Arial" w:hAnsi="Arial" w:cs="Arial"/>
          <w:color w:val="000000"/>
          <w:sz w:val="20"/>
          <w:szCs w:val="21"/>
          <w:lang w:val="es-ES"/>
        </w:rPr>
      </w:pPr>
      <w:r w:rsidRPr="00B7417C">
        <w:rPr>
          <w:rFonts w:ascii="Arial" w:hAnsi="Arial" w:cs="Arial"/>
          <w:i/>
          <w:sz w:val="20"/>
          <w:lang w:val="es-ES"/>
        </w:rPr>
        <w:t>L</w:t>
      </w:r>
      <w:r>
        <w:rPr>
          <w:rFonts w:ascii="Arial" w:hAnsi="Arial" w:cs="Arial"/>
          <w:i/>
          <w:sz w:val="20"/>
          <w:lang w:val="es-ES"/>
        </w:rPr>
        <w:t>a correspondiente dotación global de</w:t>
      </w:r>
      <w:r w:rsidRPr="00B7417C">
        <w:rPr>
          <w:rFonts w:ascii="Arial" w:hAnsi="Arial" w:cs="Arial"/>
          <w:i/>
          <w:sz w:val="20"/>
          <w:lang w:val="es-ES"/>
        </w:rPr>
        <w:t xml:space="preserve"> recursos queda reflejad</w:t>
      </w:r>
      <w:r>
        <w:rPr>
          <w:rFonts w:ascii="Arial" w:hAnsi="Arial" w:cs="Arial"/>
          <w:i/>
          <w:sz w:val="20"/>
          <w:lang w:val="es-ES"/>
        </w:rPr>
        <w:t>a</w:t>
      </w:r>
      <w:r w:rsidRPr="00B7417C">
        <w:rPr>
          <w:rFonts w:ascii="Arial" w:hAnsi="Arial" w:cs="Arial"/>
          <w:i/>
          <w:sz w:val="20"/>
          <w:lang w:val="es-ES"/>
        </w:rPr>
        <w:t xml:space="preserve"> en el programa 9 (Países africanos, árabes, de América Latina y el Caribe, de Asia y el Pacífico, y países menos adelantados).</w:t>
      </w:r>
    </w:p>
    <w:p w:rsidR="00236E18" w:rsidRPr="00362498" w:rsidRDefault="00236E18" w:rsidP="00236E18">
      <w:pPr>
        <w:pStyle w:val="ListParagraph"/>
        <w:tabs>
          <w:tab w:val="left" w:pos="567"/>
          <w:tab w:val="left" w:pos="709"/>
        </w:tabs>
        <w:ind w:left="0"/>
        <w:jc w:val="both"/>
        <w:rPr>
          <w:rFonts w:ascii="Arial" w:hAnsi="Arial"/>
          <w:sz w:val="20"/>
          <w:lang w:val="es-ES"/>
        </w:rPr>
      </w:pPr>
    </w:p>
    <w:p w:rsidR="00236E18" w:rsidRPr="00BA1054"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sidRPr="00BA1054">
        <w:rPr>
          <w:rFonts w:ascii="Arial" w:hAnsi="Arial"/>
          <w:sz w:val="20"/>
          <w:lang w:val="es-ES"/>
        </w:rPr>
        <w:t xml:space="preserve">A fin de lograr una planificación y ejecución más integrada de las actividades de la OMPI de formación y fortalecimiento de capacidades, y de fomentar la calidad y la eficacia en función de los costos, la Academia de la OMPI emprendió en </w:t>
      </w:r>
      <w:r w:rsidRPr="00BA1054">
        <w:rPr>
          <w:rFonts w:ascii="Arial" w:hAnsi="Arial" w:cs="Arial"/>
          <w:sz w:val="20"/>
          <w:szCs w:val="20"/>
          <w:lang w:val="es-ES"/>
        </w:rPr>
        <w:t>2014/15 un proceso de reforma gradual y consecuente para volver a situar a la Academia en posición de principal vehículo de la Organización para la formación y el fortalecimiento de las capacidades.  Este proceso continuará en 2016/17.</w:t>
      </w:r>
    </w:p>
    <w:p w:rsidR="00236E18" w:rsidRPr="00362498" w:rsidRDefault="00236E18" w:rsidP="00236E18">
      <w:pPr>
        <w:pStyle w:val="ListParagraph"/>
        <w:widowControl w:val="0"/>
        <w:tabs>
          <w:tab w:val="left" w:pos="567"/>
        </w:tabs>
        <w:ind w:left="0"/>
        <w:jc w:val="both"/>
        <w:rPr>
          <w:rFonts w:ascii="Arial" w:hAnsi="Arial" w:cs="Arial"/>
          <w:sz w:val="20"/>
          <w:lang w:val="es-ES"/>
        </w:rPr>
      </w:pPr>
    </w:p>
    <w:p w:rsidR="00236E18" w:rsidRPr="00B7417C" w:rsidRDefault="00236E18" w:rsidP="00236E18">
      <w:pPr>
        <w:pStyle w:val="ListParagraph"/>
        <w:numPr>
          <w:ilvl w:val="0"/>
          <w:numId w:val="7"/>
        </w:numPr>
        <w:tabs>
          <w:tab w:val="right" w:pos="1134"/>
        </w:tabs>
        <w:ind w:left="1134" w:hanging="567"/>
        <w:jc w:val="both"/>
        <w:rPr>
          <w:rFonts w:ascii="Arial" w:hAnsi="Arial" w:cs="Arial"/>
          <w:sz w:val="20"/>
          <w:lang w:val="es-ES"/>
        </w:rPr>
      </w:pPr>
      <w:r w:rsidRPr="00B7417C">
        <w:rPr>
          <w:rFonts w:ascii="Arial" w:hAnsi="Arial" w:cs="Arial"/>
          <w:i/>
          <w:sz w:val="20"/>
          <w:lang w:val="es-ES"/>
        </w:rPr>
        <w:t>L</w:t>
      </w:r>
      <w:r>
        <w:rPr>
          <w:rFonts w:ascii="Arial" w:hAnsi="Arial" w:cs="Arial"/>
          <w:i/>
          <w:sz w:val="20"/>
          <w:lang w:val="es-ES"/>
        </w:rPr>
        <w:t>a correspondiente dotación global de</w:t>
      </w:r>
      <w:r w:rsidRPr="00B7417C">
        <w:rPr>
          <w:rFonts w:ascii="Arial" w:hAnsi="Arial" w:cs="Arial"/>
          <w:i/>
          <w:sz w:val="20"/>
          <w:lang w:val="es-ES"/>
        </w:rPr>
        <w:t xml:space="preserve"> recursos queda reflejad</w:t>
      </w:r>
      <w:r>
        <w:rPr>
          <w:rFonts w:ascii="Arial" w:hAnsi="Arial" w:cs="Arial"/>
          <w:i/>
          <w:sz w:val="20"/>
          <w:lang w:val="es-ES"/>
        </w:rPr>
        <w:t>a</w:t>
      </w:r>
      <w:r w:rsidRPr="00B7417C">
        <w:rPr>
          <w:rFonts w:ascii="Arial" w:hAnsi="Arial" w:cs="Arial"/>
          <w:i/>
          <w:sz w:val="20"/>
          <w:lang w:val="es-ES"/>
        </w:rPr>
        <w:t xml:space="preserve"> en el programa 11 (Academia de la OMPI</w:t>
      </w:r>
      <w:r w:rsidRPr="00B7417C">
        <w:rPr>
          <w:rFonts w:ascii="Arial" w:hAnsi="Arial"/>
          <w:i/>
          <w:sz w:val="20"/>
          <w:lang w:val="es-ES"/>
        </w:rPr>
        <w:t>).</w:t>
      </w:r>
    </w:p>
    <w:p w:rsidR="00236E18" w:rsidRPr="00362498" w:rsidRDefault="00236E18" w:rsidP="00236E18">
      <w:pPr>
        <w:pStyle w:val="ListParagraph"/>
        <w:tabs>
          <w:tab w:val="left" w:pos="567"/>
          <w:tab w:val="left" w:pos="709"/>
        </w:tabs>
        <w:ind w:left="0"/>
        <w:jc w:val="both"/>
        <w:rPr>
          <w:rFonts w:ascii="Arial" w:hAnsi="Arial" w:cs="Arial"/>
          <w:sz w:val="20"/>
          <w:szCs w:val="20"/>
          <w:lang w:val="es-ES"/>
        </w:rPr>
      </w:pPr>
    </w:p>
    <w:p w:rsidR="00236E18"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sidRPr="00BA1054">
        <w:rPr>
          <w:rFonts w:ascii="Arial" w:hAnsi="Arial" w:cs="Arial"/>
          <w:sz w:val="20"/>
          <w:lang w:val="es-ES"/>
        </w:rPr>
        <w:t xml:space="preserve">Tomando como base las iniciativas emprendidas en 2014/15 para </w:t>
      </w:r>
      <w:r>
        <w:rPr>
          <w:rFonts w:ascii="Arial" w:hAnsi="Arial" w:cs="Arial"/>
          <w:sz w:val="20"/>
          <w:lang w:val="es-ES"/>
        </w:rPr>
        <w:t xml:space="preserve">aumentar </w:t>
      </w:r>
      <w:r w:rsidRPr="00BA1054">
        <w:rPr>
          <w:rFonts w:ascii="Arial" w:hAnsi="Arial" w:cs="Arial"/>
          <w:sz w:val="20"/>
          <w:lang w:val="es-ES"/>
        </w:rPr>
        <w:t xml:space="preserve">el valor añadido y seguir mejorando la productividad y la eficiencia de las oficinas de la OMPI en el exterior, en 2016/17 </w:t>
      </w:r>
      <w:r>
        <w:rPr>
          <w:rFonts w:ascii="Arial" w:hAnsi="Arial" w:cs="Arial"/>
          <w:sz w:val="20"/>
          <w:lang w:val="es-ES"/>
        </w:rPr>
        <w:t xml:space="preserve">proseguirán los esfuerzos para fomentar la integración eficiente de las oficinas existentes en todos los aspectos pertinentes del funcionamiento de la Organización.  Esta labor contará con el apoyo de la puesta en funcionamiento de un sistema y una arquitectura de oficina mundial con carácter normalizado.  </w:t>
      </w:r>
      <w:r>
        <w:rPr>
          <w:rFonts w:ascii="Arial" w:hAnsi="Arial" w:cs="Arial"/>
          <w:sz w:val="20"/>
          <w:lang w:val="es-ES"/>
        </w:rPr>
        <w:lastRenderedPageBreak/>
        <w:t>Se tratará de una iniciativa esencial para garantizar que la OMPI siga evolucionando en calidad de organización de verdadero alcance mundial que atiende a las necesidades de sus Estados miembros y sectores interesados y es capaz de lograr sus ambiciosas metas consistentes en la prestación de servicios de manera más eficiente gracias a una cooperación más estrecha.</w:t>
      </w:r>
    </w:p>
    <w:p w:rsidR="00236E18" w:rsidRPr="00F816B2" w:rsidRDefault="00236E18" w:rsidP="00236E18">
      <w:pPr>
        <w:pStyle w:val="ListParagraph"/>
        <w:widowControl w:val="0"/>
        <w:tabs>
          <w:tab w:val="left" w:pos="567"/>
        </w:tabs>
        <w:ind w:left="0"/>
        <w:jc w:val="both"/>
        <w:rPr>
          <w:rFonts w:ascii="Arial" w:hAnsi="Arial" w:cs="Arial"/>
          <w:sz w:val="20"/>
          <w:lang w:val="es-ES"/>
        </w:rPr>
      </w:pPr>
    </w:p>
    <w:p w:rsidR="00236E18" w:rsidRDefault="00236E18" w:rsidP="00236E18">
      <w:pPr>
        <w:pStyle w:val="ListParagraph"/>
        <w:numPr>
          <w:ilvl w:val="0"/>
          <w:numId w:val="7"/>
        </w:numPr>
        <w:tabs>
          <w:tab w:val="right" w:pos="1134"/>
        </w:tabs>
        <w:ind w:left="1134" w:hanging="567"/>
        <w:jc w:val="both"/>
        <w:rPr>
          <w:rFonts w:ascii="Arial" w:hAnsi="Arial" w:cs="Arial"/>
          <w:i/>
          <w:sz w:val="20"/>
          <w:lang w:val="es-ES"/>
        </w:rPr>
      </w:pPr>
      <w:r w:rsidRPr="00B7417C">
        <w:rPr>
          <w:rFonts w:ascii="Arial" w:hAnsi="Arial" w:cs="Arial"/>
          <w:i/>
          <w:sz w:val="20"/>
          <w:lang w:val="es-ES"/>
        </w:rPr>
        <w:t>L</w:t>
      </w:r>
      <w:r>
        <w:rPr>
          <w:rFonts w:ascii="Arial" w:hAnsi="Arial" w:cs="Arial"/>
          <w:i/>
          <w:sz w:val="20"/>
          <w:lang w:val="es-ES"/>
        </w:rPr>
        <w:t>a correspondiente dotación global de</w:t>
      </w:r>
      <w:r w:rsidRPr="00B7417C">
        <w:rPr>
          <w:rFonts w:ascii="Arial" w:hAnsi="Arial" w:cs="Arial"/>
          <w:i/>
          <w:sz w:val="20"/>
          <w:lang w:val="es-ES"/>
        </w:rPr>
        <w:t xml:space="preserve"> recursos queda reflejad</w:t>
      </w:r>
      <w:r>
        <w:rPr>
          <w:rFonts w:ascii="Arial" w:hAnsi="Arial" w:cs="Arial"/>
          <w:i/>
          <w:sz w:val="20"/>
          <w:lang w:val="es-ES"/>
        </w:rPr>
        <w:t>a</w:t>
      </w:r>
      <w:r w:rsidRPr="00B7417C">
        <w:rPr>
          <w:rFonts w:ascii="Arial" w:hAnsi="Arial"/>
          <w:i/>
          <w:sz w:val="20"/>
          <w:lang w:val="es-ES"/>
        </w:rPr>
        <w:t xml:space="preserve"> en el programa 20 (</w:t>
      </w:r>
      <w:r>
        <w:rPr>
          <w:rFonts w:ascii="Arial" w:hAnsi="Arial"/>
          <w:i/>
          <w:sz w:val="20"/>
          <w:lang w:val="es-ES"/>
        </w:rPr>
        <w:t>Relaciones exteriores, alianzas y oficinas en el exterior</w:t>
      </w:r>
      <w:r w:rsidRPr="00B7417C">
        <w:rPr>
          <w:rFonts w:ascii="Arial" w:hAnsi="Arial"/>
          <w:i/>
          <w:sz w:val="20"/>
          <w:lang w:val="es-ES"/>
        </w:rPr>
        <w:t xml:space="preserve">). </w:t>
      </w:r>
      <w:r>
        <w:rPr>
          <w:rFonts w:ascii="Arial" w:hAnsi="Arial"/>
          <w:i/>
          <w:sz w:val="20"/>
          <w:lang w:val="es-ES"/>
        </w:rPr>
        <w:t xml:space="preserve"> En caso de que los Estados miembros acuerden crear nuevas oficinas en el exterior en </w:t>
      </w:r>
      <w:r w:rsidRPr="00B7417C">
        <w:rPr>
          <w:rFonts w:ascii="Arial" w:hAnsi="Arial" w:cs="Arial"/>
          <w:i/>
          <w:sz w:val="20"/>
          <w:lang w:val="es-ES"/>
        </w:rPr>
        <w:t xml:space="preserve">2016/17, </w:t>
      </w:r>
      <w:r>
        <w:rPr>
          <w:rFonts w:ascii="Arial" w:hAnsi="Arial" w:cs="Arial"/>
          <w:i/>
          <w:sz w:val="20"/>
          <w:lang w:val="es-ES"/>
        </w:rPr>
        <w:t>podrían financiarse a partir de la asignación de 1 millón de francos suizos que figura en los recursos no relativos a personal en el rubro “Sin consignar”.</w:t>
      </w:r>
    </w:p>
    <w:p w:rsidR="00236E18" w:rsidRPr="00362498" w:rsidRDefault="00236E18" w:rsidP="00236E18">
      <w:pPr>
        <w:pStyle w:val="ListParagraph"/>
        <w:tabs>
          <w:tab w:val="left" w:pos="567"/>
          <w:tab w:val="left" w:pos="709"/>
        </w:tabs>
        <w:ind w:left="0"/>
        <w:jc w:val="both"/>
        <w:rPr>
          <w:rFonts w:ascii="Arial" w:hAnsi="Arial" w:cs="Arial"/>
          <w:sz w:val="20"/>
          <w:lang w:val="es-ES"/>
        </w:rPr>
      </w:pPr>
    </w:p>
    <w:p w:rsidR="00236E18" w:rsidRPr="00572E2F"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sidRPr="00572E2F">
        <w:rPr>
          <w:rFonts w:ascii="Arial" w:hAnsi="Arial" w:cs="Arial"/>
          <w:sz w:val="20"/>
          <w:lang w:val="es-ES"/>
        </w:rPr>
        <w:t xml:space="preserve">En el marco de la meta estratégica IX proseguirán los esfuerzos destinados a lograr que la Secretaría funcione con agilidad y eficiencia, esté dotada de un conjunto de empleados </w:t>
      </w:r>
      <w:r>
        <w:rPr>
          <w:rFonts w:ascii="Arial" w:hAnsi="Arial" w:cs="Arial"/>
          <w:sz w:val="20"/>
          <w:lang w:val="es-ES"/>
        </w:rPr>
        <w:t xml:space="preserve">bien </w:t>
      </w:r>
      <w:r w:rsidRPr="00572E2F">
        <w:rPr>
          <w:rFonts w:ascii="Arial" w:hAnsi="Arial" w:cs="Arial"/>
          <w:sz w:val="20"/>
          <w:lang w:val="es-ES"/>
        </w:rPr>
        <w:t xml:space="preserve">administrados y con las capacidades apropiadas y produzca resultados de manera eficaz.  En el bienio se prestará atención especial al equilibrio de género y a la diversidad geográfica.  Se seguirán haciendo esfuerzos para desarrollar las capacidades de gestión y liderazgo de las mujeres de la Organización, con el fin de habilitarlas para que ocupen cargos en niveles superiores, a la vez que se seguirá solicitando la presentación de candidaturas femeninas.  En cuanto a la diversidad geográfica, con el apoyo de los Estados miembros, se harán mayores esfuerzos por dirigirse previsoramente a posibles candidatos de países que no están representados </w:t>
      </w:r>
      <w:r>
        <w:rPr>
          <w:rFonts w:ascii="Arial" w:hAnsi="Arial" w:cs="Arial"/>
          <w:sz w:val="20"/>
          <w:lang w:val="es-ES"/>
        </w:rPr>
        <w:t>suficientemente</w:t>
      </w:r>
      <w:r w:rsidRPr="00572E2F">
        <w:rPr>
          <w:rFonts w:ascii="Arial" w:hAnsi="Arial" w:cs="Arial"/>
          <w:sz w:val="20"/>
          <w:lang w:val="es-ES"/>
        </w:rPr>
        <w:t xml:space="preserve"> entre el personal de las categorías profesional y superior.  Tras la</w:t>
      </w:r>
      <w:r>
        <w:rPr>
          <w:rFonts w:ascii="Arial" w:hAnsi="Arial" w:cs="Arial"/>
          <w:sz w:val="20"/>
          <w:lang w:val="es-ES"/>
        </w:rPr>
        <w:t xml:space="preserve"> entrada en vigor</w:t>
      </w:r>
      <w:r w:rsidRPr="00572E2F">
        <w:rPr>
          <w:rFonts w:ascii="Arial" w:hAnsi="Arial" w:cs="Arial"/>
          <w:sz w:val="20"/>
          <w:lang w:val="es-ES"/>
        </w:rPr>
        <w:t xml:space="preserve"> del Estatuto y Reglamento del Personal revisado, aprobado por el Comité de Coordinación en </w:t>
      </w:r>
      <w:r w:rsidRPr="00572E2F">
        <w:rPr>
          <w:rFonts w:ascii="Arial" w:hAnsi="Arial"/>
          <w:sz w:val="20"/>
          <w:lang w:val="es-ES"/>
        </w:rPr>
        <w:t xml:space="preserve">2012 y 2013, de la que forma parte el fortalecimiento del sistema de justicia interna, una esfera importante de la labor en 2016/17 </w:t>
      </w:r>
      <w:r>
        <w:rPr>
          <w:rFonts w:ascii="Arial" w:hAnsi="Arial"/>
          <w:sz w:val="20"/>
          <w:lang w:val="es-ES"/>
        </w:rPr>
        <w:t xml:space="preserve">será la prevención y mitigación de conflictos y la gestión eficaz de las causas mediante el sistema de justicia interna.  Asimismo, </w:t>
      </w:r>
      <w:r w:rsidRPr="00572E2F">
        <w:rPr>
          <w:rFonts w:ascii="Arial" w:hAnsi="Arial"/>
          <w:sz w:val="20"/>
          <w:lang w:val="es-ES"/>
        </w:rPr>
        <w:t xml:space="preserve">la Organización seguirá </w:t>
      </w:r>
      <w:r>
        <w:rPr>
          <w:rFonts w:ascii="Arial" w:hAnsi="Arial"/>
          <w:sz w:val="20"/>
          <w:lang w:val="es-ES"/>
        </w:rPr>
        <w:t xml:space="preserve">participando en el examen del </w:t>
      </w:r>
      <w:r w:rsidRPr="00572E2F">
        <w:rPr>
          <w:rFonts w:ascii="Arial" w:hAnsi="Arial"/>
          <w:sz w:val="20"/>
          <w:lang w:val="es-ES"/>
        </w:rPr>
        <w:t>conjunto integral de la remuneración del régimen común</w:t>
      </w:r>
      <w:r>
        <w:rPr>
          <w:rFonts w:ascii="Arial" w:hAnsi="Arial"/>
          <w:sz w:val="20"/>
          <w:lang w:val="es-ES"/>
        </w:rPr>
        <w:t xml:space="preserve"> de NN.UU.</w:t>
      </w:r>
    </w:p>
    <w:p w:rsidR="00236E18" w:rsidRPr="00362498" w:rsidRDefault="00236E18" w:rsidP="00236E18">
      <w:pPr>
        <w:pStyle w:val="ListParagraph"/>
        <w:widowControl w:val="0"/>
        <w:tabs>
          <w:tab w:val="left" w:pos="567"/>
        </w:tabs>
        <w:ind w:left="0"/>
        <w:jc w:val="both"/>
        <w:rPr>
          <w:rFonts w:ascii="Arial" w:hAnsi="Arial" w:cs="Arial"/>
          <w:sz w:val="20"/>
          <w:lang w:val="es-ES"/>
        </w:rPr>
      </w:pPr>
    </w:p>
    <w:p w:rsidR="00236E18" w:rsidRPr="00362498" w:rsidRDefault="00236E18" w:rsidP="00236E18">
      <w:pPr>
        <w:pStyle w:val="ListParagraph"/>
        <w:numPr>
          <w:ilvl w:val="0"/>
          <w:numId w:val="7"/>
        </w:numPr>
        <w:tabs>
          <w:tab w:val="right" w:pos="1134"/>
        </w:tabs>
        <w:ind w:left="1134" w:hanging="567"/>
        <w:jc w:val="both"/>
        <w:rPr>
          <w:rFonts w:ascii="Arial" w:hAnsi="Arial" w:cs="Arial"/>
          <w:sz w:val="20"/>
          <w:lang w:val="es-ES"/>
        </w:rPr>
      </w:pPr>
      <w:r w:rsidRPr="00B7417C">
        <w:rPr>
          <w:rFonts w:ascii="Arial" w:hAnsi="Arial" w:cs="Arial"/>
          <w:i/>
          <w:sz w:val="20"/>
          <w:lang w:val="es-ES"/>
        </w:rPr>
        <w:t>L</w:t>
      </w:r>
      <w:r>
        <w:rPr>
          <w:rFonts w:ascii="Arial" w:hAnsi="Arial" w:cs="Arial"/>
          <w:i/>
          <w:sz w:val="20"/>
          <w:lang w:val="es-ES"/>
        </w:rPr>
        <w:t>a correspondiente dotación global de</w:t>
      </w:r>
      <w:r w:rsidRPr="00B7417C">
        <w:rPr>
          <w:rFonts w:ascii="Arial" w:hAnsi="Arial" w:cs="Arial"/>
          <w:i/>
          <w:sz w:val="20"/>
          <w:lang w:val="es-ES"/>
        </w:rPr>
        <w:t xml:space="preserve"> recursos queda reflejad</w:t>
      </w:r>
      <w:r>
        <w:rPr>
          <w:rFonts w:ascii="Arial" w:hAnsi="Arial" w:cs="Arial"/>
          <w:i/>
          <w:sz w:val="20"/>
          <w:lang w:val="es-ES"/>
        </w:rPr>
        <w:t>a</w:t>
      </w:r>
      <w:r w:rsidRPr="00B7417C">
        <w:rPr>
          <w:rFonts w:ascii="Arial" w:hAnsi="Arial"/>
          <w:i/>
          <w:sz w:val="20"/>
          <w:lang w:val="es-ES"/>
        </w:rPr>
        <w:t xml:space="preserve"> </w:t>
      </w:r>
      <w:r>
        <w:rPr>
          <w:rFonts w:ascii="Arial" w:hAnsi="Arial"/>
          <w:i/>
          <w:sz w:val="20"/>
          <w:lang w:val="es-ES"/>
        </w:rPr>
        <w:t>en el programa 23 (Gestión y desarrollo de los recursos humanos).</w:t>
      </w:r>
    </w:p>
    <w:p w:rsidR="00236E18" w:rsidRPr="00362498" w:rsidRDefault="00236E18" w:rsidP="00236E18">
      <w:pPr>
        <w:pStyle w:val="ListParagraph"/>
        <w:tabs>
          <w:tab w:val="left" w:pos="567"/>
          <w:tab w:val="left" w:pos="709"/>
        </w:tabs>
        <w:ind w:left="0"/>
        <w:jc w:val="both"/>
        <w:rPr>
          <w:rFonts w:ascii="Arial" w:hAnsi="Arial" w:cs="Arial"/>
          <w:sz w:val="20"/>
          <w:lang w:val="es-ES"/>
        </w:rPr>
      </w:pPr>
    </w:p>
    <w:p w:rsidR="00236E18"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Pr>
          <w:rFonts w:ascii="Arial" w:hAnsi="Arial"/>
          <w:sz w:val="20"/>
          <w:lang w:val="es-ES"/>
        </w:rPr>
        <w:t>Con la adopción por</w:t>
      </w:r>
      <w:r w:rsidRPr="00CF7ECA">
        <w:rPr>
          <w:rFonts w:ascii="Arial" w:hAnsi="Arial"/>
          <w:sz w:val="20"/>
          <w:lang w:val="es-ES"/>
        </w:rPr>
        <w:t xml:space="preserve"> los Estados miembros </w:t>
      </w:r>
      <w:r>
        <w:rPr>
          <w:rFonts w:ascii="Arial" w:hAnsi="Arial"/>
          <w:sz w:val="20"/>
          <w:lang w:val="es-ES"/>
        </w:rPr>
        <w:t>de</w:t>
      </w:r>
      <w:r w:rsidRPr="00CF7ECA">
        <w:rPr>
          <w:rFonts w:ascii="Arial" w:hAnsi="Arial"/>
          <w:sz w:val="20"/>
          <w:lang w:val="es-ES"/>
        </w:rPr>
        <w:t xml:space="preserve"> la Política Lingüística en 2011 y </w:t>
      </w:r>
      <w:r>
        <w:rPr>
          <w:rFonts w:ascii="Arial" w:hAnsi="Arial"/>
          <w:sz w:val="20"/>
          <w:lang w:val="es-ES"/>
        </w:rPr>
        <w:t>la ampliación</w:t>
      </w:r>
      <w:r w:rsidRPr="00CF7ECA">
        <w:rPr>
          <w:rFonts w:ascii="Arial" w:hAnsi="Arial"/>
          <w:sz w:val="20"/>
          <w:lang w:val="es-ES"/>
        </w:rPr>
        <w:t xml:space="preserve"> en el bienio </w:t>
      </w:r>
      <w:r w:rsidRPr="00CF7ECA">
        <w:rPr>
          <w:rFonts w:ascii="Arial" w:hAnsi="Arial" w:cs="Arial"/>
          <w:sz w:val="20"/>
          <w:lang w:val="es-ES"/>
        </w:rPr>
        <w:t>2012/13</w:t>
      </w:r>
      <w:r>
        <w:rPr>
          <w:rFonts w:ascii="Arial" w:hAnsi="Arial" w:cs="Arial"/>
          <w:sz w:val="20"/>
          <w:lang w:val="es-ES"/>
        </w:rPr>
        <w:t xml:space="preserve"> de </w:t>
      </w:r>
      <w:r w:rsidRPr="00CF7ECA">
        <w:rPr>
          <w:rFonts w:ascii="Arial" w:hAnsi="Arial"/>
          <w:sz w:val="20"/>
          <w:lang w:val="es-ES"/>
        </w:rPr>
        <w:t xml:space="preserve">la cobertura en los seis idiomas a todos los documentos de los </w:t>
      </w:r>
      <w:r>
        <w:rPr>
          <w:rFonts w:ascii="Arial" w:hAnsi="Arial"/>
          <w:sz w:val="20"/>
          <w:lang w:val="es-ES"/>
        </w:rPr>
        <w:t>c</w:t>
      </w:r>
      <w:r w:rsidRPr="00CF7ECA">
        <w:rPr>
          <w:rFonts w:ascii="Arial" w:hAnsi="Arial"/>
          <w:sz w:val="20"/>
          <w:lang w:val="es-ES"/>
        </w:rPr>
        <w:t>omités y órganos principales de la OMPI</w:t>
      </w:r>
      <w:r w:rsidRPr="00CF7ECA">
        <w:rPr>
          <w:rFonts w:ascii="Arial" w:hAnsi="Arial" w:cs="Arial"/>
          <w:sz w:val="20"/>
          <w:lang w:val="es-ES"/>
        </w:rPr>
        <w:t xml:space="preserve">, </w:t>
      </w:r>
      <w:r>
        <w:rPr>
          <w:rFonts w:ascii="Arial" w:hAnsi="Arial" w:cs="Arial"/>
          <w:sz w:val="20"/>
          <w:lang w:val="es-ES"/>
        </w:rPr>
        <w:t xml:space="preserve">en el bienio 2014/15 se ofreció una cobertura parecida a varios grupos de trabajo.  Está previsto que en el bienio 2016/17 se ofrezca la misma cobertura al resto de grupos de trabajo.  A fin de contener los costos de traducción, </w:t>
      </w:r>
      <w:r w:rsidRPr="00A339B4">
        <w:rPr>
          <w:rFonts w:ascii="Arial" w:hAnsi="Arial" w:cs="Arial"/>
          <w:sz w:val="20"/>
          <w:lang w:val="es-ES_tradnl"/>
        </w:rPr>
        <w:t>se ha reforzado la red de traductores externos por cuenta propia y de agencias</w:t>
      </w:r>
      <w:r>
        <w:rPr>
          <w:rFonts w:ascii="Arial" w:hAnsi="Arial" w:cs="Arial"/>
          <w:sz w:val="20"/>
          <w:lang w:val="es-ES_tradnl"/>
        </w:rPr>
        <w:t xml:space="preserve"> de traducción para garantizar una distribución idónea del trabajo entre proveedores </w:t>
      </w:r>
      <w:r w:rsidRPr="00A339B4">
        <w:rPr>
          <w:rFonts w:ascii="Arial" w:hAnsi="Arial" w:cs="Arial"/>
          <w:sz w:val="20"/>
          <w:lang w:val="es-ES_tradnl"/>
        </w:rPr>
        <w:t>de traducción</w:t>
      </w:r>
      <w:r>
        <w:rPr>
          <w:rFonts w:ascii="Arial" w:hAnsi="Arial" w:cs="Arial"/>
          <w:sz w:val="20"/>
          <w:lang w:val="es-ES_tradnl"/>
        </w:rPr>
        <w:t>,</w:t>
      </w:r>
      <w:r>
        <w:rPr>
          <w:rFonts w:ascii="Arial" w:hAnsi="Arial" w:cs="Arial"/>
          <w:sz w:val="20"/>
          <w:lang w:val="es-ES"/>
        </w:rPr>
        <w:t xml:space="preserve"> y se han puesto en marcha nuevas herramientas de tecnología para mejorar el proceso de traducción, crear bases de datos terminológicas y garantizar el control de calidad.  También se seguirá supervisando estrechamente la extensión y el número de documentos.  Estas medidas de racionalización han dado lugar a la contención de los costos de traducción.</w:t>
      </w:r>
    </w:p>
    <w:p w:rsidR="00236E18" w:rsidRPr="00362498" w:rsidRDefault="00236E18" w:rsidP="00236E18">
      <w:pPr>
        <w:pStyle w:val="ListParagraph"/>
        <w:widowControl w:val="0"/>
        <w:tabs>
          <w:tab w:val="left" w:pos="567"/>
        </w:tabs>
        <w:ind w:left="0"/>
        <w:jc w:val="both"/>
        <w:rPr>
          <w:rFonts w:ascii="Arial" w:hAnsi="Arial" w:cs="Arial"/>
          <w:sz w:val="20"/>
          <w:lang w:val="es-ES"/>
        </w:rPr>
      </w:pPr>
      <w:r w:rsidRPr="00362498">
        <w:rPr>
          <w:rFonts w:ascii="Arial" w:hAnsi="Arial" w:cs="Arial"/>
          <w:sz w:val="20"/>
          <w:lang w:val="es-ES"/>
        </w:rPr>
        <w:t xml:space="preserve"> </w:t>
      </w:r>
    </w:p>
    <w:p w:rsidR="00236E18" w:rsidRPr="00362498" w:rsidRDefault="00236E18" w:rsidP="00236E18">
      <w:pPr>
        <w:pStyle w:val="ListParagraph"/>
        <w:numPr>
          <w:ilvl w:val="0"/>
          <w:numId w:val="7"/>
        </w:numPr>
        <w:tabs>
          <w:tab w:val="right" w:pos="1134"/>
        </w:tabs>
        <w:ind w:left="1134" w:hanging="567"/>
        <w:jc w:val="both"/>
        <w:rPr>
          <w:rFonts w:ascii="Arial" w:hAnsi="Arial" w:cs="Arial"/>
          <w:i/>
          <w:sz w:val="20"/>
          <w:lang w:val="es-ES"/>
        </w:rPr>
      </w:pPr>
      <w:r w:rsidRPr="00B7417C">
        <w:rPr>
          <w:rFonts w:ascii="Arial" w:hAnsi="Arial" w:cs="Arial"/>
          <w:i/>
          <w:sz w:val="20"/>
          <w:lang w:val="es-ES"/>
        </w:rPr>
        <w:t>L</w:t>
      </w:r>
      <w:r>
        <w:rPr>
          <w:rFonts w:ascii="Arial" w:hAnsi="Arial" w:cs="Arial"/>
          <w:i/>
          <w:sz w:val="20"/>
          <w:lang w:val="es-ES"/>
        </w:rPr>
        <w:t>a correspondiente dotación global de</w:t>
      </w:r>
      <w:r w:rsidRPr="00B7417C">
        <w:rPr>
          <w:rFonts w:ascii="Arial" w:hAnsi="Arial" w:cs="Arial"/>
          <w:i/>
          <w:sz w:val="20"/>
          <w:lang w:val="es-ES"/>
        </w:rPr>
        <w:t xml:space="preserve"> recursos queda reflejad</w:t>
      </w:r>
      <w:r>
        <w:rPr>
          <w:rFonts w:ascii="Arial" w:hAnsi="Arial" w:cs="Arial"/>
          <w:i/>
          <w:sz w:val="20"/>
          <w:lang w:val="es-ES"/>
        </w:rPr>
        <w:t>a</w:t>
      </w:r>
      <w:r w:rsidRPr="00B7417C">
        <w:rPr>
          <w:rFonts w:ascii="Arial" w:hAnsi="Arial"/>
          <w:i/>
          <w:sz w:val="20"/>
          <w:lang w:val="es-ES"/>
        </w:rPr>
        <w:t xml:space="preserve"> </w:t>
      </w:r>
      <w:r>
        <w:rPr>
          <w:rFonts w:ascii="Arial" w:hAnsi="Arial" w:cs="Arial"/>
          <w:i/>
          <w:sz w:val="20"/>
          <w:lang w:val="es-ES"/>
        </w:rPr>
        <w:t>en el programa 27 (Servicios de conferencias y lingüísticos).  Por lo tanto, se prevé que no será necesaria en 2016/17 una parte del aumento en el presupuesto de gastos no relativos a personal aprobado para el programa en el bienio 2014/15.</w:t>
      </w:r>
    </w:p>
    <w:p w:rsidR="00236E18" w:rsidRPr="00362498" w:rsidRDefault="00236E18" w:rsidP="00236E18">
      <w:pPr>
        <w:pStyle w:val="ListParagraph"/>
        <w:tabs>
          <w:tab w:val="left" w:pos="709"/>
        </w:tabs>
        <w:autoSpaceDE w:val="0"/>
        <w:autoSpaceDN w:val="0"/>
        <w:adjustRightInd w:val="0"/>
        <w:ind w:left="0"/>
        <w:jc w:val="both"/>
        <w:rPr>
          <w:rFonts w:ascii="Arial" w:hAnsi="Arial" w:cs="Arial"/>
          <w:sz w:val="20"/>
          <w:lang w:val="es-ES"/>
        </w:rPr>
      </w:pPr>
    </w:p>
    <w:p w:rsidR="00236E18" w:rsidRPr="00362498"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Pr>
          <w:rFonts w:ascii="Arial" w:hAnsi="Arial" w:cs="Arial"/>
          <w:sz w:val="20"/>
          <w:lang w:val="es-ES"/>
        </w:rPr>
        <w:t>El bienio siguiente se caracterizará por varios cambios en el ámbito bancario y de inversiones habida cuenta de que en diciembre de 2015 se pondrá fin al ventajoso mecanismo financiero que proporciona actualmente a la OMPI el Departamento Federal Suizo de Finanzas y de la introducción de tipos de interés negativos en los depósitos en francos suizos.  Por lo tanto, será necesario velar por la existencia de un modelo de planificación y gestión más activo, y al mismo tiempo prudente, orientado por una política de inversiones revisada aprobada por los Estados miembros.</w:t>
      </w:r>
    </w:p>
    <w:p w:rsidR="00236E18" w:rsidRPr="00362498" w:rsidRDefault="00236E18" w:rsidP="00236E18">
      <w:pPr>
        <w:pStyle w:val="ListParagraph"/>
        <w:widowControl w:val="0"/>
        <w:tabs>
          <w:tab w:val="left" w:pos="567"/>
        </w:tabs>
        <w:ind w:left="0"/>
        <w:jc w:val="both"/>
        <w:rPr>
          <w:rFonts w:ascii="Arial" w:hAnsi="Arial" w:cs="Arial"/>
          <w:sz w:val="20"/>
          <w:lang w:val="es-ES"/>
        </w:rPr>
      </w:pPr>
    </w:p>
    <w:p w:rsidR="00236E18" w:rsidRPr="00362498" w:rsidRDefault="00236E18" w:rsidP="00236E18">
      <w:pPr>
        <w:pStyle w:val="ListParagraph"/>
        <w:numPr>
          <w:ilvl w:val="0"/>
          <w:numId w:val="7"/>
        </w:numPr>
        <w:tabs>
          <w:tab w:val="right" w:pos="1134"/>
        </w:tabs>
        <w:ind w:left="1134" w:hanging="567"/>
        <w:jc w:val="both"/>
        <w:rPr>
          <w:rFonts w:ascii="Arial" w:hAnsi="Arial" w:cs="Arial"/>
          <w:i/>
          <w:sz w:val="20"/>
          <w:lang w:val="es-ES"/>
        </w:rPr>
      </w:pPr>
      <w:r>
        <w:rPr>
          <w:rFonts w:ascii="Arial" w:hAnsi="Arial" w:cs="Arial"/>
          <w:i/>
          <w:sz w:val="20"/>
          <w:lang w:val="es-ES"/>
        </w:rPr>
        <w:t>Se ha dispuesto una asignación de 2,4 millones de francos suizos en el presupuesto de recursos no relativos a personal para el pago de los tipos de interés negativos en los depósitos de la OMPI.</w:t>
      </w:r>
    </w:p>
    <w:p w:rsidR="00236E18" w:rsidRPr="00362498" w:rsidRDefault="00236E18" w:rsidP="00236E18">
      <w:pPr>
        <w:pStyle w:val="ListParagraph"/>
        <w:tabs>
          <w:tab w:val="left" w:pos="567"/>
          <w:tab w:val="left" w:pos="709"/>
        </w:tabs>
        <w:ind w:left="0"/>
        <w:jc w:val="both"/>
        <w:rPr>
          <w:rFonts w:ascii="Arial" w:hAnsi="Arial" w:cs="Arial"/>
          <w:sz w:val="20"/>
          <w:lang w:val="es-ES"/>
        </w:rPr>
      </w:pPr>
    </w:p>
    <w:p w:rsidR="00236E18"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Pr>
          <w:rFonts w:ascii="Arial" w:hAnsi="Arial" w:cs="Arial"/>
          <w:sz w:val="20"/>
          <w:lang w:val="es-ES"/>
        </w:rPr>
        <w:t>E</w:t>
      </w:r>
      <w:r w:rsidRPr="00362498">
        <w:rPr>
          <w:rFonts w:ascii="Arial" w:hAnsi="Arial" w:cs="Arial"/>
          <w:sz w:val="20"/>
          <w:lang w:val="es-ES"/>
        </w:rPr>
        <w:t xml:space="preserve">n 2016/17, </w:t>
      </w:r>
      <w:r>
        <w:rPr>
          <w:rFonts w:ascii="Arial" w:hAnsi="Arial" w:cs="Arial"/>
          <w:sz w:val="20"/>
          <w:lang w:val="es-ES"/>
        </w:rPr>
        <w:t>se intensificará la incorporación a las operaciones de los nuevos módulos y capacidades del sistema de PRI, lo que hará necesario el apoyo y el mantenimiento de un sistema complejo y plenamente integrado de PRI que funcione de manera eficaz en relación con los costos y esté orientado a los servicios.  La subcontratación de las tareas de apoyo, mantenimiento y desarrollo técnico al amparo de un sólido marco de gestión y control de calidad seguirá siendo una estrategia esencial a ese respecto.</w:t>
      </w:r>
    </w:p>
    <w:p w:rsidR="00236E18" w:rsidRPr="005B216D" w:rsidRDefault="00236E18" w:rsidP="00236E18">
      <w:pPr>
        <w:pStyle w:val="ListParagraph"/>
        <w:widowControl w:val="0"/>
        <w:tabs>
          <w:tab w:val="left" w:pos="567"/>
        </w:tabs>
        <w:ind w:left="0"/>
        <w:jc w:val="both"/>
        <w:rPr>
          <w:rFonts w:ascii="Arial" w:hAnsi="Arial" w:cs="Arial"/>
          <w:sz w:val="20"/>
          <w:lang w:val="es-ES"/>
        </w:rPr>
      </w:pPr>
    </w:p>
    <w:p w:rsidR="00236E18" w:rsidRPr="00362498" w:rsidRDefault="00236E18" w:rsidP="00236E18">
      <w:pPr>
        <w:pStyle w:val="ListParagraph"/>
        <w:widowControl w:val="0"/>
        <w:tabs>
          <w:tab w:val="left" w:pos="567"/>
        </w:tabs>
        <w:ind w:left="0"/>
        <w:jc w:val="both"/>
        <w:rPr>
          <w:rFonts w:ascii="Arial" w:hAnsi="Arial" w:cs="Arial"/>
          <w:sz w:val="20"/>
          <w:lang w:val="es-ES"/>
        </w:rPr>
      </w:pPr>
    </w:p>
    <w:p w:rsidR="00236E18" w:rsidRPr="00362498" w:rsidRDefault="00236E18" w:rsidP="00236E18">
      <w:pPr>
        <w:pStyle w:val="ListParagraph"/>
        <w:numPr>
          <w:ilvl w:val="0"/>
          <w:numId w:val="7"/>
        </w:numPr>
        <w:tabs>
          <w:tab w:val="right" w:pos="1134"/>
        </w:tabs>
        <w:ind w:left="1134" w:hanging="567"/>
        <w:jc w:val="both"/>
        <w:rPr>
          <w:rFonts w:ascii="Arial" w:hAnsi="Arial" w:cs="Arial"/>
          <w:i/>
          <w:sz w:val="20"/>
          <w:lang w:val="es-ES"/>
        </w:rPr>
      </w:pPr>
      <w:r>
        <w:rPr>
          <w:rFonts w:ascii="Arial" w:hAnsi="Arial" w:cs="Arial"/>
          <w:i/>
          <w:sz w:val="20"/>
          <w:lang w:val="es-ES"/>
        </w:rPr>
        <w:t>Se ha dispuesto una asignación de 1,6 millones de francos suizos para tener en cuenta el mayor peso que adquiere el PRI en la partida correspondiente al presupuesto de recursos no relativos a personal del programa 22 (Gestión de programas y recursos).</w:t>
      </w:r>
    </w:p>
    <w:p w:rsidR="00236E18" w:rsidRPr="00A45432" w:rsidRDefault="00236E18" w:rsidP="00236E18">
      <w:pPr>
        <w:pStyle w:val="ListParagraph"/>
        <w:tabs>
          <w:tab w:val="left" w:pos="567"/>
          <w:tab w:val="left" w:pos="709"/>
        </w:tabs>
        <w:ind w:left="0"/>
        <w:jc w:val="both"/>
        <w:rPr>
          <w:rFonts w:ascii="Arial" w:hAnsi="Arial" w:cs="Arial"/>
          <w:i/>
          <w:sz w:val="20"/>
          <w:lang w:val="es-ES"/>
        </w:rPr>
      </w:pPr>
    </w:p>
    <w:p w:rsidR="00236E18" w:rsidRPr="00A45432"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A45432">
        <w:rPr>
          <w:rFonts w:ascii="Arial" w:hAnsi="Arial"/>
          <w:sz w:val="20"/>
          <w:lang w:val="es-ES"/>
        </w:rPr>
        <w:t>Se han efectuado otras mejoras en los parámetros de evaluación, es decir, los indicadores de rendimiento, las referencias de base y los objetivos en concordancia con las recomendaciones efectuadas en la validación independiente llevada a cabo por la División de Supervisión Interna (DSI) y la petición de mejoras formulada por los Estados miembros con respecto al Informe sobre el rendimiento de los programas (PPR).  Las referencias del presupuesto por programas se han armonizado, en la medida de lo posible, con los datos sobre el rendimiento que figuran en el documento PPR de 2014.</w:t>
      </w:r>
      <w:r w:rsidRPr="00A45432">
        <w:rPr>
          <w:rStyle w:val="FootnoteReference"/>
          <w:rFonts w:ascii="Arial" w:hAnsi="Arial"/>
          <w:lang w:val="es-ES"/>
        </w:rPr>
        <w:footnoteReference w:id="11"/>
      </w:r>
      <w:r w:rsidRPr="00A45432">
        <w:rPr>
          <w:rFonts w:ascii="Arial" w:hAnsi="Arial"/>
          <w:sz w:val="20"/>
          <w:lang w:val="es-ES"/>
        </w:rPr>
        <w:t xml:space="preserve"> </w:t>
      </w:r>
    </w:p>
    <w:p w:rsidR="00236E18" w:rsidRPr="00A45432" w:rsidRDefault="00236E18" w:rsidP="00236E18"/>
    <w:p w:rsidR="00236E18" w:rsidRPr="00A45432"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A45432">
        <w:rPr>
          <w:rFonts w:ascii="Arial" w:hAnsi="Arial"/>
          <w:sz w:val="20"/>
          <w:lang w:val="es-ES"/>
        </w:rPr>
        <w:t>La aplicación de un procedimiento estructurado y periódico de gestión de los riesgos en toda la Organización ha dado lugar a que mejore la planificación y se conozcan mejor las circunstancias que podrían obstaculizar el logro de los resultados previstos.  Actualmente todos los programas llevan a cabo evaluaciones de riesgos como parte de la planificación bienal y de los planes de trabajo anuales.  A lo largo del presente documento se exponen detalladamente al final de cada reseña de programa los principales riesgos y estrategias de mitigación para cada programa.</w:t>
      </w:r>
    </w:p>
    <w:p w:rsidR="00236E18" w:rsidRPr="00362498" w:rsidRDefault="00236E18" w:rsidP="00236E18">
      <w:pPr>
        <w:widowControl w:val="0"/>
        <w:tabs>
          <w:tab w:val="num" w:pos="690"/>
        </w:tabs>
        <w:jc w:val="center"/>
        <w:rPr>
          <w:b/>
          <w:sz w:val="18"/>
          <w:szCs w:val="18"/>
        </w:rPr>
      </w:pPr>
    </w:p>
    <w:p w:rsidR="00236E18" w:rsidRPr="00362498" w:rsidRDefault="00236E18" w:rsidP="00236E18">
      <w:pPr>
        <w:rPr>
          <w:b/>
          <w:sz w:val="16"/>
          <w:szCs w:val="16"/>
        </w:rPr>
      </w:pPr>
      <w:r w:rsidRPr="00362498">
        <w:rPr>
          <w:b/>
          <w:sz w:val="16"/>
          <w:szCs w:val="16"/>
        </w:rPr>
        <w:br w:type="page"/>
      </w:r>
    </w:p>
    <w:p w:rsidR="00236E18" w:rsidRPr="00803935" w:rsidRDefault="00236E18" w:rsidP="00236E18">
      <w:pPr>
        <w:widowControl w:val="0"/>
        <w:tabs>
          <w:tab w:val="num" w:pos="690"/>
        </w:tabs>
        <w:jc w:val="center"/>
        <w:rPr>
          <w:b/>
          <w:sz w:val="20"/>
          <w:szCs w:val="16"/>
        </w:rPr>
      </w:pPr>
      <w:r>
        <w:rPr>
          <w:b/>
          <w:sz w:val="20"/>
          <w:szCs w:val="16"/>
        </w:rPr>
        <w:lastRenderedPageBreak/>
        <w:t>Cuadro</w:t>
      </w:r>
      <w:r w:rsidRPr="00362498">
        <w:rPr>
          <w:b/>
          <w:sz w:val="20"/>
          <w:szCs w:val="16"/>
        </w:rPr>
        <w:t xml:space="preserve"> 5.  </w:t>
      </w:r>
      <w:r w:rsidRPr="00803935">
        <w:rPr>
          <w:b/>
          <w:sz w:val="20"/>
          <w:szCs w:val="16"/>
        </w:rPr>
        <w:t>Presupuesto propuesto para 2016/17, por objeto de gasto</w:t>
      </w:r>
    </w:p>
    <w:p w:rsidR="00236E18" w:rsidRPr="00803935" w:rsidRDefault="00236E18" w:rsidP="00236E18">
      <w:pPr>
        <w:widowControl w:val="0"/>
        <w:tabs>
          <w:tab w:val="num" w:pos="690"/>
        </w:tabs>
        <w:jc w:val="center"/>
        <w:rPr>
          <w:i/>
          <w:sz w:val="20"/>
          <w:szCs w:val="16"/>
        </w:rPr>
      </w:pPr>
      <w:r w:rsidRPr="00803935">
        <w:rPr>
          <w:i/>
          <w:sz w:val="20"/>
          <w:szCs w:val="16"/>
        </w:rPr>
        <w:t>(</w:t>
      </w:r>
      <w:proofErr w:type="gramStart"/>
      <w:r w:rsidRPr="00803935">
        <w:rPr>
          <w:i/>
          <w:sz w:val="20"/>
          <w:szCs w:val="16"/>
        </w:rPr>
        <w:t>en</w:t>
      </w:r>
      <w:proofErr w:type="gramEnd"/>
      <w:r w:rsidRPr="00803935">
        <w:rPr>
          <w:i/>
          <w:sz w:val="20"/>
          <w:szCs w:val="16"/>
        </w:rPr>
        <w:t xml:space="preserve"> miles de francos suizos)</w:t>
      </w:r>
    </w:p>
    <w:p w:rsidR="00236E18" w:rsidRPr="00362498" w:rsidRDefault="00236E18" w:rsidP="00236E18">
      <w:pPr>
        <w:widowControl w:val="0"/>
        <w:tabs>
          <w:tab w:val="num" w:pos="690"/>
        </w:tabs>
        <w:jc w:val="both"/>
        <w:rPr>
          <w:color w:val="000000"/>
          <w:sz w:val="20"/>
        </w:rPr>
      </w:pPr>
    </w:p>
    <w:p w:rsidR="00236E18" w:rsidRPr="00362498" w:rsidRDefault="00236E18" w:rsidP="00236E18">
      <w:pPr>
        <w:widowControl w:val="0"/>
        <w:tabs>
          <w:tab w:val="num" w:pos="690"/>
        </w:tabs>
        <w:jc w:val="center"/>
      </w:pPr>
      <w:r>
        <w:rPr>
          <w:noProof/>
          <w:lang w:val="en-US" w:eastAsia="en-US"/>
        </w:rPr>
        <w:drawing>
          <wp:inline distT="0" distB="0" distL="0" distR="0" wp14:anchorId="1F7DF91A" wp14:editId="3ECA145E">
            <wp:extent cx="5940425" cy="6443076"/>
            <wp:effectExtent l="0" t="0" r="3175" b="0"/>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6443076"/>
                    </a:xfrm>
                    <a:prstGeom prst="rect">
                      <a:avLst/>
                    </a:prstGeom>
                    <a:noFill/>
                    <a:ln>
                      <a:noFill/>
                    </a:ln>
                  </pic:spPr>
                </pic:pic>
              </a:graphicData>
            </a:graphic>
          </wp:inline>
        </w:drawing>
      </w:r>
    </w:p>
    <w:p w:rsidR="00236E18" w:rsidRPr="00803935" w:rsidRDefault="00236E18" w:rsidP="00236E18">
      <w:pPr>
        <w:widowControl w:val="0"/>
        <w:tabs>
          <w:tab w:val="num" w:pos="690"/>
        </w:tabs>
        <w:rPr>
          <w:i/>
          <w:sz w:val="16"/>
          <w:szCs w:val="14"/>
        </w:rPr>
      </w:pPr>
      <w:r w:rsidRPr="00803935">
        <w:rPr>
          <w:i/>
          <w:sz w:val="16"/>
          <w:szCs w:val="14"/>
        </w:rPr>
        <w:t xml:space="preserve">Notas: </w:t>
      </w:r>
    </w:p>
    <w:p w:rsidR="00236E18" w:rsidRPr="00803935" w:rsidRDefault="00236E18" w:rsidP="00236E18">
      <w:pPr>
        <w:pStyle w:val="ListParagraph"/>
        <w:widowControl w:val="0"/>
        <w:numPr>
          <w:ilvl w:val="0"/>
          <w:numId w:val="9"/>
        </w:numPr>
        <w:spacing w:after="60"/>
        <w:ind w:left="181" w:hanging="181"/>
        <w:rPr>
          <w:rFonts w:ascii="Arial" w:eastAsia="SimSun" w:hAnsi="Arial" w:cs="Arial"/>
          <w:i/>
          <w:sz w:val="16"/>
          <w:szCs w:val="14"/>
          <w:lang w:val="es-ES"/>
        </w:rPr>
      </w:pPr>
      <w:r w:rsidRPr="00803935">
        <w:rPr>
          <w:rFonts w:ascii="Arial" w:eastAsia="SimSun" w:hAnsi="Arial" w:cs="Arial"/>
          <w:i/>
          <w:sz w:val="16"/>
          <w:szCs w:val="14"/>
          <w:lang w:val="es-ES"/>
        </w:rPr>
        <w:t>El presupuesto de 2014/</w:t>
      </w:r>
      <w:r>
        <w:rPr>
          <w:rFonts w:ascii="Arial" w:eastAsia="SimSun" w:hAnsi="Arial" w:cs="Arial"/>
          <w:i/>
          <w:sz w:val="16"/>
          <w:szCs w:val="14"/>
          <w:lang w:val="es-ES"/>
        </w:rPr>
        <w:t>15 tras las</w:t>
      </w:r>
      <w:r w:rsidRPr="00803935">
        <w:rPr>
          <w:rFonts w:ascii="Arial" w:eastAsia="SimSun" w:hAnsi="Arial" w:cs="Arial"/>
          <w:i/>
          <w:sz w:val="16"/>
          <w:szCs w:val="14"/>
          <w:lang w:val="es-ES"/>
        </w:rPr>
        <w:t xml:space="preserve"> transferencias refleja las transferencias efectuadas para satisfacer necesidades durante el bienio 2014/15 en concordancia con lo dispuesto en el artículo 5.5 del Reglamento Financiero:  ”El Director General podrá efectuar transferencias de un programa a otro del presupuesto por programas durante un ejercicio económico determinado y hasta el límite del cinco por ciento de la cuantía total correspondiente a la consignación bienal del programa receptor, o al uno por ciento del presupuesto total, si esta suma fuese superior, cuando esas transferencias sean necesarias para asegurar el funcionamiento adecuado de los servicios”.  El presupuesto de 2014/</w:t>
      </w:r>
      <w:r>
        <w:rPr>
          <w:rFonts w:ascii="Arial" w:eastAsia="SimSun" w:hAnsi="Arial" w:cs="Arial"/>
          <w:i/>
          <w:sz w:val="16"/>
          <w:szCs w:val="14"/>
          <w:lang w:val="es-ES"/>
        </w:rPr>
        <w:t>15 tras las</w:t>
      </w:r>
      <w:r w:rsidRPr="00803935">
        <w:rPr>
          <w:rFonts w:ascii="Arial" w:eastAsia="SimSun" w:hAnsi="Arial" w:cs="Arial"/>
          <w:i/>
          <w:sz w:val="16"/>
          <w:szCs w:val="14"/>
          <w:lang w:val="es-ES"/>
        </w:rPr>
        <w:t xml:space="preserve"> trans</w:t>
      </w:r>
      <w:r>
        <w:rPr>
          <w:rFonts w:ascii="Arial" w:eastAsia="SimSun" w:hAnsi="Arial" w:cs="Arial"/>
          <w:i/>
          <w:sz w:val="16"/>
          <w:szCs w:val="14"/>
          <w:lang w:val="es-ES"/>
        </w:rPr>
        <w:t>ferencias es del 31 de marzo de </w:t>
      </w:r>
      <w:r w:rsidRPr="00803935">
        <w:rPr>
          <w:rFonts w:ascii="Arial" w:eastAsia="SimSun" w:hAnsi="Arial" w:cs="Arial"/>
          <w:i/>
          <w:sz w:val="16"/>
          <w:szCs w:val="14"/>
          <w:lang w:val="es-ES"/>
        </w:rPr>
        <w:t>2015.</w:t>
      </w:r>
    </w:p>
    <w:p w:rsidR="00236E18" w:rsidRPr="00803935" w:rsidRDefault="00236E18" w:rsidP="00236E18">
      <w:pPr>
        <w:pStyle w:val="ListParagraph"/>
        <w:widowControl w:val="0"/>
        <w:numPr>
          <w:ilvl w:val="0"/>
          <w:numId w:val="9"/>
        </w:numPr>
        <w:ind w:left="180" w:hanging="180"/>
        <w:rPr>
          <w:rFonts w:ascii="Arial" w:eastAsia="SimSun" w:hAnsi="Arial" w:cs="Arial"/>
          <w:i/>
          <w:sz w:val="16"/>
          <w:szCs w:val="14"/>
          <w:lang w:val="es-ES"/>
        </w:rPr>
      </w:pPr>
      <w:r w:rsidRPr="00803935">
        <w:rPr>
          <w:rFonts w:ascii="Arial" w:eastAsia="SimSun" w:hAnsi="Arial" w:cs="Arial"/>
          <w:i/>
          <w:sz w:val="16"/>
          <w:szCs w:val="14"/>
          <w:lang w:val="es-ES"/>
        </w:rPr>
        <w:t>Los cambios en las categorías de costos entre el bienio 2014/15 y 2016/17 se explican en la sección “Cambios en las categorías de costos</w:t>
      </w:r>
      <w:r>
        <w:rPr>
          <w:rFonts w:ascii="Arial" w:eastAsia="SimSun" w:hAnsi="Arial" w:cs="Arial"/>
          <w:i/>
          <w:sz w:val="16"/>
          <w:szCs w:val="14"/>
          <w:lang w:val="es-ES"/>
        </w:rPr>
        <w:t>” que figura más adelante.</w:t>
      </w:r>
    </w:p>
    <w:p w:rsidR="00236E18" w:rsidRPr="00803935" w:rsidRDefault="00236E18" w:rsidP="00236E18">
      <w:pPr>
        <w:widowControl w:val="0"/>
        <w:tabs>
          <w:tab w:val="num" w:pos="690"/>
        </w:tabs>
        <w:rPr>
          <w:i/>
          <w:sz w:val="20"/>
          <w:szCs w:val="14"/>
        </w:rPr>
      </w:pPr>
    </w:p>
    <w:p w:rsidR="00236E18" w:rsidRPr="00362498" w:rsidRDefault="00236E18" w:rsidP="00236E18">
      <w:pPr>
        <w:widowControl w:val="0"/>
        <w:tabs>
          <w:tab w:val="num" w:pos="690"/>
        </w:tabs>
        <w:rPr>
          <w:i/>
          <w:sz w:val="20"/>
          <w:szCs w:val="14"/>
        </w:rPr>
      </w:pPr>
    </w:p>
    <w:p w:rsidR="00236E18" w:rsidRPr="00803935" w:rsidRDefault="00236E18" w:rsidP="00236E18">
      <w:pPr>
        <w:pStyle w:val="StyleHeading3ComplexItalic"/>
        <w:keepLines/>
        <w:tabs>
          <w:tab w:val="clear" w:pos="1985"/>
          <w:tab w:val="left" w:pos="1843"/>
        </w:tabs>
        <w:ind w:left="1843" w:hanging="1843"/>
        <w:rPr>
          <w:sz w:val="20"/>
          <w:lang w:val="es-ES"/>
        </w:rPr>
      </w:pPr>
      <w:bookmarkStart w:id="21" w:name="_Toc419540400"/>
      <w:bookmarkStart w:id="22" w:name="_Toc431573535"/>
      <w:bookmarkStart w:id="23" w:name="_Toc431573935"/>
      <w:r w:rsidRPr="00803935">
        <w:rPr>
          <w:sz w:val="20"/>
          <w:lang w:val="es-ES"/>
        </w:rPr>
        <w:lastRenderedPageBreak/>
        <w:t>RECURSOS NO RELATIVOS A PERSONAL</w:t>
      </w:r>
      <w:bookmarkEnd w:id="21"/>
      <w:bookmarkEnd w:id="22"/>
      <w:bookmarkEnd w:id="23"/>
    </w:p>
    <w:p w:rsidR="00236E18" w:rsidRPr="00803935" w:rsidRDefault="00236E18" w:rsidP="00236E18">
      <w:pPr>
        <w:keepNext/>
        <w:keepLines/>
        <w:widowControl w:val="0"/>
        <w:tabs>
          <w:tab w:val="num" w:pos="690"/>
        </w:tabs>
        <w:autoSpaceDE w:val="0"/>
        <w:autoSpaceDN w:val="0"/>
        <w:adjustRightInd w:val="0"/>
        <w:jc w:val="both"/>
        <w:rPr>
          <w:b/>
          <w:sz w:val="20"/>
        </w:rPr>
      </w:pPr>
    </w:p>
    <w:p w:rsidR="00236E18" w:rsidRPr="00321AE8" w:rsidRDefault="00236E18" w:rsidP="00236E18">
      <w:pPr>
        <w:pStyle w:val="ListParagraph"/>
        <w:keepNext/>
        <w:keepLines/>
        <w:widowControl w:val="0"/>
        <w:numPr>
          <w:ilvl w:val="0"/>
          <w:numId w:val="5"/>
        </w:numPr>
        <w:tabs>
          <w:tab w:val="left" w:pos="567"/>
        </w:tabs>
        <w:ind w:left="0" w:firstLine="0"/>
        <w:jc w:val="both"/>
        <w:rPr>
          <w:rFonts w:ascii="Arial" w:eastAsia="SimSun" w:hAnsi="Arial" w:cs="Arial"/>
          <w:color w:val="000000"/>
          <w:sz w:val="20"/>
          <w:lang w:val="es-ES" w:eastAsia="zh-CN"/>
        </w:rPr>
      </w:pPr>
      <w:r w:rsidRPr="00803935">
        <w:rPr>
          <w:rFonts w:ascii="Arial" w:hAnsi="Arial"/>
          <w:sz w:val="20"/>
          <w:lang w:val="es-ES"/>
        </w:rPr>
        <w:t xml:space="preserve">El aumento de los recursos </w:t>
      </w:r>
      <w:r>
        <w:rPr>
          <w:rFonts w:ascii="Arial" w:hAnsi="Arial"/>
          <w:sz w:val="20"/>
          <w:lang w:val="es-ES"/>
        </w:rPr>
        <w:t>no relativos a personal</w:t>
      </w:r>
      <w:r w:rsidRPr="00803935">
        <w:rPr>
          <w:rFonts w:ascii="Arial" w:hAnsi="Arial"/>
          <w:sz w:val="20"/>
          <w:lang w:val="es-ES"/>
        </w:rPr>
        <w:t xml:space="preserve"> en </w:t>
      </w:r>
      <w:r w:rsidRPr="00803935">
        <w:rPr>
          <w:rFonts w:ascii="Arial" w:eastAsia="SimSun" w:hAnsi="Arial" w:cs="Arial"/>
          <w:sz w:val="20"/>
          <w:lang w:val="es-ES" w:eastAsia="zh-CN"/>
        </w:rPr>
        <w:t xml:space="preserve">2016/17 asciende a 22,8 millones de francos suizos, es decir, el 10%, en comparación con el presupuesto </w:t>
      </w:r>
      <w:r>
        <w:rPr>
          <w:rFonts w:ascii="Arial" w:eastAsia="SimSun" w:hAnsi="Arial" w:cs="Arial"/>
          <w:sz w:val="20"/>
          <w:lang w:val="es-ES" w:eastAsia="zh-CN"/>
        </w:rPr>
        <w:t>aprobado de </w:t>
      </w:r>
      <w:r w:rsidRPr="00803935">
        <w:rPr>
          <w:rFonts w:ascii="Arial" w:eastAsia="SimSun" w:hAnsi="Arial" w:cs="Arial"/>
          <w:sz w:val="20"/>
          <w:lang w:val="es-ES" w:eastAsia="zh-CN"/>
        </w:rPr>
        <w:t>2014</w:t>
      </w:r>
      <w:r w:rsidRPr="00321AE8">
        <w:rPr>
          <w:rFonts w:ascii="Arial" w:eastAsia="SimSun" w:hAnsi="Arial" w:cs="Arial"/>
          <w:color w:val="000000"/>
          <w:sz w:val="20"/>
          <w:lang w:val="es-ES" w:eastAsia="zh-CN"/>
        </w:rPr>
        <w:t xml:space="preserve">/15. </w:t>
      </w:r>
      <w:r>
        <w:rPr>
          <w:rFonts w:ascii="Arial" w:eastAsia="SimSun" w:hAnsi="Arial" w:cs="Arial"/>
          <w:color w:val="000000"/>
          <w:sz w:val="20"/>
          <w:lang w:val="es-ES" w:eastAsia="zh-CN"/>
        </w:rPr>
        <w:t>Sin embargo, en comparación con el total de recursos no relativos a personal del presupuesto aprobado de 2012/13</w:t>
      </w:r>
      <w:r w:rsidRPr="00362498">
        <w:rPr>
          <w:rStyle w:val="FootnoteReference"/>
          <w:rFonts w:ascii="Arial" w:eastAsia="SimSun" w:hAnsi="Arial" w:cs="Arial"/>
          <w:color w:val="000000"/>
          <w:sz w:val="20"/>
          <w:lang w:val="es-ES" w:eastAsia="zh-CN"/>
        </w:rPr>
        <w:footnoteReference w:id="12"/>
      </w:r>
      <w:r w:rsidRPr="00321AE8">
        <w:rPr>
          <w:rFonts w:ascii="Arial" w:eastAsia="SimSun" w:hAnsi="Arial" w:cs="Arial"/>
          <w:color w:val="000000"/>
          <w:sz w:val="20"/>
          <w:lang w:val="es-ES" w:eastAsia="zh-CN"/>
        </w:rPr>
        <w:t xml:space="preserve">, </w:t>
      </w:r>
      <w:r>
        <w:rPr>
          <w:rFonts w:ascii="Arial" w:eastAsia="SimSun" w:hAnsi="Arial" w:cs="Arial"/>
          <w:color w:val="000000"/>
          <w:sz w:val="20"/>
          <w:lang w:val="es-ES" w:eastAsia="zh-CN"/>
        </w:rPr>
        <w:t>los recursos no relativos a personal del presupuesto de 2016/17 representan solo un aumento del 4,9%</w:t>
      </w:r>
      <w:r w:rsidRPr="00321AE8">
        <w:rPr>
          <w:rFonts w:ascii="Arial" w:eastAsia="SimSun" w:hAnsi="Arial" w:cs="Arial"/>
          <w:color w:val="000000"/>
          <w:sz w:val="20"/>
          <w:lang w:val="es-ES" w:eastAsia="zh-CN"/>
        </w:rPr>
        <w:t xml:space="preserve">. </w:t>
      </w:r>
    </w:p>
    <w:p w:rsidR="00236E18" w:rsidRPr="00362498" w:rsidRDefault="00236E18" w:rsidP="00236E18">
      <w:pPr>
        <w:widowControl w:val="0"/>
        <w:tabs>
          <w:tab w:val="num" w:pos="690"/>
        </w:tabs>
        <w:autoSpaceDE w:val="0"/>
        <w:autoSpaceDN w:val="0"/>
        <w:adjustRightInd w:val="0"/>
        <w:jc w:val="both"/>
        <w:rPr>
          <w:color w:val="000000"/>
          <w:sz w:val="20"/>
        </w:rPr>
      </w:pPr>
    </w:p>
    <w:p w:rsidR="00236E18" w:rsidRPr="00362498" w:rsidRDefault="00236E18" w:rsidP="00236E18">
      <w:pPr>
        <w:pStyle w:val="ListParagraph"/>
        <w:widowControl w:val="0"/>
        <w:numPr>
          <w:ilvl w:val="0"/>
          <w:numId w:val="5"/>
        </w:numPr>
        <w:tabs>
          <w:tab w:val="left" w:pos="567"/>
        </w:tabs>
        <w:ind w:left="0" w:firstLine="0"/>
        <w:jc w:val="both"/>
        <w:rPr>
          <w:rFonts w:ascii="Arial" w:eastAsia="SimSun" w:hAnsi="Arial" w:cs="Arial"/>
          <w:color w:val="000000"/>
          <w:sz w:val="20"/>
          <w:lang w:val="es-ES" w:eastAsia="zh-CN"/>
        </w:rPr>
      </w:pPr>
      <w:r>
        <w:rPr>
          <w:rFonts w:ascii="Arial" w:eastAsia="SimSun" w:hAnsi="Arial" w:cs="Arial"/>
          <w:color w:val="000000"/>
          <w:sz w:val="20"/>
          <w:lang w:val="es-ES" w:eastAsia="zh-CN"/>
        </w:rPr>
        <w:t>El leve aumento de los costos no relativos a personal ha sido posible gracias a una estrategia consciente de adopción de un modelo más flexible de asignación de recursos que ha dado lugar a la contención de los costos de personal.</w:t>
      </w:r>
    </w:p>
    <w:p w:rsidR="00236E18" w:rsidRPr="001828A4" w:rsidRDefault="00236E18" w:rsidP="00236E18">
      <w:pPr>
        <w:pStyle w:val="ListParagraph"/>
        <w:widowControl w:val="0"/>
        <w:tabs>
          <w:tab w:val="left" w:pos="567"/>
        </w:tabs>
        <w:ind w:left="0"/>
        <w:jc w:val="both"/>
        <w:rPr>
          <w:rFonts w:ascii="Arial" w:eastAsia="SimSun" w:hAnsi="Arial" w:cs="Arial"/>
          <w:color w:val="000000"/>
          <w:sz w:val="20"/>
          <w:lang w:val="es-ES" w:eastAsia="zh-CN"/>
        </w:rPr>
      </w:pPr>
    </w:p>
    <w:p w:rsidR="00236E18" w:rsidRPr="00362498" w:rsidRDefault="00236E18" w:rsidP="00236E18">
      <w:pPr>
        <w:pStyle w:val="ListParagraph"/>
        <w:widowControl w:val="0"/>
        <w:numPr>
          <w:ilvl w:val="0"/>
          <w:numId w:val="5"/>
        </w:numPr>
        <w:tabs>
          <w:tab w:val="left" w:pos="567"/>
        </w:tabs>
        <w:ind w:left="0" w:firstLine="0"/>
        <w:jc w:val="both"/>
        <w:rPr>
          <w:rFonts w:ascii="Arial" w:eastAsia="SimSun" w:hAnsi="Arial" w:cs="Arial"/>
          <w:color w:val="000000"/>
          <w:sz w:val="20"/>
          <w:lang w:val="es-ES" w:eastAsia="zh-CN"/>
        </w:rPr>
      </w:pPr>
      <w:r>
        <w:rPr>
          <w:rFonts w:ascii="Arial" w:eastAsia="SimSun" w:hAnsi="Arial" w:cs="Arial"/>
          <w:color w:val="000000"/>
          <w:sz w:val="20"/>
          <w:lang w:val="es-ES" w:eastAsia="zh-CN"/>
        </w:rPr>
        <w:t>El aumento de los costos no relativos a personal viene impulsado principalmente por</w:t>
      </w:r>
      <w:r w:rsidRPr="00362498">
        <w:rPr>
          <w:rFonts w:ascii="Arial" w:eastAsia="SimSun" w:hAnsi="Arial" w:cs="Arial"/>
          <w:color w:val="000000"/>
          <w:sz w:val="20"/>
          <w:lang w:val="es-ES" w:eastAsia="zh-CN"/>
        </w:rPr>
        <w:t>:</w:t>
      </w:r>
    </w:p>
    <w:p w:rsidR="00236E18" w:rsidRPr="00362498" w:rsidRDefault="00236E18" w:rsidP="00236E18">
      <w:pPr>
        <w:pStyle w:val="ListParagraph"/>
        <w:rPr>
          <w:rFonts w:ascii="Arial" w:eastAsia="SimSun" w:hAnsi="Arial" w:cs="Arial"/>
          <w:color w:val="000000"/>
          <w:sz w:val="20"/>
          <w:lang w:val="es-ES" w:eastAsia="zh-CN"/>
        </w:rPr>
      </w:pPr>
    </w:p>
    <w:p w:rsidR="00236E18" w:rsidRPr="00362498" w:rsidRDefault="00236E18" w:rsidP="00236E18">
      <w:pPr>
        <w:pStyle w:val="ListParagraph"/>
        <w:widowControl w:val="0"/>
        <w:numPr>
          <w:ilvl w:val="0"/>
          <w:numId w:val="7"/>
        </w:numPr>
        <w:tabs>
          <w:tab w:val="right" w:pos="1134"/>
        </w:tabs>
        <w:ind w:left="1134" w:hanging="567"/>
        <w:jc w:val="both"/>
        <w:rPr>
          <w:rFonts w:ascii="Arial" w:eastAsia="SimSun" w:hAnsi="Arial" w:cs="Arial"/>
          <w:color w:val="000000"/>
          <w:sz w:val="20"/>
          <w:lang w:val="es-ES" w:eastAsia="zh-CN"/>
        </w:rPr>
      </w:pPr>
      <w:r>
        <w:rPr>
          <w:rFonts w:ascii="Arial" w:eastAsia="SimSun" w:hAnsi="Arial" w:cs="Arial"/>
          <w:color w:val="000000"/>
          <w:sz w:val="20"/>
          <w:lang w:val="es-ES" w:eastAsia="zh-CN"/>
        </w:rPr>
        <w:t xml:space="preserve">El aumento del volumen de traducción del </w:t>
      </w:r>
      <w:r w:rsidRPr="00362498">
        <w:rPr>
          <w:rFonts w:ascii="Arial" w:eastAsia="SimSun" w:hAnsi="Arial" w:cs="Arial"/>
          <w:color w:val="000000"/>
          <w:sz w:val="20"/>
          <w:lang w:val="es-ES" w:eastAsia="zh-CN"/>
        </w:rPr>
        <w:t xml:space="preserve">PCT </w:t>
      </w:r>
    </w:p>
    <w:p w:rsidR="00236E18" w:rsidRPr="00362498" w:rsidRDefault="00236E18" w:rsidP="00236E18">
      <w:pPr>
        <w:pStyle w:val="ListParagraph"/>
        <w:widowControl w:val="0"/>
        <w:tabs>
          <w:tab w:val="right" w:pos="1134"/>
        </w:tabs>
        <w:spacing w:after="220"/>
        <w:ind w:left="1134"/>
        <w:jc w:val="both"/>
        <w:rPr>
          <w:rFonts w:ascii="Arial" w:eastAsia="SimSun" w:hAnsi="Arial" w:cs="Arial"/>
          <w:color w:val="000000"/>
          <w:sz w:val="20"/>
          <w:lang w:val="es-ES" w:eastAsia="zh-CN"/>
        </w:rPr>
      </w:pPr>
    </w:p>
    <w:p w:rsidR="00236E18" w:rsidRPr="00362498" w:rsidRDefault="00236E18" w:rsidP="00236E18">
      <w:pPr>
        <w:pStyle w:val="ListParagraph"/>
        <w:widowControl w:val="0"/>
        <w:numPr>
          <w:ilvl w:val="0"/>
          <w:numId w:val="8"/>
        </w:numPr>
        <w:ind w:left="1984" w:hanging="425"/>
        <w:jc w:val="both"/>
        <w:rPr>
          <w:rFonts w:ascii="Arial" w:eastAsia="SimSun" w:hAnsi="Arial" w:cs="Arial"/>
          <w:i/>
          <w:color w:val="000000"/>
          <w:sz w:val="20"/>
          <w:lang w:val="es-ES" w:eastAsia="zh-CN"/>
        </w:rPr>
      </w:pPr>
      <w:r>
        <w:rPr>
          <w:rFonts w:ascii="Arial" w:eastAsia="SimSun" w:hAnsi="Arial" w:cs="Arial"/>
          <w:i/>
          <w:color w:val="000000"/>
          <w:sz w:val="20"/>
          <w:lang w:val="es-ES" w:eastAsia="zh-CN"/>
        </w:rPr>
        <w:t>Costos adicionales de traducción estimados en 4,2 millones de francos suizos (reflejados</w:t>
      </w:r>
      <w:r w:rsidRPr="00362498">
        <w:rPr>
          <w:rFonts w:ascii="Arial" w:eastAsia="SimSun" w:hAnsi="Arial" w:cs="Arial"/>
          <w:i/>
          <w:color w:val="000000"/>
          <w:sz w:val="20"/>
          <w:lang w:val="es-ES" w:eastAsia="zh-CN"/>
        </w:rPr>
        <w:t xml:space="preserve"> </w:t>
      </w:r>
      <w:r>
        <w:rPr>
          <w:rFonts w:ascii="Arial" w:eastAsia="SimSun" w:hAnsi="Arial" w:cs="Arial"/>
          <w:i/>
          <w:color w:val="000000"/>
          <w:sz w:val="20"/>
          <w:lang w:val="es-ES" w:eastAsia="zh-CN"/>
        </w:rPr>
        <w:t>e</w:t>
      </w:r>
      <w:r w:rsidRPr="00362498">
        <w:rPr>
          <w:rFonts w:ascii="Arial" w:eastAsia="SimSun" w:hAnsi="Arial" w:cs="Arial"/>
          <w:i/>
          <w:color w:val="000000"/>
          <w:sz w:val="20"/>
          <w:lang w:val="es-ES" w:eastAsia="zh-CN"/>
        </w:rPr>
        <w:t xml:space="preserve">n </w:t>
      </w:r>
      <w:r>
        <w:rPr>
          <w:rFonts w:ascii="Arial" w:eastAsia="SimSun" w:hAnsi="Arial" w:cs="Arial"/>
          <w:i/>
          <w:color w:val="000000"/>
          <w:sz w:val="20"/>
          <w:lang w:val="es-ES" w:eastAsia="zh-CN"/>
        </w:rPr>
        <w:t xml:space="preserve">el programa </w:t>
      </w:r>
      <w:r w:rsidRPr="00362498">
        <w:rPr>
          <w:rFonts w:ascii="Arial" w:eastAsia="SimSun" w:hAnsi="Arial" w:cs="Arial"/>
          <w:i/>
          <w:color w:val="000000"/>
          <w:sz w:val="20"/>
          <w:lang w:val="es-ES" w:eastAsia="zh-CN"/>
        </w:rPr>
        <w:t xml:space="preserve">5 – </w:t>
      </w:r>
      <w:r>
        <w:rPr>
          <w:rFonts w:ascii="Arial" w:eastAsia="SimSun" w:hAnsi="Arial" w:cs="Arial"/>
          <w:i/>
          <w:color w:val="000000"/>
          <w:sz w:val="20"/>
          <w:lang w:val="es-ES" w:eastAsia="zh-CN"/>
        </w:rPr>
        <w:t>Sistema del PCT</w:t>
      </w:r>
      <w:r w:rsidRPr="00362498">
        <w:rPr>
          <w:rFonts w:ascii="Arial" w:eastAsia="SimSun" w:hAnsi="Arial" w:cs="Arial"/>
          <w:i/>
          <w:color w:val="000000"/>
          <w:sz w:val="20"/>
          <w:lang w:val="es-ES" w:eastAsia="zh-CN"/>
        </w:rPr>
        <w:t>)</w:t>
      </w:r>
    </w:p>
    <w:p w:rsidR="00236E18" w:rsidRPr="0077661E" w:rsidRDefault="00236E18" w:rsidP="00236E18">
      <w:pPr>
        <w:pStyle w:val="ListParagraph"/>
        <w:widowControl w:val="0"/>
        <w:ind w:left="1985"/>
        <w:jc w:val="both"/>
        <w:rPr>
          <w:rFonts w:ascii="Arial" w:eastAsia="SimSun" w:hAnsi="Arial" w:cs="Arial"/>
          <w:color w:val="000000"/>
          <w:sz w:val="20"/>
          <w:lang w:val="es-ES" w:eastAsia="zh-CN"/>
        </w:rPr>
      </w:pPr>
    </w:p>
    <w:p w:rsidR="00236E18" w:rsidRPr="00362498" w:rsidRDefault="00236E18" w:rsidP="00236E18">
      <w:pPr>
        <w:pStyle w:val="ListParagraph"/>
        <w:widowControl w:val="0"/>
        <w:numPr>
          <w:ilvl w:val="0"/>
          <w:numId w:val="7"/>
        </w:numPr>
        <w:tabs>
          <w:tab w:val="right" w:pos="1134"/>
        </w:tabs>
        <w:ind w:left="1134" w:hanging="567"/>
        <w:jc w:val="both"/>
        <w:rPr>
          <w:rFonts w:ascii="Arial" w:eastAsia="SimSun" w:hAnsi="Arial" w:cs="Arial"/>
          <w:color w:val="000000"/>
          <w:sz w:val="20"/>
          <w:lang w:val="es-ES" w:eastAsia="zh-CN"/>
        </w:rPr>
      </w:pPr>
      <w:r>
        <w:rPr>
          <w:rFonts w:ascii="Arial" w:eastAsia="SimSun" w:hAnsi="Arial" w:cs="Arial"/>
          <w:color w:val="000000"/>
          <w:sz w:val="20"/>
          <w:lang w:val="es-ES" w:eastAsia="zh-CN"/>
        </w:rPr>
        <w:t>El aumento del número de miembros del Sistema de Madrid y el fomento de la eficacia operacional del sistema</w:t>
      </w:r>
    </w:p>
    <w:p w:rsidR="00236E18" w:rsidRPr="00362498" w:rsidRDefault="00236E18" w:rsidP="00236E18">
      <w:pPr>
        <w:pStyle w:val="ListParagraph"/>
        <w:widowControl w:val="0"/>
        <w:ind w:left="1985"/>
        <w:jc w:val="both"/>
        <w:rPr>
          <w:rFonts w:ascii="Arial" w:eastAsia="SimSun" w:hAnsi="Arial" w:cs="Arial"/>
          <w:color w:val="000000"/>
          <w:sz w:val="20"/>
          <w:lang w:val="es-ES" w:eastAsia="zh-CN"/>
        </w:rPr>
      </w:pPr>
    </w:p>
    <w:p w:rsidR="00236E18" w:rsidRPr="004A009B" w:rsidRDefault="00236E18" w:rsidP="00236E18">
      <w:pPr>
        <w:pStyle w:val="ListParagraph"/>
        <w:widowControl w:val="0"/>
        <w:numPr>
          <w:ilvl w:val="0"/>
          <w:numId w:val="8"/>
        </w:numPr>
        <w:ind w:left="1984" w:hanging="425"/>
        <w:jc w:val="both"/>
        <w:rPr>
          <w:rFonts w:ascii="Arial" w:eastAsia="SimSun" w:hAnsi="Arial" w:cs="Arial"/>
          <w:i/>
          <w:color w:val="000000"/>
          <w:sz w:val="20"/>
          <w:lang w:val="es-ES" w:eastAsia="zh-CN"/>
        </w:rPr>
      </w:pPr>
      <w:r w:rsidRPr="004A009B">
        <w:rPr>
          <w:rFonts w:ascii="Arial" w:eastAsia="SimSun" w:hAnsi="Arial" w:cs="Arial"/>
          <w:i/>
          <w:color w:val="000000"/>
          <w:sz w:val="20"/>
          <w:lang w:val="es-ES" w:eastAsia="zh-CN"/>
        </w:rPr>
        <w:t xml:space="preserve">Necesidades adicionales de recursos </w:t>
      </w:r>
      <w:r>
        <w:rPr>
          <w:rFonts w:ascii="Arial" w:eastAsia="SimSun" w:hAnsi="Arial" w:cs="Arial"/>
          <w:i/>
          <w:color w:val="000000"/>
          <w:sz w:val="20"/>
          <w:lang w:val="es-ES" w:eastAsia="zh-CN"/>
        </w:rPr>
        <w:t>no relativos a personal</w:t>
      </w:r>
      <w:r w:rsidRPr="004A009B">
        <w:rPr>
          <w:rFonts w:ascii="Arial" w:eastAsia="SimSun" w:hAnsi="Arial" w:cs="Arial"/>
          <w:i/>
          <w:color w:val="000000"/>
          <w:sz w:val="20"/>
          <w:lang w:val="es-ES" w:eastAsia="zh-CN"/>
        </w:rPr>
        <w:t xml:space="preserve"> para el Sistema de Madrid estimad</w:t>
      </w:r>
      <w:r>
        <w:rPr>
          <w:rFonts w:ascii="Arial" w:eastAsia="SimSun" w:hAnsi="Arial" w:cs="Arial"/>
          <w:i/>
          <w:color w:val="000000"/>
          <w:sz w:val="20"/>
          <w:lang w:val="es-ES" w:eastAsia="zh-CN"/>
        </w:rPr>
        <w:t>a</w:t>
      </w:r>
      <w:r w:rsidRPr="004A009B">
        <w:rPr>
          <w:rFonts w:ascii="Arial" w:eastAsia="SimSun" w:hAnsi="Arial" w:cs="Arial"/>
          <w:i/>
          <w:color w:val="000000"/>
          <w:sz w:val="20"/>
          <w:lang w:val="es-ES" w:eastAsia="zh-CN"/>
        </w:rPr>
        <w:t xml:space="preserve">s en 2,5 millones de francos suizos (reflejados en el programa 6 – </w:t>
      </w:r>
      <w:r>
        <w:rPr>
          <w:rFonts w:ascii="Arial" w:eastAsia="SimSun" w:hAnsi="Arial" w:cs="Arial"/>
          <w:i/>
          <w:color w:val="000000"/>
          <w:sz w:val="20"/>
          <w:lang w:val="es-ES" w:eastAsia="zh-CN"/>
        </w:rPr>
        <w:t xml:space="preserve">Sistema de </w:t>
      </w:r>
      <w:r w:rsidRPr="004A009B">
        <w:rPr>
          <w:rFonts w:ascii="Arial" w:eastAsia="SimSun" w:hAnsi="Arial" w:cs="Arial"/>
          <w:i/>
          <w:color w:val="000000"/>
          <w:sz w:val="20"/>
          <w:lang w:val="es-ES" w:eastAsia="zh-CN"/>
        </w:rPr>
        <w:t>Madrid)</w:t>
      </w:r>
    </w:p>
    <w:p w:rsidR="00236E18" w:rsidRPr="00362498" w:rsidRDefault="00236E18" w:rsidP="00236E18">
      <w:pPr>
        <w:pStyle w:val="ListParagraph"/>
        <w:widowControl w:val="0"/>
        <w:ind w:left="1985"/>
        <w:jc w:val="both"/>
        <w:rPr>
          <w:rFonts w:ascii="Arial" w:eastAsia="SimSun" w:hAnsi="Arial" w:cs="Arial"/>
          <w:i/>
          <w:color w:val="000000"/>
          <w:sz w:val="20"/>
          <w:lang w:val="es-ES" w:eastAsia="zh-CN"/>
        </w:rPr>
      </w:pPr>
    </w:p>
    <w:p w:rsidR="00236E18" w:rsidRPr="00362498" w:rsidRDefault="00236E18" w:rsidP="00236E18">
      <w:pPr>
        <w:pStyle w:val="ListParagraph"/>
        <w:widowControl w:val="0"/>
        <w:numPr>
          <w:ilvl w:val="0"/>
          <w:numId w:val="7"/>
        </w:numPr>
        <w:tabs>
          <w:tab w:val="right" w:pos="1134"/>
        </w:tabs>
        <w:ind w:left="1134" w:hanging="567"/>
        <w:jc w:val="both"/>
        <w:rPr>
          <w:rFonts w:ascii="Arial" w:eastAsia="SimSun" w:hAnsi="Arial" w:cs="Arial"/>
          <w:color w:val="000000"/>
          <w:sz w:val="20"/>
          <w:lang w:val="es-ES" w:eastAsia="zh-CN"/>
        </w:rPr>
      </w:pPr>
      <w:r>
        <w:rPr>
          <w:rFonts w:ascii="Arial" w:eastAsia="SimSun" w:hAnsi="Arial" w:cs="Arial"/>
          <w:color w:val="000000"/>
          <w:sz w:val="20"/>
          <w:lang w:val="es-ES" w:eastAsia="zh-CN"/>
        </w:rPr>
        <w:t>La mayor dependencia de las tecnologías de la información y de las comunicaciones, y la necesidad de mejorar tanto la capacidad de reacción y recuperación del PCT como la seguridad de las TIC</w:t>
      </w:r>
    </w:p>
    <w:p w:rsidR="00236E18" w:rsidRPr="00362498" w:rsidRDefault="00236E18" w:rsidP="00236E18">
      <w:pPr>
        <w:pStyle w:val="ListParagraph"/>
        <w:widowControl w:val="0"/>
        <w:ind w:left="1985"/>
        <w:jc w:val="both"/>
        <w:rPr>
          <w:rFonts w:ascii="Arial" w:eastAsia="SimSun" w:hAnsi="Arial" w:cs="Arial"/>
          <w:color w:val="000000"/>
          <w:sz w:val="20"/>
          <w:lang w:val="es-ES" w:eastAsia="zh-CN"/>
        </w:rPr>
      </w:pPr>
    </w:p>
    <w:p w:rsidR="00236E18" w:rsidRPr="00E714B6" w:rsidRDefault="00236E18" w:rsidP="00236E18">
      <w:pPr>
        <w:pStyle w:val="ListParagraph"/>
        <w:widowControl w:val="0"/>
        <w:numPr>
          <w:ilvl w:val="0"/>
          <w:numId w:val="8"/>
        </w:numPr>
        <w:ind w:left="1984" w:hanging="425"/>
        <w:jc w:val="both"/>
        <w:rPr>
          <w:rFonts w:ascii="Arial" w:eastAsia="SimSun" w:hAnsi="Arial" w:cs="Arial"/>
          <w:color w:val="000000"/>
          <w:sz w:val="20"/>
          <w:lang w:val="es-ES" w:eastAsia="zh-CN"/>
        </w:rPr>
      </w:pPr>
      <w:r w:rsidRPr="00E714B6">
        <w:rPr>
          <w:rFonts w:ascii="Arial" w:eastAsia="SimSun" w:hAnsi="Arial" w:cs="Arial"/>
          <w:i/>
          <w:color w:val="000000"/>
          <w:sz w:val="20"/>
          <w:lang w:val="es-ES" w:eastAsia="zh-CN"/>
        </w:rPr>
        <w:t xml:space="preserve">Necesidades adicionales de recursos </w:t>
      </w:r>
      <w:r>
        <w:rPr>
          <w:rFonts w:ascii="Arial" w:eastAsia="SimSun" w:hAnsi="Arial" w:cs="Arial"/>
          <w:i/>
          <w:color w:val="000000"/>
          <w:sz w:val="20"/>
          <w:lang w:val="es-ES" w:eastAsia="zh-CN"/>
        </w:rPr>
        <w:t>no relativos a personal</w:t>
      </w:r>
      <w:r w:rsidRPr="00E714B6">
        <w:rPr>
          <w:rFonts w:ascii="Arial" w:eastAsia="SimSun" w:hAnsi="Arial" w:cs="Arial"/>
          <w:i/>
          <w:color w:val="000000"/>
          <w:sz w:val="20"/>
          <w:lang w:val="es-ES" w:eastAsia="zh-CN"/>
        </w:rPr>
        <w:t xml:space="preserve"> </w:t>
      </w:r>
      <w:r>
        <w:rPr>
          <w:rFonts w:ascii="Arial" w:eastAsia="SimSun" w:hAnsi="Arial" w:cs="Arial"/>
          <w:i/>
          <w:color w:val="000000"/>
          <w:sz w:val="20"/>
          <w:lang w:val="es-ES" w:eastAsia="zh-CN"/>
        </w:rPr>
        <w:t>estimada</w:t>
      </w:r>
      <w:r w:rsidRPr="00E714B6">
        <w:rPr>
          <w:rFonts w:ascii="Arial" w:eastAsia="SimSun" w:hAnsi="Arial" w:cs="Arial"/>
          <w:i/>
          <w:color w:val="000000"/>
          <w:sz w:val="20"/>
          <w:lang w:val="es-ES" w:eastAsia="zh-CN"/>
        </w:rPr>
        <w:t>s en 1,4 millones de francos suizos (reflejados en el programa 5 Sistema del PCT), 6</w:t>
      </w:r>
      <w:r>
        <w:rPr>
          <w:rFonts w:ascii="Arial" w:eastAsia="SimSun" w:hAnsi="Arial" w:cs="Arial"/>
          <w:i/>
          <w:color w:val="000000"/>
          <w:sz w:val="20"/>
          <w:lang w:val="es-ES" w:eastAsia="zh-CN"/>
        </w:rPr>
        <w:t>,</w:t>
      </w:r>
      <w:r w:rsidRPr="00E714B6">
        <w:rPr>
          <w:rFonts w:ascii="Arial" w:eastAsia="SimSun" w:hAnsi="Arial" w:cs="Arial"/>
          <w:i/>
          <w:color w:val="000000"/>
          <w:sz w:val="20"/>
          <w:lang w:val="es-ES" w:eastAsia="zh-CN"/>
        </w:rPr>
        <w:t xml:space="preserve">9 </w:t>
      </w:r>
      <w:r>
        <w:rPr>
          <w:rFonts w:ascii="Arial" w:eastAsia="SimSun" w:hAnsi="Arial" w:cs="Arial"/>
          <w:i/>
          <w:color w:val="000000"/>
          <w:sz w:val="20"/>
          <w:lang w:val="es-ES" w:eastAsia="zh-CN"/>
        </w:rPr>
        <w:t xml:space="preserve">millones de francos suizos </w:t>
      </w:r>
      <w:r w:rsidRPr="00E714B6">
        <w:rPr>
          <w:rFonts w:ascii="Arial" w:eastAsia="SimSun" w:hAnsi="Arial" w:cs="Arial"/>
          <w:i/>
          <w:color w:val="000000"/>
          <w:sz w:val="20"/>
          <w:lang w:val="es-ES" w:eastAsia="zh-CN"/>
        </w:rPr>
        <w:t>(</w:t>
      </w:r>
      <w:r>
        <w:rPr>
          <w:rFonts w:ascii="Arial" w:eastAsia="SimSun" w:hAnsi="Arial" w:cs="Arial"/>
          <w:i/>
          <w:color w:val="000000"/>
          <w:sz w:val="20"/>
          <w:lang w:val="es-ES" w:eastAsia="zh-CN"/>
        </w:rPr>
        <w:t>reflejados en el p</w:t>
      </w:r>
      <w:r w:rsidRPr="00E714B6">
        <w:rPr>
          <w:rFonts w:ascii="Arial" w:eastAsia="SimSun" w:hAnsi="Arial" w:cs="Arial"/>
          <w:i/>
          <w:color w:val="000000"/>
          <w:sz w:val="20"/>
          <w:lang w:val="es-ES" w:eastAsia="zh-CN"/>
        </w:rPr>
        <w:t>rogram</w:t>
      </w:r>
      <w:r>
        <w:rPr>
          <w:rFonts w:ascii="Arial" w:eastAsia="SimSun" w:hAnsi="Arial" w:cs="Arial"/>
          <w:i/>
          <w:color w:val="000000"/>
          <w:sz w:val="20"/>
          <w:lang w:val="es-ES" w:eastAsia="zh-CN"/>
        </w:rPr>
        <w:t>a</w:t>
      </w:r>
      <w:r w:rsidRPr="00E714B6">
        <w:rPr>
          <w:rFonts w:ascii="Arial" w:eastAsia="SimSun" w:hAnsi="Arial" w:cs="Arial"/>
          <w:i/>
          <w:color w:val="000000"/>
          <w:sz w:val="20"/>
          <w:lang w:val="es-ES" w:eastAsia="zh-CN"/>
        </w:rPr>
        <w:t xml:space="preserve"> 25 – </w:t>
      </w:r>
      <w:r>
        <w:rPr>
          <w:rFonts w:ascii="Arial" w:eastAsia="SimSun" w:hAnsi="Arial" w:cs="Arial"/>
          <w:i/>
          <w:color w:val="000000"/>
          <w:sz w:val="20"/>
          <w:lang w:val="es-ES" w:eastAsia="zh-CN"/>
        </w:rPr>
        <w:t>Tecnologías de la Información y de las Comunicaciones</w:t>
      </w:r>
      <w:r w:rsidRPr="00E714B6">
        <w:rPr>
          <w:rFonts w:ascii="Arial" w:eastAsia="SimSun" w:hAnsi="Arial" w:cs="Arial"/>
          <w:i/>
          <w:color w:val="000000"/>
          <w:sz w:val="20"/>
          <w:lang w:val="es-ES" w:eastAsia="zh-CN"/>
        </w:rPr>
        <w:t xml:space="preserve">) </w:t>
      </w:r>
      <w:r>
        <w:rPr>
          <w:rFonts w:ascii="Arial" w:eastAsia="SimSun" w:hAnsi="Arial" w:cs="Arial"/>
          <w:i/>
          <w:color w:val="000000"/>
          <w:sz w:val="20"/>
          <w:lang w:val="es-ES" w:eastAsia="zh-CN"/>
        </w:rPr>
        <w:t xml:space="preserve">y </w:t>
      </w:r>
      <w:r w:rsidRPr="00E714B6">
        <w:rPr>
          <w:rFonts w:ascii="Arial" w:eastAsia="SimSun" w:hAnsi="Arial" w:cs="Arial"/>
          <w:i/>
          <w:color w:val="000000"/>
          <w:sz w:val="20"/>
          <w:lang w:val="es-ES" w:eastAsia="zh-CN"/>
        </w:rPr>
        <w:t>3</w:t>
      </w:r>
      <w:r>
        <w:rPr>
          <w:rFonts w:ascii="Arial" w:eastAsia="SimSun" w:hAnsi="Arial" w:cs="Arial"/>
          <w:i/>
          <w:color w:val="000000"/>
          <w:sz w:val="20"/>
          <w:lang w:val="es-ES" w:eastAsia="zh-CN"/>
        </w:rPr>
        <w:t>,</w:t>
      </w:r>
      <w:r w:rsidRPr="00E714B6">
        <w:rPr>
          <w:rFonts w:ascii="Arial" w:eastAsia="SimSun" w:hAnsi="Arial" w:cs="Arial"/>
          <w:i/>
          <w:color w:val="000000"/>
          <w:sz w:val="20"/>
          <w:lang w:val="es-ES" w:eastAsia="zh-CN"/>
        </w:rPr>
        <w:t xml:space="preserve">9 </w:t>
      </w:r>
      <w:r>
        <w:rPr>
          <w:rFonts w:ascii="Arial" w:eastAsia="SimSun" w:hAnsi="Arial" w:cs="Arial"/>
          <w:i/>
          <w:color w:val="000000"/>
          <w:sz w:val="20"/>
          <w:lang w:val="es-ES" w:eastAsia="zh-CN"/>
        </w:rPr>
        <w:t xml:space="preserve">millones de francos suizos </w:t>
      </w:r>
      <w:r w:rsidRPr="00E714B6">
        <w:rPr>
          <w:rFonts w:ascii="Arial" w:eastAsia="SimSun" w:hAnsi="Arial" w:cs="Arial"/>
          <w:i/>
          <w:color w:val="000000"/>
          <w:sz w:val="20"/>
          <w:lang w:val="es-ES" w:eastAsia="zh-CN"/>
        </w:rPr>
        <w:t>(</w:t>
      </w:r>
      <w:r>
        <w:rPr>
          <w:rFonts w:ascii="Arial" w:eastAsia="SimSun" w:hAnsi="Arial" w:cs="Arial"/>
          <w:i/>
          <w:color w:val="000000"/>
          <w:sz w:val="20"/>
          <w:lang w:val="es-ES" w:eastAsia="zh-CN"/>
        </w:rPr>
        <w:t xml:space="preserve">reflejados en el programa </w:t>
      </w:r>
      <w:r w:rsidRPr="00E714B6">
        <w:rPr>
          <w:rFonts w:ascii="Arial" w:eastAsia="SimSun" w:hAnsi="Arial" w:cs="Arial"/>
          <w:i/>
          <w:color w:val="000000"/>
          <w:sz w:val="20"/>
          <w:lang w:val="es-ES" w:eastAsia="zh-CN"/>
        </w:rPr>
        <w:t>28 – Aseguramiento de la información, seguridad y vigilancia</w:t>
      </w:r>
      <w:r>
        <w:rPr>
          <w:rFonts w:ascii="Arial" w:eastAsia="SimSun" w:hAnsi="Arial" w:cs="Arial"/>
          <w:i/>
          <w:color w:val="000000"/>
          <w:sz w:val="20"/>
          <w:lang w:val="es-ES" w:eastAsia="zh-CN"/>
        </w:rPr>
        <w:t>)</w:t>
      </w:r>
    </w:p>
    <w:p w:rsidR="00236E18" w:rsidRPr="00362498" w:rsidRDefault="00236E18" w:rsidP="00236E18">
      <w:pPr>
        <w:pStyle w:val="ListParagraph"/>
        <w:widowControl w:val="0"/>
        <w:ind w:left="1985"/>
        <w:jc w:val="both"/>
        <w:rPr>
          <w:rFonts w:ascii="Arial" w:eastAsia="SimSun" w:hAnsi="Arial" w:cs="Arial"/>
          <w:color w:val="000000"/>
          <w:sz w:val="20"/>
          <w:lang w:val="es-ES" w:eastAsia="zh-CN"/>
        </w:rPr>
      </w:pPr>
    </w:p>
    <w:p w:rsidR="00236E18" w:rsidRPr="00362498" w:rsidRDefault="00236E18" w:rsidP="00236E18">
      <w:pPr>
        <w:pStyle w:val="ListParagraph"/>
        <w:widowControl w:val="0"/>
        <w:numPr>
          <w:ilvl w:val="0"/>
          <w:numId w:val="7"/>
        </w:numPr>
        <w:tabs>
          <w:tab w:val="right" w:pos="1134"/>
        </w:tabs>
        <w:ind w:left="1134" w:hanging="567"/>
        <w:jc w:val="both"/>
        <w:rPr>
          <w:rFonts w:ascii="Arial" w:eastAsia="SimSun" w:hAnsi="Arial" w:cs="Arial"/>
          <w:color w:val="000000"/>
          <w:sz w:val="20"/>
          <w:lang w:val="es-ES" w:eastAsia="zh-CN"/>
        </w:rPr>
      </w:pPr>
      <w:r>
        <w:rPr>
          <w:rFonts w:ascii="Arial" w:eastAsia="SimSun" w:hAnsi="Arial" w:cs="Arial"/>
          <w:color w:val="000000"/>
          <w:sz w:val="20"/>
          <w:lang w:val="es-ES" w:eastAsia="zh-CN"/>
        </w:rPr>
        <w:t>El mayor peso que adquiere la PRI en las operaciones</w:t>
      </w:r>
    </w:p>
    <w:p w:rsidR="00236E18" w:rsidRPr="00362498" w:rsidRDefault="00236E18" w:rsidP="00236E18">
      <w:pPr>
        <w:pStyle w:val="ListParagraph"/>
        <w:widowControl w:val="0"/>
        <w:tabs>
          <w:tab w:val="right" w:pos="1134"/>
        </w:tabs>
        <w:spacing w:after="220"/>
        <w:ind w:left="1134"/>
        <w:jc w:val="both"/>
        <w:rPr>
          <w:rFonts w:ascii="Arial" w:eastAsia="SimSun" w:hAnsi="Arial" w:cs="Arial"/>
          <w:color w:val="000000"/>
          <w:sz w:val="20"/>
          <w:lang w:val="es-ES" w:eastAsia="zh-CN"/>
        </w:rPr>
      </w:pPr>
    </w:p>
    <w:p w:rsidR="00236E18" w:rsidRPr="00A52304" w:rsidRDefault="00236E18" w:rsidP="00236E18">
      <w:pPr>
        <w:pStyle w:val="ListParagraph"/>
        <w:widowControl w:val="0"/>
        <w:numPr>
          <w:ilvl w:val="0"/>
          <w:numId w:val="8"/>
        </w:numPr>
        <w:ind w:left="1984" w:hanging="425"/>
        <w:jc w:val="both"/>
        <w:rPr>
          <w:rFonts w:ascii="Arial" w:eastAsia="SimSun" w:hAnsi="Arial" w:cs="Arial"/>
          <w:i/>
          <w:color w:val="000000"/>
          <w:sz w:val="20"/>
          <w:lang w:val="es-ES" w:eastAsia="zh-CN"/>
        </w:rPr>
      </w:pPr>
      <w:r w:rsidRPr="00A52304">
        <w:rPr>
          <w:rFonts w:ascii="Arial" w:eastAsia="SimSun" w:hAnsi="Arial" w:cs="Arial"/>
          <w:i/>
          <w:color w:val="000000"/>
          <w:sz w:val="20"/>
          <w:lang w:val="es-ES" w:eastAsia="zh-CN"/>
        </w:rPr>
        <w:t xml:space="preserve">Necesidades adicionales de recursos </w:t>
      </w:r>
      <w:r>
        <w:rPr>
          <w:rFonts w:ascii="Arial" w:eastAsia="SimSun" w:hAnsi="Arial" w:cs="Arial"/>
          <w:i/>
          <w:color w:val="000000"/>
          <w:sz w:val="20"/>
          <w:lang w:val="es-ES" w:eastAsia="zh-CN"/>
        </w:rPr>
        <w:t>no relativos a personal</w:t>
      </w:r>
      <w:r w:rsidRPr="00A52304">
        <w:rPr>
          <w:rFonts w:ascii="Arial" w:eastAsia="SimSun" w:hAnsi="Arial" w:cs="Arial"/>
          <w:i/>
          <w:color w:val="000000"/>
          <w:sz w:val="20"/>
          <w:lang w:val="es-ES" w:eastAsia="zh-CN"/>
        </w:rPr>
        <w:t xml:space="preserve"> estimadas en 1,6 millones de francos suizos (reflejados en el programa 22 – Gestión de programas y recursos)</w:t>
      </w:r>
    </w:p>
    <w:p w:rsidR="00236E18" w:rsidRPr="00362498" w:rsidRDefault="00236E18" w:rsidP="00236E18">
      <w:pPr>
        <w:pStyle w:val="ListParagraph"/>
        <w:widowControl w:val="0"/>
        <w:spacing w:after="120"/>
        <w:ind w:left="1985"/>
        <w:jc w:val="both"/>
        <w:rPr>
          <w:rFonts w:ascii="Arial" w:eastAsia="SimSun" w:hAnsi="Arial" w:cs="Arial"/>
          <w:color w:val="000000"/>
          <w:sz w:val="20"/>
          <w:lang w:val="es-ES" w:eastAsia="zh-CN"/>
        </w:rPr>
      </w:pPr>
    </w:p>
    <w:p w:rsidR="00236E18" w:rsidRPr="00362498" w:rsidRDefault="00236E18" w:rsidP="00236E18">
      <w:pPr>
        <w:pStyle w:val="ListParagraph"/>
        <w:widowControl w:val="0"/>
        <w:numPr>
          <w:ilvl w:val="0"/>
          <w:numId w:val="7"/>
        </w:numPr>
        <w:tabs>
          <w:tab w:val="right" w:pos="1134"/>
        </w:tabs>
        <w:ind w:left="1134" w:hanging="567"/>
        <w:jc w:val="both"/>
        <w:rPr>
          <w:rFonts w:ascii="Arial" w:eastAsia="SimSun" w:hAnsi="Arial" w:cs="Arial"/>
          <w:color w:val="000000"/>
          <w:sz w:val="20"/>
          <w:lang w:val="es-ES" w:eastAsia="zh-CN"/>
        </w:rPr>
      </w:pPr>
      <w:r>
        <w:rPr>
          <w:rFonts w:ascii="Arial" w:eastAsia="SimSun" w:hAnsi="Arial" w:cs="Arial"/>
          <w:color w:val="000000"/>
          <w:sz w:val="20"/>
          <w:lang w:val="es-ES" w:eastAsia="zh-CN"/>
        </w:rPr>
        <w:t>Tipos de interés negativos en los depósitos en francos suizos</w:t>
      </w:r>
      <w:r w:rsidRPr="00362498">
        <w:rPr>
          <w:rFonts w:ascii="Arial" w:eastAsia="SimSun" w:hAnsi="Arial" w:cs="Arial"/>
          <w:color w:val="000000"/>
          <w:sz w:val="20"/>
          <w:lang w:val="es-ES" w:eastAsia="zh-CN"/>
        </w:rPr>
        <w:t xml:space="preserve"> </w:t>
      </w:r>
    </w:p>
    <w:p w:rsidR="00236E18" w:rsidRPr="00362498" w:rsidRDefault="00236E18" w:rsidP="00236E18">
      <w:pPr>
        <w:pStyle w:val="ListParagraph"/>
        <w:widowControl w:val="0"/>
        <w:tabs>
          <w:tab w:val="right" w:pos="1134"/>
        </w:tabs>
        <w:spacing w:after="220"/>
        <w:ind w:left="1134"/>
        <w:jc w:val="both"/>
        <w:rPr>
          <w:rFonts w:ascii="Arial" w:eastAsia="SimSun" w:hAnsi="Arial" w:cs="Arial"/>
          <w:color w:val="000000"/>
          <w:sz w:val="20"/>
          <w:lang w:val="es-ES" w:eastAsia="zh-CN"/>
        </w:rPr>
      </w:pPr>
    </w:p>
    <w:p w:rsidR="00236E18" w:rsidRPr="00362498" w:rsidRDefault="00236E18" w:rsidP="00236E18">
      <w:pPr>
        <w:pStyle w:val="ListParagraph"/>
        <w:widowControl w:val="0"/>
        <w:numPr>
          <w:ilvl w:val="0"/>
          <w:numId w:val="8"/>
        </w:numPr>
        <w:ind w:left="1984" w:hanging="425"/>
        <w:jc w:val="both"/>
        <w:rPr>
          <w:rFonts w:ascii="Arial" w:eastAsia="SimSun" w:hAnsi="Arial" w:cs="Arial"/>
          <w:color w:val="000000"/>
          <w:sz w:val="20"/>
          <w:lang w:val="es-ES" w:eastAsia="zh-CN"/>
        </w:rPr>
      </w:pPr>
      <w:r>
        <w:rPr>
          <w:rFonts w:ascii="Arial" w:eastAsia="SimSun" w:hAnsi="Arial" w:cs="Arial"/>
          <w:i/>
          <w:color w:val="000000"/>
          <w:sz w:val="20"/>
          <w:lang w:val="es-ES" w:eastAsia="zh-CN"/>
        </w:rPr>
        <w:t>N</w:t>
      </w:r>
      <w:r w:rsidRPr="00A52304">
        <w:rPr>
          <w:rFonts w:ascii="Arial" w:eastAsia="SimSun" w:hAnsi="Arial" w:cs="Arial"/>
          <w:i/>
          <w:color w:val="000000"/>
          <w:sz w:val="20"/>
          <w:lang w:val="es-ES" w:eastAsia="zh-CN"/>
        </w:rPr>
        <w:t xml:space="preserve">ecesidades de recursos </w:t>
      </w:r>
      <w:r>
        <w:rPr>
          <w:rFonts w:ascii="Arial" w:eastAsia="SimSun" w:hAnsi="Arial" w:cs="Arial"/>
          <w:i/>
          <w:color w:val="000000"/>
          <w:sz w:val="20"/>
          <w:lang w:val="es-ES" w:eastAsia="zh-CN"/>
        </w:rPr>
        <w:t>no relativos a personal estimada</w:t>
      </w:r>
      <w:r w:rsidRPr="00A52304">
        <w:rPr>
          <w:rFonts w:ascii="Arial" w:eastAsia="SimSun" w:hAnsi="Arial" w:cs="Arial"/>
          <w:i/>
          <w:color w:val="000000"/>
          <w:sz w:val="20"/>
          <w:lang w:val="es-ES" w:eastAsia="zh-CN"/>
        </w:rPr>
        <w:t xml:space="preserve">s </w:t>
      </w:r>
      <w:r>
        <w:rPr>
          <w:rFonts w:ascii="Arial" w:eastAsia="SimSun" w:hAnsi="Arial" w:cs="Arial"/>
          <w:i/>
          <w:color w:val="000000"/>
          <w:sz w:val="20"/>
          <w:lang w:val="es-ES" w:eastAsia="zh-CN"/>
        </w:rPr>
        <w:t xml:space="preserve">en </w:t>
      </w:r>
      <w:r w:rsidRPr="00362498">
        <w:rPr>
          <w:rFonts w:ascii="Arial" w:eastAsia="SimSun" w:hAnsi="Arial" w:cs="Arial"/>
          <w:i/>
          <w:color w:val="000000"/>
          <w:sz w:val="20"/>
          <w:lang w:val="es-ES" w:eastAsia="zh-CN"/>
        </w:rPr>
        <w:t>2</w:t>
      </w:r>
      <w:r>
        <w:rPr>
          <w:rFonts w:ascii="Arial" w:eastAsia="SimSun" w:hAnsi="Arial" w:cs="Arial"/>
          <w:i/>
          <w:color w:val="000000"/>
          <w:sz w:val="20"/>
          <w:lang w:val="es-ES" w:eastAsia="zh-CN"/>
        </w:rPr>
        <w:t>,</w:t>
      </w:r>
      <w:r w:rsidRPr="00362498">
        <w:rPr>
          <w:rFonts w:ascii="Arial" w:eastAsia="SimSun" w:hAnsi="Arial" w:cs="Arial"/>
          <w:i/>
          <w:color w:val="000000"/>
          <w:sz w:val="20"/>
          <w:lang w:val="es-ES" w:eastAsia="zh-CN"/>
        </w:rPr>
        <w:t xml:space="preserve">4 </w:t>
      </w:r>
      <w:r>
        <w:rPr>
          <w:rFonts w:ascii="Arial" w:eastAsia="SimSun" w:hAnsi="Arial" w:cs="Arial"/>
          <w:i/>
          <w:color w:val="000000"/>
          <w:sz w:val="20"/>
          <w:lang w:val="es-ES" w:eastAsia="zh-CN"/>
        </w:rPr>
        <w:t xml:space="preserve">millones de francos suizos (reflejados en el programa </w:t>
      </w:r>
      <w:r w:rsidRPr="00362498">
        <w:rPr>
          <w:rFonts w:ascii="Arial" w:eastAsia="SimSun" w:hAnsi="Arial" w:cs="Arial"/>
          <w:i/>
          <w:color w:val="000000"/>
          <w:sz w:val="20"/>
          <w:lang w:val="es-ES" w:eastAsia="zh-CN"/>
        </w:rPr>
        <w:t xml:space="preserve">22 – </w:t>
      </w:r>
      <w:r w:rsidRPr="00A52304">
        <w:rPr>
          <w:rFonts w:ascii="Arial" w:eastAsia="SimSun" w:hAnsi="Arial" w:cs="Arial"/>
          <w:i/>
          <w:color w:val="000000"/>
          <w:sz w:val="20"/>
          <w:lang w:val="es-ES" w:eastAsia="zh-CN"/>
        </w:rPr>
        <w:t>Gestión de programas y recursos</w:t>
      </w:r>
      <w:r w:rsidRPr="00362498">
        <w:rPr>
          <w:rFonts w:ascii="Arial" w:eastAsia="SimSun" w:hAnsi="Arial" w:cs="Arial"/>
          <w:i/>
          <w:color w:val="000000"/>
          <w:sz w:val="20"/>
          <w:lang w:val="es-ES" w:eastAsia="zh-CN"/>
        </w:rPr>
        <w:t>)</w:t>
      </w:r>
    </w:p>
    <w:p w:rsidR="00236E18" w:rsidRPr="00362498" w:rsidRDefault="00236E18" w:rsidP="00236E18">
      <w:pPr>
        <w:pStyle w:val="ListParagraph"/>
        <w:widowControl w:val="0"/>
        <w:tabs>
          <w:tab w:val="left" w:pos="567"/>
        </w:tabs>
        <w:ind w:left="0"/>
        <w:jc w:val="both"/>
        <w:rPr>
          <w:rFonts w:ascii="Arial" w:eastAsia="SimSun" w:hAnsi="Arial" w:cs="Arial"/>
          <w:color w:val="000000"/>
          <w:sz w:val="20"/>
          <w:lang w:val="es-ES" w:eastAsia="zh-CN"/>
        </w:rPr>
      </w:pPr>
    </w:p>
    <w:p w:rsidR="00236E18" w:rsidRPr="00C155A9" w:rsidRDefault="00236E18" w:rsidP="00236E18">
      <w:pPr>
        <w:pStyle w:val="ListParagraph"/>
        <w:widowControl w:val="0"/>
        <w:numPr>
          <w:ilvl w:val="0"/>
          <w:numId w:val="5"/>
        </w:numPr>
        <w:tabs>
          <w:tab w:val="left" w:pos="567"/>
        </w:tabs>
        <w:ind w:left="0" w:firstLine="0"/>
        <w:jc w:val="both"/>
        <w:rPr>
          <w:rFonts w:ascii="Arial" w:eastAsia="SimSun" w:hAnsi="Arial" w:cs="Arial"/>
          <w:color w:val="000000"/>
          <w:sz w:val="20"/>
          <w:lang w:val="es-ES" w:eastAsia="zh-CN"/>
        </w:rPr>
      </w:pPr>
      <w:r>
        <w:rPr>
          <w:rFonts w:ascii="Arial" w:hAnsi="Arial"/>
          <w:sz w:val="20"/>
          <w:lang w:val="es-ES"/>
        </w:rPr>
        <w:t>L</w:t>
      </w:r>
      <w:r w:rsidRPr="00C155A9">
        <w:rPr>
          <w:rFonts w:ascii="Arial" w:hAnsi="Arial" w:cs="Arial"/>
          <w:sz w:val="20"/>
          <w:lang w:val="es-ES"/>
        </w:rPr>
        <w:t xml:space="preserve">a Secretaría ha previsto asignaciones presupuestarias para cubrir necesidades </w:t>
      </w:r>
      <w:r>
        <w:rPr>
          <w:rFonts w:ascii="Arial" w:hAnsi="Arial" w:cs="Arial"/>
          <w:sz w:val="20"/>
          <w:lang w:val="es-ES"/>
        </w:rPr>
        <w:t xml:space="preserve">relacionadas con renovaciones, transformaciones o modernización de locales, </w:t>
      </w:r>
      <w:r w:rsidRPr="00C155A9">
        <w:rPr>
          <w:rFonts w:ascii="Arial" w:hAnsi="Arial" w:cs="Arial"/>
          <w:sz w:val="20"/>
          <w:lang w:val="es-ES"/>
        </w:rPr>
        <w:t>en el marco del presupuesto ordinario de</w:t>
      </w:r>
      <w:r>
        <w:rPr>
          <w:rFonts w:ascii="Arial" w:hAnsi="Arial" w:cs="Arial"/>
          <w:sz w:val="20"/>
          <w:lang w:val="es-ES"/>
        </w:rPr>
        <w:t>l</w:t>
      </w:r>
      <w:r w:rsidRPr="00C155A9">
        <w:rPr>
          <w:rFonts w:ascii="Arial" w:hAnsi="Arial" w:cs="Arial"/>
          <w:sz w:val="20"/>
          <w:lang w:val="es-ES"/>
        </w:rPr>
        <w:t xml:space="preserve"> programa</w:t>
      </w:r>
      <w:r>
        <w:rPr>
          <w:rFonts w:ascii="Arial" w:hAnsi="Arial" w:cs="Arial"/>
          <w:sz w:val="20"/>
          <w:lang w:val="es-ES"/>
        </w:rPr>
        <w:t xml:space="preserve"> 24 (Servicios generales de apoyo</w:t>
      </w:r>
      <w:r w:rsidRPr="00C155A9">
        <w:rPr>
          <w:rFonts w:ascii="Arial" w:hAnsi="Arial" w:cs="Arial"/>
          <w:sz w:val="20"/>
          <w:lang w:val="es-ES"/>
        </w:rPr>
        <w:t xml:space="preserve">). </w:t>
      </w:r>
    </w:p>
    <w:p w:rsidR="00236E18" w:rsidRPr="00362498" w:rsidRDefault="00236E18" w:rsidP="00236E18">
      <w:pPr>
        <w:widowControl w:val="0"/>
        <w:tabs>
          <w:tab w:val="num" w:pos="690"/>
        </w:tabs>
        <w:jc w:val="both"/>
        <w:rPr>
          <w:color w:val="000000"/>
          <w:sz w:val="20"/>
        </w:rPr>
      </w:pPr>
    </w:p>
    <w:p w:rsidR="00236E18" w:rsidRPr="00362498" w:rsidRDefault="00236E18" w:rsidP="00236E18">
      <w:pPr>
        <w:pStyle w:val="ListParagraph"/>
        <w:widowControl w:val="0"/>
        <w:numPr>
          <w:ilvl w:val="0"/>
          <w:numId w:val="5"/>
        </w:numPr>
        <w:tabs>
          <w:tab w:val="left" w:pos="567"/>
        </w:tabs>
        <w:ind w:left="0" w:firstLine="0"/>
        <w:jc w:val="both"/>
        <w:rPr>
          <w:rFonts w:ascii="Arial" w:eastAsia="SimSun" w:hAnsi="Arial" w:cs="Arial"/>
          <w:color w:val="000000"/>
          <w:sz w:val="20"/>
          <w:lang w:val="es-ES" w:eastAsia="zh-CN"/>
        </w:rPr>
      </w:pPr>
      <w:r>
        <w:rPr>
          <w:rFonts w:ascii="Arial" w:eastAsia="SimSun" w:hAnsi="Arial" w:cs="Arial"/>
          <w:color w:val="000000"/>
          <w:sz w:val="20"/>
          <w:lang w:val="es-ES" w:eastAsia="zh-CN"/>
        </w:rPr>
        <w:t xml:space="preserve">En el presupuesto por programas de 2016/17 figuran las referencias de las medidas de eficacia en función de los costos señaladas en el bienio 2014/15 (es decir, costos de viajes y eficacia en función de los costos de contratos, reducción de los costos de impresión, subcontratación adecuada de las traducciones, etc.).  Se seguirán determinando y aplicando durante el bienio otras medidas de eficacia en función de los costos, entre otros medios, mediante el </w:t>
      </w:r>
      <w:r w:rsidRPr="000A7734">
        <w:rPr>
          <w:rFonts w:ascii="Arial" w:eastAsia="SimSun" w:hAnsi="Arial" w:cs="Arial"/>
          <w:i/>
          <w:color w:val="000000"/>
          <w:sz w:val="20"/>
          <w:lang w:val="es-ES" w:eastAsia="zh-CN"/>
        </w:rPr>
        <w:t xml:space="preserve">Geneva International </w:t>
      </w:r>
      <w:proofErr w:type="spellStart"/>
      <w:r w:rsidRPr="000A7734">
        <w:rPr>
          <w:rFonts w:ascii="Arial" w:eastAsia="SimSun" w:hAnsi="Arial" w:cs="Arial"/>
          <w:i/>
          <w:color w:val="000000"/>
          <w:sz w:val="20"/>
          <w:lang w:val="es-ES" w:eastAsia="zh-CN"/>
        </w:rPr>
        <w:t>Collaboration</w:t>
      </w:r>
      <w:proofErr w:type="spellEnd"/>
      <w:r w:rsidRPr="000A7734">
        <w:rPr>
          <w:rFonts w:ascii="Arial" w:eastAsia="SimSun" w:hAnsi="Arial" w:cs="Arial"/>
          <w:i/>
          <w:color w:val="000000"/>
          <w:sz w:val="20"/>
          <w:lang w:val="es-ES" w:eastAsia="zh-CN"/>
        </w:rPr>
        <w:t xml:space="preserve"> </w:t>
      </w:r>
      <w:proofErr w:type="spellStart"/>
      <w:r w:rsidRPr="000A7734">
        <w:rPr>
          <w:rFonts w:ascii="Arial" w:eastAsia="SimSun" w:hAnsi="Arial" w:cs="Arial"/>
          <w:i/>
          <w:color w:val="000000"/>
          <w:sz w:val="20"/>
          <w:lang w:val="es-ES" w:eastAsia="zh-CN"/>
        </w:rPr>
        <w:t>Group</w:t>
      </w:r>
      <w:proofErr w:type="spellEnd"/>
      <w:r>
        <w:rPr>
          <w:rFonts w:ascii="Arial" w:eastAsia="SimSun" w:hAnsi="Arial" w:cs="Arial"/>
          <w:color w:val="000000"/>
          <w:sz w:val="20"/>
          <w:lang w:val="es-ES" w:eastAsia="zh-CN"/>
        </w:rPr>
        <w:t xml:space="preserve"> (Grupo de Colaboración Internacional de Ginebra), grupo informal de organizaciones internacionales con sede en Ginebra creado en 2014.  El Grupo tiene por fin lograr economías de escala en esferas como los seguros, los servicios de conferencias e impresión y los servicios del país anfitrión.  </w:t>
      </w:r>
    </w:p>
    <w:p w:rsidR="00236E18" w:rsidRPr="00362498" w:rsidRDefault="00236E18" w:rsidP="00236E18">
      <w:pPr>
        <w:widowControl w:val="0"/>
        <w:tabs>
          <w:tab w:val="num" w:pos="690"/>
        </w:tabs>
        <w:jc w:val="both"/>
        <w:rPr>
          <w:sz w:val="20"/>
        </w:rPr>
      </w:pPr>
    </w:p>
    <w:p w:rsidR="00236E18" w:rsidRPr="00362498" w:rsidRDefault="00236E18" w:rsidP="00236E18">
      <w:pPr>
        <w:widowControl w:val="0"/>
        <w:tabs>
          <w:tab w:val="num" w:pos="690"/>
        </w:tabs>
        <w:jc w:val="both"/>
        <w:rPr>
          <w:sz w:val="20"/>
        </w:rPr>
      </w:pPr>
    </w:p>
    <w:p w:rsidR="00236E18" w:rsidRPr="00374E14" w:rsidRDefault="00236E18" w:rsidP="00236E18">
      <w:pPr>
        <w:jc w:val="both"/>
        <w:rPr>
          <w:b/>
          <w:sz w:val="20"/>
        </w:rPr>
      </w:pPr>
      <w:r w:rsidRPr="00374E14">
        <w:rPr>
          <w:b/>
          <w:sz w:val="20"/>
        </w:rPr>
        <w:t>Cambios en las categorías de costos</w:t>
      </w:r>
    </w:p>
    <w:p w:rsidR="00236E18" w:rsidRPr="00374E14" w:rsidRDefault="00236E18" w:rsidP="00236E18">
      <w:pPr>
        <w:jc w:val="both"/>
        <w:rPr>
          <w:sz w:val="20"/>
        </w:rPr>
      </w:pPr>
    </w:p>
    <w:p w:rsidR="00236E18" w:rsidRPr="00374E14"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374E14">
        <w:rPr>
          <w:rFonts w:ascii="Arial" w:hAnsi="Arial"/>
          <w:sz w:val="20"/>
          <w:lang w:val="es-ES"/>
        </w:rPr>
        <w:t>Los cambios introducidos en las categoría de costos para 2016/17</w:t>
      </w:r>
      <w:r w:rsidRPr="00374E14">
        <w:rPr>
          <w:rStyle w:val="FootnoteReference"/>
          <w:rFonts w:ascii="Arial" w:hAnsi="Arial"/>
          <w:sz w:val="20"/>
          <w:lang w:val="es-ES"/>
        </w:rPr>
        <w:footnoteReference w:id="13"/>
      </w:r>
      <w:r w:rsidRPr="00374E14">
        <w:rPr>
          <w:rFonts w:ascii="Arial" w:hAnsi="Arial"/>
          <w:sz w:val="20"/>
          <w:lang w:val="es-ES"/>
        </w:rPr>
        <w:t xml:space="preserve"> son los siguientes:</w:t>
      </w:r>
    </w:p>
    <w:p w:rsidR="00236E18" w:rsidRPr="00374E14" w:rsidRDefault="00236E18" w:rsidP="00236E18">
      <w:pPr>
        <w:jc w:val="both"/>
        <w:rPr>
          <w:sz w:val="20"/>
        </w:rPr>
      </w:pPr>
    </w:p>
    <w:p w:rsidR="00236E18" w:rsidRPr="00374E14"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374E14">
        <w:rPr>
          <w:rFonts w:ascii="Arial" w:hAnsi="Arial"/>
          <w:sz w:val="20"/>
          <w:lang w:val="es-ES"/>
        </w:rPr>
        <w:t xml:space="preserve">Siguiendo la recomendación del Auditor Externo, se ha creado la nueva categoría “Costos financieros” para reflejar por separado los pagos de los intereses sobre el préstamo relativo al nuevo edificio (presupuestados en el programa 24) y los cargos bancarios, incluido el pago de los tipos de interés negativos sobre los depósitos en francos suizos (presupuestados en el programa 22). Por consiguiente, se observa un aumento de 6,4 millones de francos suizos en la partida “Costos financieros”, compensado en parte por una disminución de 3,5 millones de francos suizos en la rúbrica “Locales y mantenimiento” (los pagos de los intereses sobre el préstamo se presupuestaban anteriormente en esta última categoría de costos).  Así pues, en 2016 /17 se reemplazará la anterior categoría de costos “Cargas administrativas y bancarias” por la de “Costos financieros”. </w:t>
      </w:r>
    </w:p>
    <w:p w:rsidR="00236E18" w:rsidRPr="00374E14" w:rsidRDefault="00236E18" w:rsidP="00236E18">
      <w:pPr>
        <w:jc w:val="both"/>
        <w:rPr>
          <w:sz w:val="20"/>
        </w:rPr>
      </w:pPr>
    </w:p>
    <w:p w:rsidR="00236E18" w:rsidRPr="00374E14"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374E14">
        <w:rPr>
          <w:rFonts w:ascii="Arial" w:hAnsi="Arial"/>
          <w:sz w:val="20"/>
          <w:lang w:val="es-ES"/>
        </w:rPr>
        <w:t>La nueva categoría de costos “</w:t>
      </w:r>
      <w:r w:rsidRPr="00442004">
        <w:rPr>
          <w:rFonts w:ascii="Arial" w:hAnsi="Arial"/>
          <w:sz w:val="20"/>
          <w:lang w:val="es-ES"/>
        </w:rPr>
        <w:t>Representación y gastos de operación diversos” agrupa</w:t>
      </w:r>
      <w:r w:rsidRPr="00374E14">
        <w:rPr>
          <w:rFonts w:ascii="Arial" w:hAnsi="Arial"/>
          <w:sz w:val="20"/>
          <w:lang w:val="es-ES"/>
        </w:rPr>
        <w:t xml:space="preserve"> los gastos de representación de grupos y los demás gastos de operación (presupuestados en 2014/15 en la rúbrica “Cargas administrativas y bancarias”).  Esto da lugar a un aumento de 0,3 millones de francos suizos para 2016/17.</w:t>
      </w:r>
    </w:p>
    <w:p w:rsidR="00236E18" w:rsidRPr="00374E14" w:rsidRDefault="00236E18" w:rsidP="00236E18">
      <w:pPr>
        <w:jc w:val="both"/>
        <w:rPr>
          <w:sz w:val="20"/>
        </w:rPr>
      </w:pPr>
    </w:p>
    <w:p w:rsidR="00236E18" w:rsidRPr="00374E14"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374E14">
        <w:rPr>
          <w:rFonts w:ascii="Arial" w:hAnsi="Arial"/>
          <w:sz w:val="20"/>
          <w:lang w:val="es-ES"/>
        </w:rPr>
        <w:t>La anterior categoría de costos “Becas de formación” se denomina ahora “Subvenciones para formación y viajes conexos” con el fin de distinguir mejor la índole de este gasto respecto de la categoría “Becas de la OMPI”.  Si bien la disminución que se observa en esta categoría con respecto al presupuesto de 2014/</w:t>
      </w:r>
      <w:r>
        <w:rPr>
          <w:rFonts w:ascii="Arial" w:hAnsi="Arial"/>
          <w:sz w:val="20"/>
          <w:lang w:val="es-ES"/>
        </w:rPr>
        <w:t>15 tras las</w:t>
      </w:r>
      <w:r w:rsidRPr="00374E14">
        <w:rPr>
          <w:rFonts w:ascii="Arial" w:hAnsi="Arial"/>
          <w:sz w:val="20"/>
          <w:lang w:val="es-ES"/>
        </w:rPr>
        <w:t xml:space="preserve"> transferencias asciende a 0,8 millones de francos suizos, la disminución respecto del presupuesto aprobado de 2014/15 representa solo 0,2 millones de francos suizos. Los cambios observados reflejan una redistribución de recursos en la rúbrica Academia de la OMPI y el programa 3 (Derecho de autor y derechos conexos).</w:t>
      </w:r>
    </w:p>
    <w:p w:rsidR="00236E18" w:rsidRPr="00374E14" w:rsidRDefault="00236E18" w:rsidP="00236E18">
      <w:pPr>
        <w:jc w:val="both"/>
        <w:rPr>
          <w:sz w:val="20"/>
        </w:rPr>
      </w:pPr>
    </w:p>
    <w:p w:rsidR="00236E18" w:rsidRPr="00374E14"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374E14">
        <w:rPr>
          <w:rFonts w:ascii="Arial" w:hAnsi="Arial"/>
          <w:sz w:val="20"/>
          <w:lang w:val="es-ES"/>
        </w:rPr>
        <w:t>El aumento de 21,4 millones, o 21,6%, en la rúbrica “Otros servicios contractuales” con respecto al presupuesto de 2014/</w:t>
      </w:r>
      <w:r>
        <w:rPr>
          <w:rFonts w:ascii="Arial" w:hAnsi="Arial"/>
          <w:sz w:val="20"/>
          <w:lang w:val="es-ES"/>
        </w:rPr>
        <w:t>15 tras las</w:t>
      </w:r>
      <w:r w:rsidRPr="00374E14">
        <w:rPr>
          <w:rFonts w:ascii="Arial" w:hAnsi="Arial"/>
          <w:sz w:val="20"/>
          <w:lang w:val="es-ES"/>
        </w:rPr>
        <w:t xml:space="preserve"> trasferencias se relaciona principalmente con el incremento del volumen de las traducciones del PCT, la necesidad de </w:t>
      </w:r>
      <w:r>
        <w:rPr>
          <w:rFonts w:ascii="Arial" w:hAnsi="Arial"/>
          <w:sz w:val="20"/>
          <w:lang w:val="es-ES"/>
        </w:rPr>
        <w:t>mejor</w:t>
      </w:r>
      <w:r w:rsidRPr="00374E14">
        <w:rPr>
          <w:rFonts w:ascii="Arial" w:hAnsi="Arial"/>
          <w:sz w:val="20"/>
          <w:lang w:val="es-ES"/>
        </w:rPr>
        <w:t xml:space="preserve">ar la capacidad de </w:t>
      </w:r>
      <w:r>
        <w:rPr>
          <w:rFonts w:ascii="Arial" w:hAnsi="Arial"/>
          <w:sz w:val="20"/>
          <w:lang w:val="es-ES"/>
        </w:rPr>
        <w:t>reacción</w:t>
      </w:r>
      <w:r w:rsidRPr="00374E14">
        <w:rPr>
          <w:rFonts w:ascii="Arial" w:hAnsi="Arial"/>
          <w:sz w:val="20"/>
          <w:lang w:val="es-ES"/>
        </w:rPr>
        <w:t xml:space="preserve"> </w:t>
      </w:r>
      <w:r>
        <w:rPr>
          <w:rFonts w:ascii="Arial" w:hAnsi="Arial"/>
          <w:sz w:val="20"/>
          <w:lang w:val="es-ES"/>
        </w:rPr>
        <w:t xml:space="preserve">y recuperación </w:t>
      </w:r>
      <w:r w:rsidRPr="00374E14">
        <w:rPr>
          <w:rFonts w:ascii="Arial" w:hAnsi="Arial"/>
          <w:sz w:val="20"/>
          <w:lang w:val="es-ES"/>
        </w:rPr>
        <w:t>del PCT</w:t>
      </w:r>
      <w:r>
        <w:rPr>
          <w:rFonts w:ascii="Arial" w:hAnsi="Arial"/>
          <w:sz w:val="20"/>
          <w:lang w:val="es-ES"/>
        </w:rPr>
        <w:t>,</w:t>
      </w:r>
      <w:r w:rsidRPr="00374E14">
        <w:rPr>
          <w:rFonts w:ascii="Arial" w:hAnsi="Arial"/>
          <w:sz w:val="20"/>
          <w:lang w:val="es-ES"/>
        </w:rPr>
        <w:t xml:space="preserve"> la mayor dependencia de las tecnologías de la información y las comunicaciones y la seguridad de la información.  En relación con esta última, también da lugar a un aumento en la rúbrica “Suministros y material” (en especial el mayor costo del </w:t>
      </w:r>
      <w:r w:rsidRPr="00374E14">
        <w:rPr>
          <w:rFonts w:ascii="Arial" w:hAnsi="Arial"/>
          <w:i/>
          <w:sz w:val="20"/>
          <w:lang w:val="es-ES"/>
        </w:rPr>
        <w:t xml:space="preserve">software </w:t>
      </w:r>
      <w:r w:rsidRPr="00374E14">
        <w:rPr>
          <w:rFonts w:ascii="Arial" w:hAnsi="Arial"/>
          <w:sz w:val="20"/>
          <w:lang w:val="es-ES"/>
        </w:rPr>
        <w:t xml:space="preserve">y las licencias). </w:t>
      </w:r>
    </w:p>
    <w:p w:rsidR="00236E18" w:rsidRPr="00374E14" w:rsidRDefault="00236E18" w:rsidP="00236E18">
      <w:pPr>
        <w:jc w:val="both"/>
        <w:rPr>
          <w:sz w:val="20"/>
        </w:rPr>
      </w:pPr>
    </w:p>
    <w:p w:rsidR="00236E18" w:rsidRPr="00374E14"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374E14">
        <w:rPr>
          <w:rFonts w:ascii="Arial" w:hAnsi="Arial"/>
          <w:sz w:val="20"/>
          <w:lang w:val="es-ES"/>
        </w:rPr>
        <w:t>El incremento de las necesidades operativas relacionadas con los sistemas de registro internacional ha dado lugar a un aumento de 0,7 millones de francos suizos de los recursos presupuestados para las “Becas de la OMPI” en 2016/17, con respecto al presupuesto de 2014/</w:t>
      </w:r>
      <w:r>
        <w:rPr>
          <w:rFonts w:ascii="Arial" w:hAnsi="Arial"/>
          <w:sz w:val="20"/>
          <w:lang w:val="es-ES"/>
        </w:rPr>
        <w:t>15 tras las</w:t>
      </w:r>
      <w:r w:rsidRPr="00374E14">
        <w:rPr>
          <w:rFonts w:ascii="Arial" w:hAnsi="Arial"/>
          <w:sz w:val="20"/>
          <w:lang w:val="es-ES"/>
        </w:rPr>
        <w:t xml:space="preserve"> transferencias. </w:t>
      </w:r>
    </w:p>
    <w:p w:rsidR="00236E18" w:rsidRPr="00374E14" w:rsidRDefault="00236E18" w:rsidP="00236E18">
      <w:pPr>
        <w:jc w:val="both"/>
        <w:rPr>
          <w:b/>
          <w:sz w:val="20"/>
        </w:rPr>
      </w:pPr>
    </w:p>
    <w:p w:rsidR="00236E18" w:rsidRPr="00374E14"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374E14">
        <w:rPr>
          <w:rFonts w:ascii="Arial" w:hAnsi="Arial"/>
          <w:sz w:val="20"/>
          <w:lang w:val="es-ES"/>
        </w:rPr>
        <w:t>La reducción de 0,5 millones que se observa en el presupuesto para las “Conferencias” se debe a la asignación para la celebración de dos conferencias diplomáticas en 2014/15 en el marco de los programas 2 y 4, mientras que en 2016/17 esa asignación solo cubre la celebración de una eventual conferencia diplomática en la rúbrica “Sin consignar (</w:t>
      </w:r>
      <w:r>
        <w:rPr>
          <w:rFonts w:ascii="Arial" w:hAnsi="Arial"/>
          <w:sz w:val="20"/>
          <w:lang w:val="es-ES"/>
        </w:rPr>
        <w:t>no relativos a personal</w:t>
      </w:r>
      <w:r w:rsidRPr="00374E14">
        <w:rPr>
          <w:rFonts w:ascii="Arial" w:hAnsi="Arial"/>
          <w:sz w:val="20"/>
          <w:lang w:val="es-ES"/>
        </w:rPr>
        <w:t>)”.</w:t>
      </w:r>
    </w:p>
    <w:p w:rsidR="00236E18" w:rsidRPr="00374E14" w:rsidRDefault="00236E18" w:rsidP="00236E18">
      <w:pPr>
        <w:jc w:val="both"/>
        <w:rPr>
          <w:sz w:val="20"/>
        </w:rPr>
      </w:pPr>
    </w:p>
    <w:p w:rsidR="00236E18" w:rsidRPr="00374E14"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374E14">
        <w:rPr>
          <w:rFonts w:ascii="Arial" w:hAnsi="Arial"/>
          <w:sz w:val="20"/>
          <w:lang w:val="es-ES"/>
        </w:rPr>
        <w:t>En el bienio 2016/17 las pasantías ya no se presupuestan de forma centralizada en el programa 23 (Gestión y desarrollo de los recursos humanos) sino que se descentralizan a los programas.  La asignación presupuestada para 2016/17 representa un aumento de 0,1 millones de francos suizos con respecto al presupuesto aprobado de 2014/15, lo que denota una hipótesis de planificación más realista, basada en las necesidades previstas.</w:t>
      </w:r>
    </w:p>
    <w:p w:rsidR="00236E18" w:rsidRPr="00374E14" w:rsidRDefault="00236E18" w:rsidP="00236E18">
      <w:pPr>
        <w:jc w:val="both"/>
        <w:rPr>
          <w:sz w:val="20"/>
        </w:rPr>
      </w:pPr>
    </w:p>
    <w:p w:rsidR="00236E18" w:rsidRPr="00374E14" w:rsidRDefault="00236E18" w:rsidP="00236E18">
      <w:pPr>
        <w:jc w:val="both"/>
        <w:rPr>
          <w:b/>
          <w:sz w:val="20"/>
        </w:rPr>
      </w:pPr>
    </w:p>
    <w:p w:rsidR="00236E18" w:rsidRPr="00374E14" w:rsidRDefault="00236E18" w:rsidP="00236E18">
      <w:pPr>
        <w:pStyle w:val="StyleHeading3ComplexItalic"/>
        <w:keepLines/>
        <w:tabs>
          <w:tab w:val="clear" w:pos="1985"/>
          <w:tab w:val="left" w:pos="1843"/>
        </w:tabs>
        <w:ind w:left="1843" w:hanging="1843"/>
        <w:rPr>
          <w:sz w:val="20"/>
          <w:lang w:val="es-ES"/>
        </w:rPr>
      </w:pPr>
      <w:bookmarkStart w:id="24" w:name="_Toc419283237"/>
      <w:bookmarkStart w:id="25" w:name="_Toc431573536"/>
      <w:bookmarkStart w:id="26" w:name="_Toc431573936"/>
      <w:r w:rsidRPr="00374E14">
        <w:rPr>
          <w:sz w:val="20"/>
          <w:lang w:val="es-ES"/>
        </w:rPr>
        <w:lastRenderedPageBreak/>
        <w:t>GASTOS DE PERSONAL</w:t>
      </w:r>
      <w:bookmarkEnd w:id="24"/>
      <w:bookmarkEnd w:id="25"/>
      <w:bookmarkEnd w:id="26"/>
    </w:p>
    <w:p w:rsidR="00236E18" w:rsidRPr="00374E14" w:rsidRDefault="00236E18" w:rsidP="00236E18">
      <w:pPr>
        <w:pStyle w:val="NormalWeb"/>
        <w:keepNext/>
        <w:keepLines/>
        <w:shd w:val="clear" w:color="auto" w:fill="FFFFFF"/>
        <w:jc w:val="both"/>
        <w:rPr>
          <w:rFonts w:ascii="Arial" w:hAnsi="Arial" w:cs="Arial"/>
          <w:b/>
          <w:color w:val="000000"/>
          <w:sz w:val="20"/>
          <w:szCs w:val="20"/>
          <w:lang w:val="es-ES"/>
        </w:rPr>
      </w:pPr>
    </w:p>
    <w:p w:rsidR="00236E18" w:rsidRPr="00374E14" w:rsidRDefault="00236E18" w:rsidP="00236E18">
      <w:pPr>
        <w:pStyle w:val="NormalWeb"/>
        <w:keepNext/>
        <w:keepLines/>
        <w:shd w:val="clear" w:color="auto" w:fill="FFFFFF"/>
        <w:jc w:val="both"/>
        <w:rPr>
          <w:rFonts w:ascii="Arial" w:hAnsi="Arial" w:cs="Arial"/>
          <w:b/>
          <w:color w:val="000000"/>
          <w:sz w:val="20"/>
          <w:szCs w:val="20"/>
          <w:lang w:val="es-ES"/>
        </w:rPr>
      </w:pPr>
      <w:r w:rsidRPr="00374E14">
        <w:rPr>
          <w:rFonts w:ascii="Arial" w:hAnsi="Arial" w:cs="Arial"/>
          <w:b/>
          <w:color w:val="000000"/>
          <w:sz w:val="20"/>
          <w:szCs w:val="20"/>
          <w:lang w:val="es-ES"/>
        </w:rPr>
        <w:t>Metodología</w:t>
      </w:r>
    </w:p>
    <w:p w:rsidR="00236E18" w:rsidRPr="00374E14" w:rsidRDefault="00236E18" w:rsidP="00236E18">
      <w:pPr>
        <w:pStyle w:val="NormalWeb"/>
        <w:keepNext/>
        <w:keepLines/>
        <w:shd w:val="clear" w:color="auto" w:fill="FFFFFF"/>
        <w:jc w:val="both"/>
        <w:rPr>
          <w:rFonts w:ascii="Arial" w:hAnsi="Arial" w:cs="Arial"/>
          <w:b/>
          <w:color w:val="000000"/>
          <w:sz w:val="20"/>
          <w:szCs w:val="20"/>
          <w:lang w:val="es-ES"/>
        </w:rPr>
      </w:pPr>
    </w:p>
    <w:p w:rsidR="00236E18" w:rsidRPr="00374E14" w:rsidRDefault="00236E18" w:rsidP="00236E18">
      <w:pPr>
        <w:pStyle w:val="ListParagraph"/>
        <w:keepNext/>
        <w:keepLines/>
        <w:widowControl w:val="0"/>
        <w:numPr>
          <w:ilvl w:val="0"/>
          <w:numId w:val="5"/>
        </w:numPr>
        <w:tabs>
          <w:tab w:val="left" w:pos="567"/>
        </w:tabs>
        <w:ind w:left="0" w:firstLine="0"/>
        <w:jc w:val="both"/>
        <w:rPr>
          <w:rFonts w:ascii="Arial" w:hAnsi="Arial" w:cs="Arial"/>
          <w:color w:val="000000"/>
          <w:sz w:val="20"/>
          <w:szCs w:val="20"/>
          <w:lang w:val="es-ES"/>
        </w:rPr>
      </w:pPr>
      <w:r w:rsidRPr="00374E14">
        <w:rPr>
          <w:rFonts w:ascii="Arial" w:hAnsi="Arial" w:cs="Arial"/>
          <w:color w:val="000000"/>
          <w:sz w:val="20"/>
          <w:szCs w:val="20"/>
          <w:lang w:val="es-ES"/>
        </w:rPr>
        <w:t xml:space="preserve">Se ha adoptado un cambio de metodología para el cálculo de los costos en el presupuesto de los recursos de personal que ya no se basa en la media de los costos estándar, como era el caso anteriormente, sino en los costos reales.  La nueva metodología tiene por objeto mejorar la solidez de las hipótesis de costos de personal, basándose en las prestaciones reales de que se benefician los empleados de la Organización.  </w:t>
      </w:r>
    </w:p>
    <w:p w:rsidR="00236E18" w:rsidRPr="00374E14" w:rsidRDefault="00236E18" w:rsidP="00236E18">
      <w:pPr>
        <w:pStyle w:val="ListParagraph"/>
        <w:widowControl w:val="0"/>
        <w:tabs>
          <w:tab w:val="left" w:pos="567"/>
        </w:tabs>
        <w:ind w:left="0"/>
        <w:jc w:val="both"/>
        <w:rPr>
          <w:rFonts w:ascii="Arial" w:hAnsi="Arial" w:cs="Arial"/>
          <w:color w:val="000000"/>
          <w:sz w:val="20"/>
          <w:szCs w:val="20"/>
          <w:lang w:val="es-ES"/>
        </w:rPr>
      </w:pPr>
    </w:p>
    <w:p w:rsidR="00236E18" w:rsidRPr="00374E14" w:rsidRDefault="00236E18" w:rsidP="00236E18">
      <w:pPr>
        <w:pStyle w:val="ListParagraph"/>
        <w:widowControl w:val="0"/>
        <w:numPr>
          <w:ilvl w:val="0"/>
          <w:numId w:val="5"/>
        </w:numPr>
        <w:tabs>
          <w:tab w:val="left" w:pos="567"/>
        </w:tabs>
        <w:ind w:left="0" w:firstLine="0"/>
        <w:jc w:val="both"/>
        <w:rPr>
          <w:rFonts w:ascii="Arial" w:hAnsi="Arial" w:cs="Arial"/>
          <w:color w:val="000000"/>
          <w:sz w:val="20"/>
          <w:szCs w:val="20"/>
          <w:lang w:val="es-ES"/>
        </w:rPr>
      </w:pPr>
      <w:r w:rsidRPr="00374E14">
        <w:rPr>
          <w:rFonts w:ascii="Arial" w:hAnsi="Arial"/>
          <w:sz w:val="20"/>
          <w:lang w:val="es-ES"/>
        </w:rPr>
        <w:t xml:space="preserve">Si bien los costos de los </w:t>
      </w:r>
      <w:r>
        <w:rPr>
          <w:rFonts w:ascii="Arial" w:hAnsi="Arial"/>
          <w:sz w:val="20"/>
          <w:lang w:val="es-ES"/>
        </w:rPr>
        <w:t>cargos</w:t>
      </w:r>
      <w:r w:rsidRPr="00374E14">
        <w:rPr>
          <w:rFonts w:ascii="Arial" w:hAnsi="Arial"/>
          <w:sz w:val="20"/>
          <w:lang w:val="es-ES"/>
        </w:rPr>
        <w:t xml:space="preserve"> cubiertos se basan en las escalas de sueldos y remuneración pensionable, y en los </w:t>
      </w:r>
      <w:r w:rsidRPr="00374E14">
        <w:rPr>
          <w:rFonts w:ascii="Arial" w:hAnsi="Arial" w:cs="Arial"/>
          <w:color w:val="000000"/>
          <w:sz w:val="20"/>
          <w:szCs w:val="20"/>
          <w:lang w:val="es-ES"/>
        </w:rPr>
        <w:t>beneficios y las prestaciones (armonizados con las políticas y prestaciones aplicables)</w:t>
      </w:r>
      <w:r w:rsidRPr="00374E14">
        <w:rPr>
          <w:rFonts w:ascii="Arial" w:eastAsia="SimSun" w:hAnsi="Arial" w:cs="Arial"/>
          <w:sz w:val="20"/>
          <w:szCs w:val="20"/>
          <w:lang w:val="es-ES" w:eastAsia="zh-CN"/>
        </w:rPr>
        <w:t xml:space="preserve"> </w:t>
      </w:r>
      <w:r w:rsidRPr="00374E14">
        <w:rPr>
          <w:rFonts w:ascii="Arial" w:hAnsi="Arial" w:cs="Arial"/>
          <w:color w:val="000000"/>
          <w:sz w:val="20"/>
          <w:szCs w:val="20"/>
          <w:lang w:val="es-ES"/>
        </w:rPr>
        <w:t xml:space="preserve">más recientes disponibles en NN.UU., el costo de los </w:t>
      </w:r>
      <w:r>
        <w:rPr>
          <w:rFonts w:ascii="Arial" w:hAnsi="Arial" w:cs="Arial"/>
          <w:color w:val="000000"/>
          <w:sz w:val="20"/>
          <w:szCs w:val="20"/>
          <w:lang w:val="es-ES"/>
        </w:rPr>
        <w:t>cargos</w:t>
      </w:r>
      <w:r w:rsidRPr="00374E14">
        <w:rPr>
          <w:rFonts w:ascii="Arial" w:hAnsi="Arial" w:cs="Arial"/>
          <w:color w:val="000000"/>
          <w:sz w:val="20"/>
          <w:szCs w:val="20"/>
          <w:lang w:val="es-ES"/>
        </w:rPr>
        <w:t xml:space="preserve"> vacantes se basa en la media de los costos estándar.</w:t>
      </w:r>
    </w:p>
    <w:p w:rsidR="00236E18" w:rsidRPr="00374E14" w:rsidRDefault="00236E18" w:rsidP="00236E18">
      <w:pPr>
        <w:pStyle w:val="ListParagraph"/>
        <w:widowControl w:val="0"/>
        <w:tabs>
          <w:tab w:val="left" w:pos="567"/>
        </w:tabs>
        <w:ind w:left="0"/>
        <w:jc w:val="both"/>
        <w:rPr>
          <w:rFonts w:ascii="Arial" w:hAnsi="Arial" w:cs="Arial"/>
          <w:color w:val="000000"/>
          <w:sz w:val="20"/>
          <w:szCs w:val="20"/>
          <w:lang w:val="es-ES"/>
        </w:rPr>
      </w:pPr>
    </w:p>
    <w:p w:rsidR="00236E18" w:rsidRPr="00374E14" w:rsidRDefault="00236E18" w:rsidP="00236E18">
      <w:pPr>
        <w:pStyle w:val="ListParagraph"/>
        <w:widowControl w:val="0"/>
        <w:numPr>
          <w:ilvl w:val="0"/>
          <w:numId w:val="5"/>
        </w:numPr>
        <w:tabs>
          <w:tab w:val="left" w:pos="567"/>
        </w:tabs>
        <w:ind w:left="0" w:firstLine="0"/>
        <w:jc w:val="both"/>
        <w:rPr>
          <w:rFonts w:ascii="Arial" w:hAnsi="Arial" w:cs="Arial"/>
          <w:color w:val="000000"/>
          <w:sz w:val="20"/>
          <w:szCs w:val="20"/>
          <w:lang w:val="es-ES"/>
        </w:rPr>
      </w:pPr>
      <w:r w:rsidRPr="00374E14">
        <w:rPr>
          <w:rFonts w:ascii="Arial" w:hAnsi="Arial"/>
          <w:sz w:val="20"/>
          <w:lang w:val="es-ES"/>
        </w:rPr>
        <w:t>La puesta en marcha de la nueva metodología ha sido posible gracias a la implantación del sistema de PRI en la fase de planificación y permitirá a la Secretaría supervisar mejor los gastos reales de personal al nivel de cada puesto, durante la fase de ejecución</w:t>
      </w:r>
      <w:r w:rsidRPr="00374E14">
        <w:rPr>
          <w:rFonts w:ascii="Arial" w:hAnsi="Arial" w:cs="Arial"/>
          <w:color w:val="000000"/>
          <w:sz w:val="20"/>
          <w:szCs w:val="20"/>
          <w:lang w:val="es-ES"/>
        </w:rPr>
        <w:t xml:space="preserve">. </w:t>
      </w:r>
    </w:p>
    <w:p w:rsidR="00236E18" w:rsidRPr="00374E14" w:rsidRDefault="00236E18" w:rsidP="00236E18">
      <w:pPr>
        <w:pStyle w:val="NormalWeb"/>
        <w:shd w:val="clear" w:color="auto" w:fill="FFFFFF"/>
        <w:jc w:val="both"/>
        <w:rPr>
          <w:rFonts w:ascii="Arial" w:hAnsi="Arial" w:cs="Arial"/>
          <w:b/>
          <w:color w:val="000000"/>
          <w:sz w:val="20"/>
          <w:szCs w:val="20"/>
          <w:u w:val="single"/>
          <w:lang w:val="es-ES"/>
        </w:rPr>
      </w:pPr>
    </w:p>
    <w:p w:rsidR="00236E18" w:rsidRPr="00374E14" w:rsidRDefault="00236E18" w:rsidP="00236E18">
      <w:pPr>
        <w:pStyle w:val="NormalWeb"/>
        <w:shd w:val="clear" w:color="auto" w:fill="FFFFFF"/>
        <w:jc w:val="both"/>
        <w:rPr>
          <w:rFonts w:ascii="Arial" w:hAnsi="Arial" w:cs="Arial"/>
          <w:b/>
          <w:color w:val="000000"/>
          <w:sz w:val="20"/>
          <w:szCs w:val="20"/>
          <w:lang w:val="es-ES"/>
        </w:rPr>
      </w:pPr>
      <w:r>
        <w:rPr>
          <w:rFonts w:ascii="Arial" w:hAnsi="Arial" w:cs="Arial"/>
          <w:b/>
          <w:color w:val="000000"/>
          <w:sz w:val="20"/>
          <w:szCs w:val="20"/>
          <w:lang w:val="es-ES"/>
        </w:rPr>
        <w:t>Hipótesis de planificación</w:t>
      </w:r>
    </w:p>
    <w:p w:rsidR="00236E18" w:rsidRPr="00374E14" w:rsidRDefault="00236E18" w:rsidP="00236E18">
      <w:pPr>
        <w:pStyle w:val="NormalWeb"/>
        <w:shd w:val="clear" w:color="auto" w:fill="FFFFFF"/>
        <w:jc w:val="both"/>
        <w:rPr>
          <w:rFonts w:ascii="Arial" w:hAnsi="Arial" w:cs="Arial"/>
          <w:b/>
          <w:color w:val="000000"/>
          <w:sz w:val="20"/>
          <w:szCs w:val="20"/>
          <w:lang w:val="es-ES"/>
        </w:rPr>
      </w:pPr>
    </w:p>
    <w:p w:rsidR="00236E18" w:rsidRPr="00374E14" w:rsidRDefault="00236E18" w:rsidP="00236E18">
      <w:pPr>
        <w:numPr>
          <w:ilvl w:val="0"/>
          <w:numId w:val="6"/>
        </w:numPr>
        <w:shd w:val="clear" w:color="auto" w:fill="FFFFFF"/>
        <w:ind w:left="714" w:hanging="357"/>
        <w:jc w:val="both"/>
        <w:rPr>
          <w:color w:val="000000"/>
          <w:sz w:val="20"/>
        </w:rPr>
      </w:pPr>
      <w:r w:rsidRPr="00374E14">
        <w:rPr>
          <w:color w:val="000000"/>
          <w:sz w:val="20"/>
        </w:rPr>
        <w:t xml:space="preserve">En lo referente a los </w:t>
      </w:r>
      <w:r>
        <w:rPr>
          <w:color w:val="000000"/>
          <w:sz w:val="20"/>
        </w:rPr>
        <w:t>cargos</w:t>
      </w:r>
      <w:r w:rsidRPr="00374E14">
        <w:rPr>
          <w:color w:val="000000"/>
          <w:sz w:val="20"/>
        </w:rPr>
        <w:t xml:space="preserve"> cubiertos, en el cálculo del costo de los sueldos para 2016/17 se tiene en cuenta el aumento del sueldo dentro del grado aplicable en el momento del cálculo del costo según la escala de sueldos de la Comisión de Administración Pública Internacional (CAPI) y el Estatuto y Reglamento del Personal;</w:t>
      </w:r>
    </w:p>
    <w:p w:rsidR="00236E18" w:rsidRPr="00374E14" w:rsidRDefault="00236E18" w:rsidP="00236E18">
      <w:pPr>
        <w:shd w:val="clear" w:color="auto" w:fill="FFFFFF"/>
        <w:ind w:left="714"/>
        <w:jc w:val="both"/>
        <w:rPr>
          <w:color w:val="000000"/>
          <w:sz w:val="20"/>
        </w:rPr>
      </w:pPr>
    </w:p>
    <w:p w:rsidR="00236E18" w:rsidRPr="00374E14" w:rsidRDefault="00236E18" w:rsidP="00236E18">
      <w:pPr>
        <w:numPr>
          <w:ilvl w:val="0"/>
          <w:numId w:val="6"/>
        </w:numPr>
        <w:shd w:val="clear" w:color="auto" w:fill="FFFFFF"/>
        <w:ind w:left="714" w:hanging="357"/>
        <w:jc w:val="both"/>
        <w:rPr>
          <w:color w:val="000000"/>
          <w:sz w:val="20"/>
        </w:rPr>
      </w:pPr>
      <w:r w:rsidRPr="00374E14">
        <w:rPr>
          <w:color w:val="000000"/>
          <w:sz w:val="20"/>
        </w:rPr>
        <w:t>Desde febrero de 2015 se aplica el tipo de cambio y el multiplicador del ajuste por lugar de destino, si procede (a los sueldos de las categorías profesional y superior);</w:t>
      </w:r>
    </w:p>
    <w:p w:rsidR="00236E18" w:rsidRPr="00374E14" w:rsidRDefault="00236E18" w:rsidP="00236E18">
      <w:pPr>
        <w:pStyle w:val="ListParagraph"/>
        <w:rPr>
          <w:rFonts w:ascii="Arial" w:hAnsi="Arial" w:cs="Arial"/>
          <w:color w:val="000000"/>
          <w:sz w:val="20"/>
          <w:lang w:val="es-ES"/>
        </w:rPr>
      </w:pPr>
    </w:p>
    <w:p w:rsidR="00236E18" w:rsidRPr="00374E14" w:rsidRDefault="00236E18" w:rsidP="00236E18">
      <w:pPr>
        <w:numPr>
          <w:ilvl w:val="0"/>
          <w:numId w:val="6"/>
        </w:numPr>
        <w:shd w:val="clear" w:color="auto" w:fill="FFFFFF"/>
        <w:ind w:left="714" w:hanging="357"/>
        <w:jc w:val="both"/>
        <w:rPr>
          <w:color w:val="000000"/>
          <w:sz w:val="20"/>
        </w:rPr>
      </w:pPr>
      <w:r w:rsidRPr="00374E14">
        <w:rPr>
          <w:color w:val="000000"/>
          <w:sz w:val="20"/>
        </w:rPr>
        <w:t xml:space="preserve">Se aplica un coeficiente 1:1 entre el dólar de EE.UU. y el franco suizo a las remuneraciones pensionables según la escala de sueldos de la CAPI aplicable en el momento del cálculo de los costos; </w:t>
      </w:r>
    </w:p>
    <w:p w:rsidR="00236E18" w:rsidRPr="00374E14" w:rsidRDefault="00236E18" w:rsidP="00236E18">
      <w:pPr>
        <w:pStyle w:val="ListParagraph"/>
        <w:rPr>
          <w:rFonts w:ascii="Arial" w:hAnsi="Arial" w:cs="Arial"/>
          <w:color w:val="000000"/>
          <w:sz w:val="20"/>
          <w:lang w:val="es-ES"/>
        </w:rPr>
      </w:pPr>
    </w:p>
    <w:p w:rsidR="00236E18" w:rsidRPr="00374E14" w:rsidRDefault="00236E18" w:rsidP="00236E18">
      <w:pPr>
        <w:numPr>
          <w:ilvl w:val="0"/>
          <w:numId w:val="6"/>
        </w:numPr>
        <w:shd w:val="clear" w:color="auto" w:fill="FFFFFF"/>
        <w:ind w:left="714" w:hanging="357"/>
        <w:jc w:val="both"/>
        <w:rPr>
          <w:color w:val="000000"/>
          <w:sz w:val="20"/>
        </w:rPr>
      </w:pPr>
      <w:r w:rsidRPr="00374E14">
        <w:rPr>
          <w:color w:val="000000"/>
          <w:sz w:val="20"/>
        </w:rPr>
        <w:t xml:space="preserve">Los beneficios y las prestaciones se calculan en función del grado de los </w:t>
      </w:r>
      <w:r>
        <w:rPr>
          <w:color w:val="000000"/>
          <w:sz w:val="20"/>
        </w:rPr>
        <w:t>cargos</w:t>
      </w:r>
      <w:r w:rsidRPr="00374E14">
        <w:rPr>
          <w:color w:val="000000"/>
          <w:sz w:val="20"/>
        </w:rPr>
        <w:t xml:space="preserve"> cubiertos sobre la base de los datos más recientes de la nómina.  Se ha determinado un costo medio para los </w:t>
      </w:r>
      <w:r>
        <w:rPr>
          <w:color w:val="000000"/>
          <w:sz w:val="20"/>
        </w:rPr>
        <w:t>cargos</w:t>
      </w:r>
      <w:r w:rsidRPr="00374E14">
        <w:rPr>
          <w:color w:val="000000"/>
          <w:sz w:val="20"/>
        </w:rPr>
        <w:t xml:space="preserve"> vacantes;</w:t>
      </w:r>
    </w:p>
    <w:p w:rsidR="00236E18" w:rsidRPr="00374E14" w:rsidRDefault="00236E18" w:rsidP="00236E18">
      <w:pPr>
        <w:pStyle w:val="ListParagraph"/>
        <w:rPr>
          <w:rFonts w:ascii="Arial" w:hAnsi="Arial" w:cs="Arial"/>
          <w:color w:val="000000"/>
          <w:sz w:val="20"/>
          <w:lang w:val="es-ES"/>
        </w:rPr>
      </w:pPr>
    </w:p>
    <w:p w:rsidR="00236E18" w:rsidRPr="00374E14" w:rsidRDefault="00236E18" w:rsidP="00236E18">
      <w:pPr>
        <w:numPr>
          <w:ilvl w:val="0"/>
          <w:numId w:val="6"/>
        </w:numPr>
        <w:shd w:val="clear" w:color="auto" w:fill="FFFFFF"/>
        <w:ind w:left="714" w:hanging="357"/>
        <w:jc w:val="both"/>
        <w:rPr>
          <w:color w:val="000000"/>
          <w:sz w:val="20"/>
        </w:rPr>
      </w:pPr>
      <w:r w:rsidRPr="00374E14">
        <w:rPr>
          <w:color w:val="000000"/>
          <w:sz w:val="20"/>
        </w:rPr>
        <w:t>Se han reducido las asignaciones para las vacaciones en el país de origen para tener en cuenta los ahorros estimados para el bienio de aproximadamente 4 millones de francos suizos resultantes de la puesta en aplicación de la nueva política sobre vacaciones en el país de origen;</w:t>
      </w:r>
    </w:p>
    <w:p w:rsidR="00236E18" w:rsidRPr="00374E14" w:rsidRDefault="00236E18" w:rsidP="00236E18">
      <w:pPr>
        <w:pStyle w:val="ListParagraph"/>
        <w:rPr>
          <w:rFonts w:ascii="Arial" w:hAnsi="Arial" w:cs="Arial"/>
          <w:color w:val="000000"/>
          <w:sz w:val="20"/>
          <w:lang w:val="es-ES"/>
        </w:rPr>
      </w:pPr>
    </w:p>
    <w:p w:rsidR="00236E18" w:rsidRPr="00374E14" w:rsidRDefault="00236E18" w:rsidP="00236E18">
      <w:pPr>
        <w:numPr>
          <w:ilvl w:val="0"/>
          <w:numId w:val="6"/>
        </w:numPr>
        <w:shd w:val="clear" w:color="auto" w:fill="FFFFFF"/>
        <w:ind w:left="714" w:hanging="357"/>
        <w:jc w:val="both"/>
        <w:rPr>
          <w:color w:val="000000"/>
          <w:sz w:val="20"/>
        </w:rPr>
      </w:pPr>
      <w:r w:rsidRPr="00374E14">
        <w:rPr>
          <w:color w:val="000000"/>
          <w:sz w:val="20"/>
        </w:rPr>
        <w:t xml:space="preserve">No se prevé la creación de nuevos </w:t>
      </w:r>
      <w:r>
        <w:rPr>
          <w:color w:val="000000"/>
          <w:sz w:val="20"/>
        </w:rPr>
        <w:t>cargos</w:t>
      </w:r>
      <w:r w:rsidRPr="00374E14">
        <w:rPr>
          <w:color w:val="000000"/>
          <w:sz w:val="20"/>
        </w:rPr>
        <w:t xml:space="preserve"> en 2016/17.  Se ha aplicado un índice general de vacantes del 3% al cálculo total de los costos dando por supuesto que las mejoras de productividad y la automatización permitirán que no sea necesario cubrir 20 puestos durante el bienio, sin que ello afecte a la consecución de los resultados previstos.  Las contrataciones se gestionarán también </w:t>
      </w:r>
      <w:r>
        <w:rPr>
          <w:color w:val="000000"/>
          <w:sz w:val="20"/>
        </w:rPr>
        <w:t>con prudencia</w:t>
      </w:r>
      <w:r w:rsidRPr="00374E14">
        <w:rPr>
          <w:color w:val="000000"/>
          <w:sz w:val="20"/>
        </w:rPr>
        <w:t xml:space="preserve"> para asegurar que queden vacantes otros 10 </w:t>
      </w:r>
      <w:r>
        <w:rPr>
          <w:color w:val="000000"/>
          <w:sz w:val="20"/>
        </w:rPr>
        <w:t>cargos</w:t>
      </w:r>
      <w:r w:rsidRPr="00374E14">
        <w:rPr>
          <w:color w:val="000000"/>
          <w:sz w:val="20"/>
        </w:rPr>
        <w:t xml:space="preserve"> en todo momento; </w:t>
      </w:r>
    </w:p>
    <w:p w:rsidR="00236E18" w:rsidRPr="00374E14" w:rsidRDefault="00236E18" w:rsidP="00236E18">
      <w:pPr>
        <w:shd w:val="clear" w:color="auto" w:fill="FFFFFF"/>
        <w:ind w:left="714"/>
        <w:jc w:val="both"/>
        <w:rPr>
          <w:color w:val="000000"/>
          <w:sz w:val="20"/>
        </w:rPr>
      </w:pPr>
    </w:p>
    <w:p w:rsidR="00236E18" w:rsidRPr="00374E14" w:rsidRDefault="00236E18" w:rsidP="00236E18">
      <w:pPr>
        <w:numPr>
          <w:ilvl w:val="0"/>
          <w:numId w:val="6"/>
        </w:numPr>
        <w:shd w:val="clear" w:color="auto" w:fill="FFFFFF"/>
        <w:jc w:val="both"/>
        <w:rPr>
          <w:color w:val="000000"/>
          <w:sz w:val="20"/>
        </w:rPr>
      </w:pPr>
      <w:r w:rsidRPr="00374E14">
        <w:rPr>
          <w:color w:val="000000"/>
          <w:sz w:val="20"/>
        </w:rPr>
        <w:t xml:space="preserve">Las asignaciones para el seguro médico tras la separación del servicio se han mantenido en un 6,0% para los </w:t>
      </w:r>
      <w:r>
        <w:rPr>
          <w:color w:val="000000"/>
          <w:sz w:val="20"/>
        </w:rPr>
        <w:t>cargos</w:t>
      </w:r>
      <w:r w:rsidRPr="00374E14">
        <w:rPr>
          <w:color w:val="000000"/>
          <w:sz w:val="20"/>
        </w:rPr>
        <w:t xml:space="preserve"> de plazo fijo y continuos; </w:t>
      </w:r>
    </w:p>
    <w:p w:rsidR="00236E18" w:rsidRPr="00374E14" w:rsidRDefault="00236E18" w:rsidP="00236E18">
      <w:pPr>
        <w:shd w:val="clear" w:color="auto" w:fill="FFFFFF"/>
        <w:ind w:left="720"/>
        <w:jc w:val="both"/>
        <w:rPr>
          <w:color w:val="000000"/>
          <w:sz w:val="20"/>
        </w:rPr>
      </w:pPr>
    </w:p>
    <w:p w:rsidR="00236E18" w:rsidRPr="00374E14" w:rsidRDefault="00236E18" w:rsidP="00236E18">
      <w:pPr>
        <w:numPr>
          <w:ilvl w:val="0"/>
          <w:numId w:val="6"/>
        </w:numPr>
        <w:shd w:val="clear" w:color="auto" w:fill="FFFFFF"/>
        <w:jc w:val="both"/>
        <w:rPr>
          <w:color w:val="000000"/>
          <w:sz w:val="20"/>
        </w:rPr>
      </w:pPr>
      <w:r w:rsidRPr="00374E14">
        <w:rPr>
          <w:color w:val="000000"/>
          <w:sz w:val="20"/>
        </w:rPr>
        <w:t xml:space="preserve">En “Otros gastos de personal” se incluyen las asignaciones presupuestarias bienales para cubrir el seguro de accidentes profesionales (900.000 francos suizos), la Caja Cerrada de Pensiones (700.000 francos suizos), las costas procesales (400.000 francos suizos) y el Programa de recompensa y reconocimiento de la OMPI (120.000 francos suizos); este último se puso en marcha en 2014; </w:t>
      </w:r>
    </w:p>
    <w:p w:rsidR="00236E18" w:rsidRPr="00374E14" w:rsidRDefault="00236E18" w:rsidP="00236E18">
      <w:pPr>
        <w:shd w:val="clear" w:color="auto" w:fill="FFFFFF"/>
        <w:ind w:left="720"/>
        <w:jc w:val="both"/>
        <w:rPr>
          <w:color w:val="000000"/>
          <w:sz w:val="20"/>
        </w:rPr>
      </w:pPr>
    </w:p>
    <w:p w:rsidR="00236E18" w:rsidRPr="00374E14" w:rsidRDefault="00236E18" w:rsidP="00236E18">
      <w:pPr>
        <w:numPr>
          <w:ilvl w:val="0"/>
          <w:numId w:val="6"/>
        </w:numPr>
        <w:shd w:val="clear" w:color="auto" w:fill="FFFFFF"/>
        <w:jc w:val="both"/>
        <w:rPr>
          <w:color w:val="000000"/>
          <w:sz w:val="20"/>
        </w:rPr>
      </w:pPr>
      <w:r w:rsidRPr="00374E14">
        <w:rPr>
          <w:color w:val="000000"/>
          <w:sz w:val="20"/>
        </w:rPr>
        <w:t>La asignaci</w:t>
      </w:r>
      <w:r>
        <w:rPr>
          <w:color w:val="000000"/>
          <w:sz w:val="20"/>
        </w:rPr>
        <w:t>ó</w:t>
      </w:r>
      <w:r w:rsidRPr="00374E14">
        <w:rPr>
          <w:color w:val="000000"/>
          <w:sz w:val="20"/>
        </w:rPr>
        <w:t xml:space="preserve">n para la reclasificación se </w:t>
      </w:r>
      <w:r>
        <w:rPr>
          <w:color w:val="000000"/>
          <w:sz w:val="20"/>
        </w:rPr>
        <w:t>calcula</w:t>
      </w:r>
      <w:r w:rsidRPr="00374E14">
        <w:rPr>
          <w:color w:val="000000"/>
          <w:sz w:val="20"/>
        </w:rPr>
        <w:t xml:space="preserve"> en 1,5 millones de francos suizos en la rúbrica “Sin consignar (personal)” sobre la base de los costos de reclasificación reales en 2014/15;</w:t>
      </w:r>
    </w:p>
    <w:p w:rsidR="00236E18" w:rsidRPr="00374E14" w:rsidRDefault="00236E18" w:rsidP="00236E18">
      <w:pPr>
        <w:widowControl w:val="0"/>
        <w:ind w:left="720"/>
        <w:jc w:val="both"/>
        <w:rPr>
          <w:color w:val="000000"/>
          <w:sz w:val="20"/>
        </w:rPr>
      </w:pPr>
    </w:p>
    <w:p w:rsidR="00236E18" w:rsidRPr="00374E14" w:rsidRDefault="00236E18" w:rsidP="00236E18">
      <w:pPr>
        <w:widowControl w:val="0"/>
        <w:numPr>
          <w:ilvl w:val="0"/>
          <w:numId w:val="6"/>
        </w:numPr>
        <w:tabs>
          <w:tab w:val="num" w:pos="690"/>
        </w:tabs>
        <w:jc w:val="both"/>
        <w:rPr>
          <w:color w:val="000000"/>
          <w:sz w:val="20"/>
        </w:rPr>
      </w:pPr>
      <w:r w:rsidRPr="00374E14">
        <w:rPr>
          <w:color w:val="000000"/>
          <w:sz w:val="20"/>
        </w:rPr>
        <w:t xml:space="preserve">En el bienio 2014/15 se finalizará casi por completo el proceso de regularización del personal temporal con muchos años de servicio y de las funciones continuas, lo que permitirá establecer </w:t>
      </w:r>
      <w:r w:rsidRPr="00374E14">
        <w:rPr>
          <w:color w:val="000000"/>
          <w:sz w:val="20"/>
        </w:rPr>
        <w:lastRenderedPageBreak/>
        <w:t xml:space="preserve">una base sólida para atender las necesidades de personal de la Organización.  En el próximo bienio se priorizará la atención de las crecientes demandas a través de modelos de asignación de recursos más innovadores y sostenibles.  La asignación de 800.000 francos suizos en la rúbrica “Sin consignar (personal)” se destina específicamente a la regularización de las funciones continuas restantes, dentro del marco de los 156 puestos aprobados en principio por los Estados miembros para su regularización durante las Asambleas de 2010 (documento de referencia WO/CC/63/5).  Hay 41 regularizaciones pendientes actualmente; </w:t>
      </w:r>
    </w:p>
    <w:p w:rsidR="00236E18" w:rsidRPr="00E95A09" w:rsidRDefault="00236E18" w:rsidP="00236E18">
      <w:pPr>
        <w:widowControl w:val="0"/>
        <w:tabs>
          <w:tab w:val="num" w:pos="690"/>
        </w:tabs>
        <w:jc w:val="both"/>
        <w:rPr>
          <w:color w:val="000000"/>
          <w:sz w:val="12"/>
          <w:szCs w:val="12"/>
        </w:rPr>
      </w:pPr>
    </w:p>
    <w:p w:rsidR="00236E18" w:rsidRPr="00374E14" w:rsidRDefault="00236E18" w:rsidP="00236E18">
      <w:pPr>
        <w:numPr>
          <w:ilvl w:val="0"/>
          <w:numId w:val="6"/>
        </w:numPr>
        <w:shd w:val="clear" w:color="auto" w:fill="FFFFFF"/>
        <w:jc w:val="both"/>
        <w:rPr>
          <w:color w:val="000000"/>
          <w:sz w:val="20"/>
        </w:rPr>
      </w:pPr>
      <w:r w:rsidRPr="00374E14">
        <w:rPr>
          <w:color w:val="000000"/>
          <w:sz w:val="20"/>
        </w:rPr>
        <w:t>Para permitir a la Secretaría supervisar y controlar mejor los gastos relativos a las horas extraordinarias, el costo estimado de esas horas se presupuestará en una asignación separada en la rúbrica “Sin consignar (personal)”.  Teniendo en cuenta las pautas de gastos pasadas, la asignación se calcula en 2 millones de francos suizos.  Se seguirá de cerca la evolución de costos por concepto de horas extraordinarias en coordinación con el programa 23 (Gestión y desarrollo de los recursos humanos) y con las esferas programáticas pertinentes.</w:t>
      </w:r>
    </w:p>
    <w:p w:rsidR="00236E18" w:rsidRPr="00E95A09" w:rsidRDefault="00236E18" w:rsidP="00236E18">
      <w:pPr>
        <w:widowControl w:val="0"/>
        <w:tabs>
          <w:tab w:val="num" w:pos="690"/>
        </w:tabs>
        <w:jc w:val="both"/>
        <w:rPr>
          <w:color w:val="000000"/>
          <w:sz w:val="12"/>
          <w:szCs w:val="12"/>
        </w:rPr>
      </w:pPr>
    </w:p>
    <w:p w:rsidR="00236E18" w:rsidRPr="00374E14" w:rsidRDefault="00236E18" w:rsidP="00236E18">
      <w:pPr>
        <w:pStyle w:val="ListParagraph"/>
        <w:widowControl w:val="0"/>
        <w:numPr>
          <w:ilvl w:val="0"/>
          <w:numId w:val="5"/>
        </w:numPr>
        <w:tabs>
          <w:tab w:val="left" w:pos="567"/>
        </w:tabs>
        <w:ind w:left="0" w:firstLine="0"/>
        <w:jc w:val="both"/>
        <w:rPr>
          <w:rFonts w:ascii="Arial" w:hAnsi="Arial" w:cs="Arial"/>
          <w:color w:val="000000"/>
          <w:sz w:val="20"/>
          <w:lang w:val="es-ES"/>
        </w:rPr>
      </w:pPr>
      <w:r w:rsidRPr="00374E14">
        <w:rPr>
          <w:rFonts w:ascii="Arial" w:hAnsi="Arial"/>
          <w:sz w:val="20"/>
          <w:lang w:val="es-ES"/>
        </w:rPr>
        <w:t xml:space="preserve">Según las hipótesis de planificación mencionadas, se ha contenido el aumento de los gastos de personal en </w:t>
      </w:r>
      <w:r w:rsidRPr="00374E14">
        <w:rPr>
          <w:rFonts w:ascii="Arial" w:eastAsia="SimSun" w:hAnsi="Arial" w:cs="Arial"/>
          <w:color w:val="000000"/>
          <w:sz w:val="20"/>
          <w:lang w:val="es-ES" w:eastAsia="zh-CN"/>
        </w:rPr>
        <w:t xml:space="preserve">2016/17 al nivel de </w:t>
      </w:r>
      <w:r w:rsidRPr="00374E14">
        <w:rPr>
          <w:rFonts w:ascii="Arial" w:hAnsi="Arial" w:cs="Arial"/>
          <w:color w:val="000000"/>
          <w:sz w:val="20"/>
          <w:lang w:val="es-ES"/>
        </w:rPr>
        <w:t>9,6 millones de francos suizos, o un 2,1%, en relación con el presupuesto aprobado de 2014/15.  Si esa cifra se compara con la del presupuesto de 2014/</w:t>
      </w:r>
      <w:r>
        <w:rPr>
          <w:rFonts w:ascii="Arial" w:hAnsi="Arial" w:cs="Arial"/>
          <w:color w:val="000000"/>
          <w:sz w:val="20"/>
          <w:lang w:val="es-ES"/>
        </w:rPr>
        <w:t>15 tras las</w:t>
      </w:r>
      <w:r w:rsidRPr="00374E14">
        <w:rPr>
          <w:rFonts w:ascii="Arial" w:hAnsi="Arial" w:cs="Arial"/>
          <w:color w:val="000000"/>
          <w:sz w:val="20"/>
          <w:lang w:val="es-ES"/>
        </w:rPr>
        <w:t xml:space="preserve"> transferencias, el aumento </w:t>
      </w:r>
      <w:r>
        <w:rPr>
          <w:rFonts w:ascii="Arial" w:hAnsi="Arial" w:cs="Arial"/>
          <w:color w:val="000000"/>
          <w:sz w:val="20"/>
          <w:lang w:val="es-ES"/>
        </w:rPr>
        <w:t>es de</w:t>
      </w:r>
      <w:r w:rsidRPr="00374E14">
        <w:rPr>
          <w:rFonts w:ascii="Arial" w:hAnsi="Arial" w:cs="Arial"/>
          <w:color w:val="000000"/>
          <w:sz w:val="20"/>
          <w:lang w:val="es-ES"/>
        </w:rPr>
        <w:t xml:space="preserve"> </w:t>
      </w:r>
      <w:r w:rsidRPr="00374E14">
        <w:rPr>
          <w:rFonts w:ascii="Arial" w:eastAsia="SimSun" w:hAnsi="Arial" w:cs="Arial"/>
          <w:color w:val="000000"/>
          <w:sz w:val="20"/>
          <w:lang w:val="es-ES" w:eastAsia="zh-CN"/>
        </w:rPr>
        <w:t xml:space="preserve">10,3 millones o un 2,3%.  La proporción de los gastos de personal presupuestados en relación con el presupuesto total ha descendido del 66,3% en 2014/15 al 64,6% en 2016/17. Eso se debe a la adopción de una estrategia deliberada destinada a frenar los gastos de personal y la participación de los gastos de personal en el total de gastos de la Organización, y avanzar en el objetivo de contar con una fuerza laboral más ágil y flexible que pueda adaptarse fácilmente a las necesidades institucionales.  </w:t>
      </w:r>
    </w:p>
    <w:p w:rsidR="00236E18" w:rsidRPr="00E95A09" w:rsidRDefault="00236E18" w:rsidP="00236E18">
      <w:pPr>
        <w:widowControl w:val="0"/>
        <w:tabs>
          <w:tab w:val="num" w:pos="690"/>
        </w:tabs>
        <w:jc w:val="both"/>
        <w:rPr>
          <w:color w:val="000000"/>
          <w:sz w:val="12"/>
          <w:szCs w:val="12"/>
        </w:rPr>
      </w:pPr>
    </w:p>
    <w:p w:rsidR="00236E18" w:rsidRPr="00374E14" w:rsidRDefault="00236E18" w:rsidP="00236E18">
      <w:pPr>
        <w:pStyle w:val="ListParagraph"/>
        <w:widowControl w:val="0"/>
        <w:numPr>
          <w:ilvl w:val="0"/>
          <w:numId w:val="5"/>
        </w:numPr>
        <w:tabs>
          <w:tab w:val="left" w:pos="567"/>
        </w:tabs>
        <w:ind w:left="0" w:firstLine="0"/>
        <w:jc w:val="both"/>
        <w:rPr>
          <w:rFonts w:ascii="Arial" w:hAnsi="Arial"/>
          <w:sz w:val="20"/>
          <w:lang w:val="es-ES"/>
        </w:rPr>
      </w:pPr>
      <w:r w:rsidRPr="00374E14">
        <w:rPr>
          <w:rFonts w:ascii="Arial" w:hAnsi="Arial"/>
          <w:sz w:val="20"/>
          <w:lang w:val="es-ES"/>
        </w:rPr>
        <w:t>El aumento total en 2016/17 en la rúbrica “Puestos”</w:t>
      </w:r>
      <w:r w:rsidRPr="00374E14">
        <w:rPr>
          <w:rFonts w:ascii="Arial" w:hAnsi="Arial"/>
          <w:sz w:val="20"/>
          <w:vertAlign w:val="superscript"/>
          <w:lang w:val="es-ES"/>
        </w:rPr>
        <w:footnoteReference w:id="14"/>
      </w:r>
      <w:r w:rsidRPr="00374E14">
        <w:rPr>
          <w:rFonts w:ascii="Arial" w:hAnsi="Arial"/>
          <w:sz w:val="20"/>
          <w:lang w:val="es-ES"/>
        </w:rPr>
        <w:t xml:space="preserve"> en relación con el presupuesto aprobado de 2014/15 se debe principalmente a los aumentos reglamentarios.  También refleja las regularizaciones terminadas y se compensa por una reducción en la rúbrica “Personal temporal”</w:t>
      </w:r>
      <w:r w:rsidRPr="00374E14">
        <w:rPr>
          <w:rFonts w:ascii="Arial" w:hAnsi="Arial"/>
          <w:sz w:val="18"/>
          <w:vertAlign w:val="superscript"/>
          <w:lang w:val="es-ES"/>
        </w:rPr>
        <w:footnoteReference w:id="15"/>
      </w:r>
      <w:r w:rsidRPr="00374E14">
        <w:rPr>
          <w:rFonts w:ascii="Arial" w:hAnsi="Arial"/>
          <w:sz w:val="18"/>
          <w:lang w:val="es-ES"/>
        </w:rPr>
        <w:t>.</w:t>
      </w:r>
      <w:r w:rsidRPr="00374E14">
        <w:rPr>
          <w:rFonts w:ascii="Arial" w:hAnsi="Arial"/>
          <w:sz w:val="20"/>
          <w:lang w:val="es-ES"/>
        </w:rPr>
        <w:t xml:space="preserve">  </w:t>
      </w:r>
    </w:p>
    <w:p w:rsidR="00236E18" w:rsidRPr="00E95A09" w:rsidRDefault="00236E18" w:rsidP="00236E18">
      <w:pPr>
        <w:pStyle w:val="NormalWeb"/>
        <w:shd w:val="clear" w:color="auto" w:fill="FFFFFF"/>
        <w:jc w:val="both"/>
        <w:rPr>
          <w:rFonts w:ascii="Arial" w:hAnsi="Arial" w:cs="Arial"/>
          <w:color w:val="000000"/>
          <w:sz w:val="12"/>
          <w:szCs w:val="12"/>
          <w:lang w:val="es-ES"/>
        </w:rPr>
      </w:pPr>
    </w:p>
    <w:p w:rsidR="00236E18" w:rsidRPr="00E95A09" w:rsidRDefault="00236E18" w:rsidP="00236E18">
      <w:pPr>
        <w:pStyle w:val="ListParagraph"/>
        <w:widowControl w:val="0"/>
        <w:numPr>
          <w:ilvl w:val="0"/>
          <w:numId w:val="5"/>
        </w:numPr>
        <w:shd w:val="clear" w:color="auto" w:fill="FFFFFF"/>
        <w:tabs>
          <w:tab w:val="left" w:pos="567"/>
        </w:tabs>
        <w:ind w:left="0" w:firstLine="0"/>
        <w:jc w:val="both"/>
        <w:rPr>
          <w:rFonts w:ascii="Arial" w:hAnsi="Arial" w:cs="Arial"/>
          <w:sz w:val="20"/>
          <w:szCs w:val="20"/>
          <w:lang w:val="es-ES"/>
        </w:rPr>
      </w:pPr>
      <w:r w:rsidRPr="00E95A09">
        <w:rPr>
          <w:rFonts w:ascii="Arial" w:hAnsi="Arial" w:cs="Arial"/>
          <w:sz w:val="20"/>
          <w:lang w:val="es-ES"/>
        </w:rPr>
        <w:t>La reducción neta en la rúbrica “Otros gastos de personal” se debe a los ahorros estimados de 400.000 francos suizos en lo referente al seguro de accidentes profesionales, compensada en parte por un aumento de 50.000 francos suizos en la Caja Cerrada de Pensiones y un aumento de unos 120.000 francos suizos respecto del Programa de Recompensa y Reconocimiento de la OMPI.</w:t>
      </w:r>
    </w:p>
    <w:p w:rsidR="00236E18" w:rsidRPr="00E95A09" w:rsidRDefault="00236E18" w:rsidP="00236E18">
      <w:pPr>
        <w:pStyle w:val="NormalWeb"/>
        <w:shd w:val="clear" w:color="auto" w:fill="FFFFFF"/>
        <w:jc w:val="both"/>
        <w:rPr>
          <w:rFonts w:ascii="Arial" w:hAnsi="Arial" w:cs="Arial"/>
          <w:color w:val="000000"/>
          <w:sz w:val="12"/>
          <w:szCs w:val="12"/>
          <w:lang w:val="es-ES"/>
        </w:rPr>
      </w:pPr>
    </w:p>
    <w:p w:rsidR="00236E18" w:rsidRPr="00374E14" w:rsidRDefault="00236E18" w:rsidP="00236E18">
      <w:pPr>
        <w:pStyle w:val="ListParagraph"/>
        <w:widowControl w:val="0"/>
        <w:numPr>
          <w:ilvl w:val="0"/>
          <w:numId w:val="5"/>
        </w:numPr>
        <w:tabs>
          <w:tab w:val="left" w:pos="567"/>
        </w:tabs>
        <w:ind w:left="0" w:firstLine="0"/>
        <w:jc w:val="both"/>
        <w:rPr>
          <w:rFonts w:ascii="Arial" w:hAnsi="Arial"/>
          <w:sz w:val="20"/>
          <w:lang w:val="es-ES"/>
        </w:rPr>
      </w:pPr>
      <w:r>
        <w:rPr>
          <w:rFonts w:ascii="Arial" w:hAnsi="Arial"/>
          <w:sz w:val="20"/>
          <w:lang w:val="es-ES"/>
        </w:rPr>
        <w:t>El aumento neto</w:t>
      </w:r>
      <w:r w:rsidRPr="00374E14">
        <w:rPr>
          <w:rFonts w:ascii="Arial" w:hAnsi="Arial"/>
          <w:sz w:val="20"/>
          <w:lang w:val="es-ES"/>
        </w:rPr>
        <w:t xml:space="preserve"> en la rúbrica “Sin consignar (personal)”</w:t>
      </w:r>
      <w:r>
        <w:rPr>
          <w:rFonts w:ascii="Arial" w:hAnsi="Arial"/>
          <w:sz w:val="20"/>
          <w:lang w:val="es-ES"/>
        </w:rPr>
        <w:t>, debido</w:t>
      </w:r>
      <w:r w:rsidRPr="00374E14">
        <w:rPr>
          <w:rFonts w:ascii="Arial" w:hAnsi="Arial"/>
          <w:sz w:val="20"/>
          <w:lang w:val="es-ES"/>
        </w:rPr>
        <w:t xml:space="preserve"> pr</w:t>
      </w:r>
      <w:r>
        <w:rPr>
          <w:rFonts w:ascii="Arial" w:hAnsi="Arial"/>
          <w:sz w:val="20"/>
          <w:lang w:val="es-ES"/>
        </w:rPr>
        <w:t xml:space="preserve">incipalmente a los </w:t>
      </w:r>
      <w:r w:rsidRPr="00374E14">
        <w:rPr>
          <w:rFonts w:ascii="Arial" w:hAnsi="Arial"/>
          <w:sz w:val="20"/>
          <w:lang w:val="es-ES"/>
        </w:rPr>
        <w:t xml:space="preserve">2 millones de francos suizos </w:t>
      </w:r>
      <w:r>
        <w:rPr>
          <w:rFonts w:ascii="Arial" w:hAnsi="Arial"/>
          <w:sz w:val="20"/>
          <w:lang w:val="es-ES"/>
        </w:rPr>
        <w:t>asignados a</w:t>
      </w:r>
      <w:r w:rsidRPr="00374E14">
        <w:rPr>
          <w:rFonts w:ascii="Arial" w:hAnsi="Arial"/>
          <w:sz w:val="20"/>
          <w:lang w:val="es-ES"/>
        </w:rPr>
        <w:t xml:space="preserve"> gastos de horas extraordinarias, presupuestados anteriormente en la rúbrica “Puestos”, se compensa parcialmente por una reducción total de 500.000 francos suizos para reclasificaciones y unos 500.000 francos suizos para regularizaciones, con respecto al presupuesto aprobado de 2014/15.</w:t>
      </w:r>
    </w:p>
    <w:p w:rsidR="00236E18" w:rsidRPr="00E95A09" w:rsidRDefault="00236E18" w:rsidP="00236E18">
      <w:pPr>
        <w:widowControl w:val="0"/>
        <w:tabs>
          <w:tab w:val="num" w:pos="690"/>
        </w:tabs>
        <w:jc w:val="both"/>
        <w:rPr>
          <w:color w:val="000000"/>
          <w:sz w:val="20"/>
        </w:rPr>
      </w:pPr>
    </w:p>
    <w:p w:rsidR="00236E18" w:rsidRDefault="00236E18" w:rsidP="00236E18">
      <w:pPr>
        <w:keepNext/>
        <w:keepLines/>
        <w:jc w:val="center"/>
        <w:rPr>
          <w:b/>
          <w:sz w:val="20"/>
          <w:szCs w:val="16"/>
        </w:rPr>
      </w:pPr>
    </w:p>
    <w:p w:rsidR="00236E18" w:rsidRPr="00374E14" w:rsidRDefault="00236E18" w:rsidP="00236E18">
      <w:pPr>
        <w:keepNext/>
        <w:keepLines/>
        <w:jc w:val="center"/>
        <w:rPr>
          <w:b/>
          <w:sz w:val="20"/>
          <w:szCs w:val="16"/>
        </w:rPr>
      </w:pPr>
      <w:r w:rsidRPr="00374E14">
        <w:rPr>
          <w:b/>
          <w:sz w:val="20"/>
          <w:szCs w:val="16"/>
        </w:rPr>
        <w:t>Gráfico 4.  Evolución de la estructura de costos 1990/91-2016/17</w:t>
      </w:r>
    </w:p>
    <w:p w:rsidR="00236E18" w:rsidRPr="00374E14" w:rsidRDefault="00236E18" w:rsidP="00236E18">
      <w:pPr>
        <w:keepNext/>
        <w:keepLines/>
        <w:widowControl w:val="0"/>
        <w:tabs>
          <w:tab w:val="num" w:pos="690"/>
        </w:tabs>
        <w:jc w:val="both"/>
        <w:rPr>
          <w:color w:val="000000"/>
          <w:sz w:val="20"/>
        </w:rPr>
      </w:pPr>
    </w:p>
    <w:p w:rsidR="00236E18" w:rsidRPr="00374E14" w:rsidRDefault="00236E18" w:rsidP="00236E18">
      <w:pPr>
        <w:keepNext/>
        <w:keepLines/>
        <w:widowControl w:val="0"/>
        <w:tabs>
          <w:tab w:val="num" w:pos="690"/>
        </w:tabs>
        <w:jc w:val="both"/>
        <w:rPr>
          <w:color w:val="000000"/>
          <w:sz w:val="20"/>
        </w:rPr>
      </w:pPr>
      <w:r w:rsidRPr="00875C38">
        <w:rPr>
          <w:noProof/>
          <w:lang w:val="en-US" w:eastAsia="en-US"/>
        </w:rPr>
        <w:drawing>
          <wp:inline distT="0" distB="0" distL="0" distR="0" wp14:anchorId="5B58BBC0" wp14:editId="76279AA6">
            <wp:extent cx="5940425" cy="2315266"/>
            <wp:effectExtent l="0" t="0" r="3175" b="8890"/>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425" cy="2315266"/>
                    </a:xfrm>
                    <a:prstGeom prst="rect">
                      <a:avLst/>
                    </a:prstGeom>
                    <a:noFill/>
                    <a:ln>
                      <a:noFill/>
                    </a:ln>
                  </pic:spPr>
                </pic:pic>
              </a:graphicData>
            </a:graphic>
          </wp:inline>
        </w:drawing>
      </w:r>
    </w:p>
    <w:p w:rsidR="00236E18" w:rsidRPr="007A557B" w:rsidRDefault="00236E18" w:rsidP="00236E18">
      <w:pPr>
        <w:widowControl w:val="0"/>
        <w:tabs>
          <w:tab w:val="num" w:pos="690"/>
        </w:tabs>
        <w:jc w:val="both"/>
        <w:rPr>
          <w:color w:val="000000"/>
          <w:sz w:val="16"/>
          <w:szCs w:val="16"/>
        </w:rPr>
      </w:pPr>
    </w:p>
    <w:p w:rsidR="00236E18" w:rsidRPr="007A557B" w:rsidRDefault="00236E18" w:rsidP="00236E18">
      <w:pPr>
        <w:widowControl w:val="0"/>
        <w:tabs>
          <w:tab w:val="num" w:pos="690"/>
        </w:tabs>
        <w:jc w:val="both"/>
        <w:rPr>
          <w:color w:val="000000"/>
          <w:sz w:val="16"/>
          <w:szCs w:val="16"/>
        </w:rPr>
      </w:pPr>
    </w:p>
    <w:p w:rsidR="00236E18" w:rsidRPr="004D723D" w:rsidRDefault="00236E18" w:rsidP="00236E18">
      <w:pPr>
        <w:pStyle w:val="StyleHeading3ComplexItalic"/>
        <w:keepLines/>
        <w:tabs>
          <w:tab w:val="clear" w:pos="1985"/>
          <w:tab w:val="left" w:pos="1843"/>
        </w:tabs>
        <w:ind w:left="1843" w:hanging="1843"/>
        <w:rPr>
          <w:sz w:val="20"/>
          <w:lang w:val="es-ES"/>
        </w:rPr>
      </w:pPr>
      <w:bookmarkStart w:id="27" w:name="_Toc431573937"/>
      <w:r w:rsidRPr="004D723D">
        <w:rPr>
          <w:sz w:val="20"/>
          <w:lang w:val="es-ES"/>
        </w:rPr>
        <w:t>ACTIVIDADES DE DESARROLLO Y RECURSOS DE LA AGENDA PARA EL DESARROLLO</w:t>
      </w:r>
      <w:bookmarkEnd w:id="27"/>
    </w:p>
    <w:p w:rsidR="00236E18" w:rsidRPr="00374E14" w:rsidRDefault="00236E18" w:rsidP="00236E18">
      <w:pPr>
        <w:widowControl w:val="0"/>
        <w:jc w:val="both"/>
        <w:rPr>
          <w:bCs/>
          <w:sz w:val="20"/>
        </w:rPr>
      </w:pPr>
    </w:p>
    <w:p w:rsidR="00236E18" w:rsidRPr="00374E14"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sidRPr="00B61B68">
        <w:rPr>
          <w:rFonts w:ascii="Arial" w:hAnsi="Arial"/>
          <w:sz w:val="20"/>
          <w:lang w:val="es-ES"/>
        </w:rPr>
        <w:t>El desarrollo sigue siendo una prioridad en el bienio 2016/17, lo que se refleja en la estabilidad de la cuota asignada a actividades para el desarrollo (21,</w:t>
      </w:r>
      <w:r>
        <w:rPr>
          <w:rFonts w:ascii="Arial" w:hAnsi="Arial"/>
          <w:sz w:val="20"/>
          <w:lang w:val="es-ES"/>
        </w:rPr>
        <w:t>1</w:t>
      </w:r>
      <w:r w:rsidRPr="00B61B68">
        <w:rPr>
          <w:rFonts w:ascii="Arial" w:hAnsi="Arial"/>
          <w:sz w:val="20"/>
          <w:lang w:val="es-ES"/>
        </w:rPr>
        <w:t xml:space="preserve">%) en </w:t>
      </w:r>
      <w:r>
        <w:rPr>
          <w:rFonts w:ascii="Arial" w:hAnsi="Arial"/>
          <w:sz w:val="20"/>
          <w:lang w:val="es-ES"/>
        </w:rPr>
        <w:t>ese</w:t>
      </w:r>
      <w:r w:rsidRPr="00B61B68">
        <w:rPr>
          <w:rFonts w:ascii="Arial" w:hAnsi="Arial"/>
          <w:sz w:val="20"/>
          <w:lang w:val="es-ES"/>
        </w:rPr>
        <w:t xml:space="preserve"> bienio.  El aumento absoluto del gasto destinado al desarrollo en 2016/17 representa </w:t>
      </w:r>
      <w:r>
        <w:rPr>
          <w:rFonts w:ascii="Arial" w:hAnsi="Arial"/>
          <w:sz w:val="20"/>
          <w:lang w:val="es-ES"/>
        </w:rPr>
        <w:t>5</w:t>
      </w:r>
      <w:r w:rsidRPr="00B61B68">
        <w:rPr>
          <w:rFonts w:ascii="Arial" w:hAnsi="Arial"/>
          <w:sz w:val="20"/>
          <w:lang w:val="es-ES"/>
        </w:rPr>
        <w:t>,</w:t>
      </w:r>
      <w:r>
        <w:rPr>
          <w:rFonts w:ascii="Arial" w:hAnsi="Arial"/>
          <w:sz w:val="20"/>
          <w:lang w:val="es-ES"/>
        </w:rPr>
        <w:t>8</w:t>
      </w:r>
      <w:r w:rsidRPr="00B61B68">
        <w:rPr>
          <w:rFonts w:ascii="Arial" w:hAnsi="Arial"/>
          <w:sz w:val="20"/>
          <w:lang w:val="es-ES"/>
        </w:rPr>
        <w:t xml:space="preserve"> millones de francos suizos o un </w:t>
      </w:r>
      <w:r>
        <w:rPr>
          <w:rFonts w:ascii="Arial" w:hAnsi="Arial"/>
          <w:sz w:val="20"/>
          <w:lang w:val="es-ES"/>
        </w:rPr>
        <w:t>4</w:t>
      </w:r>
      <w:r w:rsidRPr="00B61B68">
        <w:rPr>
          <w:rFonts w:ascii="Arial" w:hAnsi="Arial"/>
          <w:sz w:val="20"/>
          <w:lang w:val="es-ES"/>
        </w:rPr>
        <w:t>%, con respecto al presupuesto aprobado de 2014/15.</w:t>
      </w:r>
      <w:r>
        <w:rPr>
          <w:rFonts w:ascii="Arial" w:hAnsi="Arial"/>
          <w:sz w:val="20"/>
          <w:lang w:val="es-ES"/>
        </w:rPr>
        <w:t xml:space="preserve"> </w:t>
      </w:r>
      <w:r w:rsidRPr="00B61B68">
        <w:rPr>
          <w:rFonts w:ascii="Arial" w:hAnsi="Arial"/>
          <w:sz w:val="20"/>
          <w:lang w:val="es-ES"/>
        </w:rPr>
        <w:t xml:space="preserve"> En el cuadro que figura a continuación </w:t>
      </w:r>
      <w:r w:rsidRPr="00B61B68">
        <w:rPr>
          <w:rFonts w:ascii="Arial" w:hAnsi="Arial" w:cs="Arial"/>
          <w:sz w:val="20"/>
          <w:lang w:val="es-ES"/>
        </w:rPr>
        <w:t>se exponen los detalles de los gastos destinados al desarrollo en 2016/17,</w:t>
      </w:r>
      <w:r w:rsidRPr="00B61B68">
        <w:rPr>
          <w:rFonts w:ascii="Arial" w:eastAsia="SimSun" w:hAnsi="Arial" w:cs="Arial"/>
          <w:sz w:val="20"/>
          <w:szCs w:val="20"/>
          <w:lang w:val="es-ES" w:eastAsia="zh-CN"/>
        </w:rPr>
        <w:t xml:space="preserve"> </w:t>
      </w:r>
      <w:r w:rsidRPr="00B61B68">
        <w:rPr>
          <w:rFonts w:ascii="Arial" w:hAnsi="Arial" w:cs="Arial"/>
          <w:sz w:val="20"/>
          <w:lang w:val="es-ES"/>
        </w:rPr>
        <w:t xml:space="preserve">por programa.  Se consideran </w:t>
      </w:r>
      <w:r w:rsidRPr="00B61B68">
        <w:rPr>
          <w:rFonts w:ascii="Arial" w:hAnsi="Arial" w:cs="Arial"/>
          <w:i/>
          <w:sz w:val="20"/>
          <w:lang w:val="es-ES"/>
        </w:rPr>
        <w:t>gastos destinados al desarrollo</w:t>
      </w:r>
      <w:r w:rsidRPr="00B61B68">
        <w:rPr>
          <w:rFonts w:ascii="Arial" w:hAnsi="Arial" w:cs="Arial"/>
          <w:sz w:val="20"/>
          <w:lang w:val="es-ES"/>
        </w:rPr>
        <w:t xml:space="preserve"> únicamente aquellos en los que el beneficiario es un país en desarrollo y no se ha previsto un gasto equivalente para países desarrollados. </w:t>
      </w:r>
      <w:r>
        <w:rPr>
          <w:rFonts w:ascii="Arial" w:hAnsi="Arial" w:cs="Arial"/>
          <w:sz w:val="20"/>
          <w:lang w:val="es-ES"/>
        </w:rPr>
        <w:t xml:space="preserve"> </w:t>
      </w:r>
      <w:r w:rsidRPr="00B61B68">
        <w:rPr>
          <w:rFonts w:ascii="Arial" w:hAnsi="Arial" w:cs="Arial"/>
          <w:sz w:val="20"/>
          <w:lang w:val="es-ES"/>
        </w:rPr>
        <w:t>En tales importes quedan excluidos los ingresos perdidos por causa de la reducción de tasas acordada por los sistemas internacionales de registro a solicitantes de países en desarrollo</w:t>
      </w:r>
      <w:r w:rsidRPr="00B61B68">
        <w:rPr>
          <w:rStyle w:val="FootnoteReference"/>
          <w:rFonts w:ascii="Arial" w:hAnsi="Arial" w:cs="Arial"/>
          <w:lang w:val="es-ES"/>
        </w:rPr>
        <w:footnoteReference w:id="16"/>
      </w:r>
      <w:r w:rsidRPr="00B61B68">
        <w:rPr>
          <w:rFonts w:ascii="Arial" w:hAnsi="Arial" w:cs="Arial"/>
          <w:sz w:val="20"/>
          <w:lang w:val="es-ES"/>
        </w:rPr>
        <w:t xml:space="preserve">.  </w:t>
      </w:r>
      <w:r>
        <w:rPr>
          <w:rFonts w:ascii="Arial" w:hAnsi="Arial" w:cs="Arial"/>
          <w:sz w:val="20"/>
          <w:lang w:val="es-ES"/>
        </w:rPr>
        <w:t>De incluirse</w:t>
      </w:r>
      <w:r w:rsidRPr="00B61B68">
        <w:rPr>
          <w:rFonts w:ascii="Arial" w:hAnsi="Arial" w:cs="Arial"/>
          <w:sz w:val="20"/>
          <w:lang w:val="es-ES"/>
        </w:rPr>
        <w:t xml:space="preserve"> tales gastos, el total </w:t>
      </w:r>
      <w:r>
        <w:rPr>
          <w:rFonts w:ascii="Arial" w:hAnsi="Arial" w:cs="Arial"/>
          <w:sz w:val="20"/>
          <w:lang w:val="es-ES"/>
        </w:rPr>
        <w:t>de</w:t>
      </w:r>
      <w:r w:rsidRPr="00B61B68">
        <w:rPr>
          <w:rFonts w:ascii="Arial" w:hAnsi="Arial" w:cs="Arial"/>
          <w:sz w:val="20"/>
          <w:lang w:val="es-ES"/>
        </w:rPr>
        <w:t xml:space="preserve"> </w:t>
      </w:r>
      <w:r w:rsidRPr="00B61B68">
        <w:rPr>
          <w:rFonts w:ascii="Arial" w:hAnsi="Arial" w:cs="Arial"/>
          <w:i/>
          <w:sz w:val="20"/>
          <w:lang w:val="es-ES"/>
        </w:rPr>
        <w:t>gastos destinados al desarrollo</w:t>
      </w:r>
      <w:r w:rsidRPr="00B61B68">
        <w:rPr>
          <w:rFonts w:ascii="Arial" w:hAnsi="Arial" w:cs="Arial"/>
          <w:sz w:val="20"/>
          <w:lang w:val="es-ES"/>
        </w:rPr>
        <w:t xml:space="preserve"> sería superior.</w:t>
      </w:r>
      <w:r w:rsidRPr="00374E14">
        <w:rPr>
          <w:rFonts w:ascii="Arial" w:hAnsi="Arial" w:cs="Arial"/>
          <w:sz w:val="20"/>
          <w:lang w:val="es-ES"/>
        </w:rPr>
        <w:t xml:space="preserve"> </w:t>
      </w:r>
    </w:p>
    <w:p w:rsidR="00236E18" w:rsidRPr="007A557B" w:rsidRDefault="00236E18" w:rsidP="00236E18">
      <w:pPr>
        <w:ind w:left="-426"/>
        <w:rPr>
          <w:sz w:val="16"/>
          <w:szCs w:val="16"/>
        </w:rPr>
      </w:pPr>
    </w:p>
    <w:p w:rsidR="00236E18" w:rsidRPr="00374E14" w:rsidRDefault="00236E18" w:rsidP="00236E18">
      <w:pPr>
        <w:keepNext/>
        <w:keepLines/>
        <w:ind w:left="-425"/>
        <w:jc w:val="center"/>
        <w:rPr>
          <w:b/>
          <w:sz w:val="20"/>
        </w:rPr>
      </w:pPr>
      <w:r w:rsidRPr="00374E14">
        <w:rPr>
          <w:b/>
          <w:sz w:val="20"/>
        </w:rPr>
        <w:t>Cuadro 6.  Gastos destinados al desarrollo en 2016/17 por programa</w:t>
      </w:r>
    </w:p>
    <w:p w:rsidR="00236E18" w:rsidRPr="00374E14" w:rsidRDefault="00236E18" w:rsidP="00236E18">
      <w:pPr>
        <w:keepNext/>
        <w:keepLines/>
        <w:ind w:left="-425"/>
        <w:jc w:val="center"/>
        <w:rPr>
          <w:i/>
          <w:sz w:val="20"/>
        </w:rPr>
      </w:pPr>
      <w:r w:rsidRPr="00374E14">
        <w:rPr>
          <w:i/>
          <w:sz w:val="20"/>
        </w:rPr>
        <w:t>(</w:t>
      </w:r>
      <w:proofErr w:type="gramStart"/>
      <w:r w:rsidRPr="00374E14">
        <w:rPr>
          <w:i/>
          <w:sz w:val="20"/>
        </w:rPr>
        <w:t>en</w:t>
      </w:r>
      <w:proofErr w:type="gramEnd"/>
      <w:r w:rsidRPr="00374E14">
        <w:rPr>
          <w:i/>
          <w:sz w:val="20"/>
        </w:rPr>
        <w:t xml:space="preserve"> miles de francos suizos)</w:t>
      </w:r>
    </w:p>
    <w:p w:rsidR="00236E18" w:rsidRPr="002976EE" w:rsidRDefault="00236E18" w:rsidP="00236E18">
      <w:pPr>
        <w:keepNext/>
        <w:keepLines/>
        <w:ind w:left="-425"/>
        <w:jc w:val="center"/>
        <w:rPr>
          <w:i/>
          <w:sz w:val="20"/>
        </w:rPr>
      </w:pPr>
    </w:p>
    <w:p w:rsidR="00236E18" w:rsidRPr="00374E14" w:rsidRDefault="00236E18" w:rsidP="00236E18">
      <w:pPr>
        <w:keepNext/>
        <w:keepLines/>
        <w:ind w:left="-425"/>
        <w:jc w:val="center"/>
        <w:rPr>
          <w:i/>
          <w:sz w:val="18"/>
          <w:szCs w:val="18"/>
        </w:rPr>
      </w:pPr>
      <w:r w:rsidRPr="002976EE">
        <w:rPr>
          <w:noProof/>
          <w:lang w:val="en-US" w:eastAsia="en-US"/>
        </w:rPr>
        <w:drawing>
          <wp:inline distT="0" distB="0" distL="0" distR="0" wp14:anchorId="50E143D3" wp14:editId="6CF3DCAD">
            <wp:extent cx="5857336" cy="4232520"/>
            <wp:effectExtent l="0" t="0" r="0" b="0"/>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78759" cy="4248000"/>
                    </a:xfrm>
                    <a:prstGeom prst="rect">
                      <a:avLst/>
                    </a:prstGeom>
                    <a:noFill/>
                    <a:ln>
                      <a:noFill/>
                    </a:ln>
                  </pic:spPr>
                </pic:pic>
              </a:graphicData>
            </a:graphic>
          </wp:inline>
        </w:drawing>
      </w:r>
    </w:p>
    <w:p w:rsidR="00236E18" w:rsidRPr="00374E14" w:rsidRDefault="00236E18" w:rsidP="00236E18">
      <w:pPr>
        <w:jc w:val="center"/>
        <w:rPr>
          <w:sz w:val="20"/>
        </w:rPr>
      </w:pPr>
      <w:r w:rsidRPr="00374E14">
        <w:rPr>
          <w:noProof/>
          <w:lang w:val="en-US" w:eastAsia="en-US"/>
        </w:rPr>
        <w:drawing>
          <wp:inline distT="0" distB="0" distL="0" distR="0" wp14:anchorId="76DD498F" wp14:editId="225BDCC0">
            <wp:extent cx="648335" cy="1593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8335" cy="159385"/>
                    </a:xfrm>
                    <a:prstGeom prst="rect">
                      <a:avLst/>
                    </a:prstGeom>
                    <a:noFill/>
                    <a:ln>
                      <a:noFill/>
                    </a:ln>
                  </pic:spPr>
                </pic:pic>
              </a:graphicData>
            </a:graphic>
          </wp:inline>
        </w:drawing>
      </w:r>
    </w:p>
    <w:p w:rsidR="00236E18" w:rsidRPr="00374E14"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sidRPr="00374E14">
        <w:rPr>
          <w:rFonts w:ascii="Arial" w:hAnsi="Arial"/>
          <w:sz w:val="20"/>
          <w:lang w:val="es-ES"/>
        </w:rPr>
        <w:t>La metodología aplicada para calcular la cuota asignada a actividades para el desarrollo en el presupuesto para</w:t>
      </w:r>
      <w:r w:rsidRPr="00374E14">
        <w:rPr>
          <w:rFonts w:ascii="Arial" w:hAnsi="Arial" w:cs="Arial"/>
          <w:sz w:val="20"/>
          <w:lang w:val="es-ES"/>
        </w:rPr>
        <w:t xml:space="preserve"> 2016/17 coincide enteramen</w:t>
      </w:r>
      <w:r>
        <w:rPr>
          <w:rFonts w:ascii="Arial" w:hAnsi="Arial" w:cs="Arial"/>
          <w:sz w:val="20"/>
          <w:lang w:val="es-ES"/>
        </w:rPr>
        <w:t>te con la adoptada en 2014/15.</w:t>
      </w:r>
    </w:p>
    <w:p w:rsidR="00236E18" w:rsidRPr="00374E14" w:rsidRDefault="00236E18" w:rsidP="00236E18">
      <w:pPr>
        <w:widowControl w:val="0"/>
        <w:jc w:val="both"/>
        <w:rPr>
          <w:sz w:val="20"/>
        </w:rPr>
      </w:pPr>
    </w:p>
    <w:p w:rsidR="00236E18" w:rsidRPr="00374E14" w:rsidRDefault="00236E18" w:rsidP="00236E18">
      <w:pPr>
        <w:pStyle w:val="ListParagraph"/>
        <w:widowControl w:val="0"/>
        <w:numPr>
          <w:ilvl w:val="0"/>
          <w:numId w:val="5"/>
        </w:numPr>
        <w:tabs>
          <w:tab w:val="left" w:pos="567"/>
        </w:tabs>
        <w:ind w:left="0" w:firstLine="0"/>
        <w:jc w:val="both"/>
        <w:rPr>
          <w:rFonts w:ascii="Arial" w:hAnsi="Arial" w:cs="Arial"/>
          <w:sz w:val="20"/>
          <w:lang w:val="es-ES"/>
        </w:rPr>
      </w:pPr>
      <w:r w:rsidRPr="00374E14">
        <w:rPr>
          <w:rFonts w:ascii="Arial" w:hAnsi="Arial" w:cs="Arial"/>
          <w:sz w:val="20"/>
          <w:lang w:val="es-ES"/>
        </w:rPr>
        <w:t>Se han asignado 2,5 millones de francos suizos en el presupuesto de 2016/17 específicamente para la ejecución de los proyectos de la Agenda para el Desarrollo, a res</w:t>
      </w:r>
      <w:r>
        <w:rPr>
          <w:rFonts w:ascii="Arial" w:hAnsi="Arial" w:cs="Arial"/>
          <w:sz w:val="20"/>
          <w:lang w:val="es-ES"/>
        </w:rPr>
        <w:t>erva de la aprobación del CDIP.</w:t>
      </w:r>
    </w:p>
    <w:p w:rsidR="00236E18" w:rsidRPr="00374E14" w:rsidRDefault="00236E18" w:rsidP="00236E18">
      <w:pPr>
        <w:widowControl w:val="0"/>
        <w:jc w:val="both"/>
        <w:rPr>
          <w:sz w:val="20"/>
        </w:rPr>
      </w:pPr>
    </w:p>
    <w:p w:rsidR="00236E18" w:rsidRPr="00374E14" w:rsidRDefault="00236E18" w:rsidP="00236E18">
      <w:pPr>
        <w:widowControl w:val="0"/>
        <w:jc w:val="both"/>
        <w:rPr>
          <w:sz w:val="20"/>
        </w:rPr>
      </w:pPr>
    </w:p>
    <w:p w:rsidR="00236E18" w:rsidRPr="00374E14" w:rsidRDefault="00236E18" w:rsidP="00236E18">
      <w:pPr>
        <w:keepNext/>
        <w:keepLines/>
        <w:jc w:val="center"/>
        <w:rPr>
          <w:b/>
          <w:sz w:val="20"/>
        </w:rPr>
      </w:pPr>
      <w:r w:rsidRPr="00374E14">
        <w:rPr>
          <w:b/>
          <w:sz w:val="20"/>
        </w:rPr>
        <w:lastRenderedPageBreak/>
        <w:t>Cuadro 7.  Proyectos de la Agenda para el Desarrollo en 2016/17</w:t>
      </w:r>
    </w:p>
    <w:p w:rsidR="00236E18" w:rsidRPr="00374E14" w:rsidRDefault="00236E18" w:rsidP="00236E18">
      <w:pPr>
        <w:keepNext/>
        <w:keepLines/>
        <w:jc w:val="center"/>
        <w:rPr>
          <w:i/>
          <w:sz w:val="20"/>
        </w:rPr>
      </w:pPr>
      <w:r w:rsidRPr="00374E14">
        <w:rPr>
          <w:i/>
          <w:sz w:val="20"/>
        </w:rPr>
        <w:t>(</w:t>
      </w:r>
      <w:proofErr w:type="gramStart"/>
      <w:r w:rsidRPr="00374E14">
        <w:rPr>
          <w:i/>
          <w:sz w:val="20"/>
        </w:rPr>
        <w:t>en</w:t>
      </w:r>
      <w:proofErr w:type="gramEnd"/>
      <w:r w:rsidRPr="00374E14">
        <w:rPr>
          <w:i/>
          <w:sz w:val="20"/>
        </w:rPr>
        <w:t xml:space="preserve"> miles de francos suizos)</w:t>
      </w:r>
    </w:p>
    <w:p w:rsidR="00236E18" w:rsidRPr="00374E14" w:rsidRDefault="00236E18" w:rsidP="00236E18">
      <w:pPr>
        <w:keepNext/>
        <w:keepLines/>
        <w:jc w:val="center"/>
        <w:rPr>
          <w:i/>
          <w:sz w:val="20"/>
        </w:rPr>
      </w:pPr>
    </w:p>
    <w:p w:rsidR="00236E18" w:rsidRPr="00374E14" w:rsidRDefault="00236E18" w:rsidP="00236E18">
      <w:pPr>
        <w:keepNext/>
        <w:keepLines/>
        <w:jc w:val="center"/>
        <w:rPr>
          <w:sz w:val="20"/>
        </w:rPr>
      </w:pPr>
      <w:r>
        <w:rPr>
          <w:noProof/>
          <w:lang w:val="en-US" w:eastAsia="en-US"/>
        </w:rPr>
        <w:drawing>
          <wp:inline distT="0" distB="0" distL="0" distR="0" wp14:anchorId="33571613" wp14:editId="2EF692FF">
            <wp:extent cx="5940425" cy="2965770"/>
            <wp:effectExtent l="0" t="0" r="3175" b="635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2965770"/>
                    </a:xfrm>
                    <a:prstGeom prst="rect">
                      <a:avLst/>
                    </a:prstGeom>
                    <a:noFill/>
                    <a:ln>
                      <a:noFill/>
                    </a:ln>
                  </pic:spPr>
                </pic:pic>
              </a:graphicData>
            </a:graphic>
          </wp:inline>
        </w:drawing>
      </w:r>
    </w:p>
    <w:p w:rsidR="00236E18" w:rsidRPr="00374E14" w:rsidRDefault="00236E18" w:rsidP="00236E18">
      <w:pPr>
        <w:keepNext/>
        <w:keepLines/>
        <w:jc w:val="center"/>
        <w:rPr>
          <w:sz w:val="18"/>
          <w:szCs w:val="18"/>
        </w:rPr>
      </w:pPr>
    </w:p>
    <w:p w:rsidR="00236E18" w:rsidRPr="00374E14" w:rsidRDefault="00236E18" w:rsidP="00236E18">
      <w:pPr>
        <w:widowControl w:val="0"/>
        <w:jc w:val="both"/>
        <w:rPr>
          <w:i/>
          <w:sz w:val="16"/>
          <w:szCs w:val="14"/>
        </w:rPr>
      </w:pPr>
      <w:r w:rsidRPr="00374E14">
        <w:rPr>
          <w:i/>
          <w:sz w:val="16"/>
          <w:szCs w:val="14"/>
        </w:rPr>
        <w:t>*Pendiente de aprobación por el CDIP.  El costo estimado total del proyecto es de 540.000 francos suizos.  Plazo de ejecución</w:t>
      </w:r>
      <w:proofErr w:type="gramStart"/>
      <w:r w:rsidRPr="00374E14">
        <w:rPr>
          <w:i/>
          <w:sz w:val="16"/>
          <w:szCs w:val="14"/>
        </w:rPr>
        <w:t xml:space="preserve">: </w:t>
      </w:r>
      <w:r>
        <w:rPr>
          <w:i/>
          <w:sz w:val="16"/>
          <w:szCs w:val="14"/>
        </w:rPr>
        <w:t xml:space="preserve"> </w:t>
      </w:r>
      <w:r w:rsidRPr="00374E14">
        <w:rPr>
          <w:i/>
          <w:sz w:val="16"/>
          <w:szCs w:val="14"/>
        </w:rPr>
        <w:t>2016</w:t>
      </w:r>
      <w:proofErr w:type="gramEnd"/>
      <w:r w:rsidRPr="00374E14">
        <w:rPr>
          <w:i/>
          <w:sz w:val="16"/>
          <w:szCs w:val="14"/>
        </w:rPr>
        <w:t xml:space="preserve">-2018. </w:t>
      </w:r>
    </w:p>
    <w:p w:rsidR="00236E18" w:rsidRPr="00374E14" w:rsidRDefault="00236E18" w:rsidP="00236E18">
      <w:pPr>
        <w:widowControl w:val="0"/>
        <w:jc w:val="both"/>
        <w:rPr>
          <w:i/>
          <w:sz w:val="16"/>
          <w:szCs w:val="14"/>
        </w:rPr>
      </w:pPr>
      <w:r w:rsidRPr="00374E14">
        <w:rPr>
          <w:i/>
          <w:sz w:val="16"/>
          <w:szCs w:val="14"/>
        </w:rPr>
        <w:t>** Pendiente de aprobación por el CDIP.  El costo estimado total del proyecto es de 800.000 francos suizos.  Plazo de ejecución</w:t>
      </w:r>
      <w:proofErr w:type="gramStart"/>
      <w:r w:rsidRPr="00374E14">
        <w:rPr>
          <w:i/>
          <w:sz w:val="16"/>
          <w:szCs w:val="14"/>
        </w:rPr>
        <w:t xml:space="preserve">: </w:t>
      </w:r>
      <w:r>
        <w:rPr>
          <w:i/>
          <w:sz w:val="16"/>
          <w:szCs w:val="14"/>
        </w:rPr>
        <w:t xml:space="preserve"> </w:t>
      </w:r>
      <w:r w:rsidRPr="00374E14">
        <w:rPr>
          <w:i/>
          <w:sz w:val="16"/>
          <w:szCs w:val="14"/>
        </w:rPr>
        <w:t>2016</w:t>
      </w:r>
      <w:proofErr w:type="gramEnd"/>
      <w:r w:rsidRPr="00374E14">
        <w:rPr>
          <w:i/>
          <w:sz w:val="16"/>
          <w:szCs w:val="14"/>
        </w:rPr>
        <w:t>-2018.</w:t>
      </w:r>
    </w:p>
    <w:p w:rsidR="00236E18" w:rsidRPr="00374E14" w:rsidRDefault="00236E18" w:rsidP="00236E18">
      <w:pPr>
        <w:widowControl w:val="0"/>
        <w:jc w:val="both"/>
        <w:rPr>
          <w:i/>
          <w:sz w:val="16"/>
          <w:szCs w:val="14"/>
        </w:rPr>
      </w:pPr>
      <w:r w:rsidRPr="00374E14">
        <w:rPr>
          <w:i/>
          <w:sz w:val="16"/>
          <w:szCs w:val="14"/>
        </w:rPr>
        <w:t>*** Pendiente de aprobación por el CDIP.</w:t>
      </w:r>
    </w:p>
    <w:p w:rsidR="00236E18" w:rsidRPr="00C6366D" w:rsidRDefault="00236E18" w:rsidP="00236E18">
      <w:pPr>
        <w:rPr>
          <w:sz w:val="16"/>
          <w:szCs w:val="16"/>
          <w:highlight w:val="lightGray"/>
          <w:lang w:val="es-ES_tradnl"/>
        </w:rPr>
      </w:pPr>
      <w:r w:rsidRPr="00A110D2">
        <w:rPr>
          <w:sz w:val="16"/>
          <w:szCs w:val="16"/>
          <w:highlight w:val="lightGray"/>
        </w:rPr>
        <w:t xml:space="preserve"> </w:t>
      </w:r>
      <w:r w:rsidRPr="00C6366D">
        <w:rPr>
          <w:sz w:val="16"/>
          <w:szCs w:val="16"/>
          <w:highlight w:val="lightGray"/>
          <w:lang w:val="es-ES_tradnl"/>
        </w:rPr>
        <w:br w:type="page"/>
      </w:r>
    </w:p>
    <w:p w:rsidR="00236E18" w:rsidRPr="005E2929" w:rsidRDefault="00236E18" w:rsidP="00236E18">
      <w:pPr>
        <w:pStyle w:val="Heading1"/>
        <w:keepNext w:val="0"/>
        <w:tabs>
          <w:tab w:val="left" w:pos="567"/>
        </w:tabs>
        <w:spacing w:before="120"/>
        <w:ind w:left="567" w:hanging="567"/>
        <w:rPr>
          <w:b w:val="0"/>
          <w:sz w:val="24"/>
          <w:szCs w:val="24"/>
          <w:lang w:val="es-ES_tradnl"/>
        </w:rPr>
      </w:pPr>
      <w:bookmarkStart w:id="28" w:name="_Toc367350570"/>
      <w:bookmarkStart w:id="29" w:name="_Toc419283239"/>
    </w:p>
    <w:p w:rsidR="00236E18" w:rsidRPr="005E2929" w:rsidRDefault="00236E18" w:rsidP="00236E18">
      <w:pPr>
        <w:pStyle w:val="Heading1"/>
        <w:keepNext w:val="0"/>
        <w:tabs>
          <w:tab w:val="left" w:pos="567"/>
        </w:tabs>
        <w:spacing w:before="120"/>
        <w:ind w:left="567" w:hanging="567"/>
        <w:rPr>
          <w:szCs w:val="22"/>
          <w:lang w:val="es-ES_tradnl"/>
        </w:rPr>
      </w:pPr>
      <w:bookmarkStart w:id="30" w:name="_Toc431573537"/>
      <w:bookmarkStart w:id="31" w:name="_Toc431573938"/>
      <w:r w:rsidRPr="005E2929">
        <w:rPr>
          <w:szCs w:val="22"/>
          <w:lang w:val="es-ES_tradnl"/>
        </w:rPr>
        <w:t>II.</w:t>
      </w:r>
      <w:r w:rsidRPr="005E2929">
        <w:rPr>
          <w:szCs w:val="22"/>
          <w:lang w:val="es-ES_tradnl"/>
        </w:rPr>
        <w:tab/>
      </w:r>
      <w:bookmarkEnd w:id="28"/>
      <w:bookmarkEnd w:id="29"/>
      <w:r w:rsidRPr="005E2929">
        <w:rPr>
          <w:szCs w:val="22"/>
        </w:rPr>
        <w:t>DESCRIPCIÓN DE LOS PROGRAMAS, POR META ESTRATÉGICA</w:t>
      </w:r>
      <w:bookmarkEnd w:id="30"/>
      <w:bookmarkEnd w:id="31"/>
    </w:p>
    <w:p w:rsidR="00236E18" w:rsidRDefault="00236E18" w:rsidP="00236E18">
      <w:pPr>
        <w:rPr>
          <w:lang w:val="es-ES_tradnl"/>
        </w:rPr>
      </w:pPr>
    </w:p>
    <w:p w:rsidR="00236E18" w:rsidRPr="00372D5D" w:rsidRDefault="00236E18" w:rsidP="00236E18">
      <w:pPr>
        <w:rPr>
          <w:lang w:val="es-ES_tradnl"/>
        </w:rPr>
      </w:pPr>
    </w:p>
    <w:p w:rsidR="00236E18" w:rsidRPr="006C3FFE" w:rsidRDefault="00236E18" w:rsidP="00236E18">
      <w:pPr>
        <w:pStyle w:val="StyleHeading3ComplexItalic"/>
        <w:tabs>
          <w:tab w:val="clear" w:pos="1985"/>
          <w:tab w:val="left" w:pos="3119"/>
        </w:tabs>
        <w:ind w:left="3119" w:hanging="3119"/>
        <w:rPr>
          <w:rStyle w:val="StyleStyleHeading3ComplexItalicLatin12ptChar"/>
          <w:rFonts w:eastAsia="SimSun"/>
          <w:b/>
          <w:lang w:val="es-ES_tradnl"/>
        </w:rPr>
      </w:pPr>
      <w:bookmarkStart w:id="32" w:name="_Toc367350571"/>
      <w:bookmarkStart w:id="33" w:name="_Toc419283240"/>
      <w:bookmarkStart w:id="34" w:name="_Toc431573538"/>
      <w:bookmarkStart w:id="35" w:name="_Toc431573939"/>
      <w:r w:rsidRPr="006C3FFE">
        <w:rPr>
          <w:rStyle w:val="StyleStyleHeading3ComplexItalicLatin12ptChar"/>
          <w:rFonts w:eastAsia="SimSun"/>
          <w:b/>
          <w:lang w:val="es-ES_tradnl"/>
        </w:rPr>
        <w:t>META ESTRATÉGICA I</w:t>
      </w:r>
      <w:r w:rsidRPr="006C3FFE">
        <w:rPr>
          <w:rStyle w:val="StyleStyleHeading3ComplexItalicLatin12ptChar"/>
          <w:rFonts w:eastAsia="SimSun"/>
          <w:b/>
          <w:lang w:val="es-ES_tradnl"/>
        </w:rPr>
        <w:tab/>
      </w:r>
      <w:bookmarkEnd w:id="32"/>
      <w:bookmarkEnd w:id="33"/>
      <w:r w:rsidRPr="006C3FFE">
        <w:rPr>
          <w:rStyle w:val="StyleStyleHeading3ComplexItalicLatin12ptChar"/>
          <w:rFonts w:eastAsia="SimSun"/>
          <w:b/>
          <w:lang w:val="es-ES_tradnl"/>
        </w:rPr>
        <w:t>EVOLUCIÓN EQUILIBRADA DEL MARCO NORMATIVO INTERNACIONAL DE P.I.</w:t>
      </w:r>
      <w:bookmarkEnd w:id="34"/>
      <w:bookmarkEnd w:id="35"/>
    </w:p>
    <w:p w:rsidR="00236E18" w:rsidRPr="00372D5D" w:rsidRDefault="00236E18" w:rsidP="00236E18">
      <w:pPr>
        <w:autoSpaceDE w:val="0"/>
        <w:autoSpaceDN w:val="0"/>
        <w:adjustRightInd w:val="0"/>
        <w:jc w:val="both"/>
        <w:rPr>
          <w:sz w:val="20"/>
          <w:lang w:val="es-ES_tradnl"/>
        </w:rPr>
      </w:pPr>
    </w:p>
    <w:p w:rsidR="00236E18" w:rsidRPr="00372D5D" w:rsidRDefault="00236E18" w:rsidP="00236E18">
      <w:pPr>
        <w:autoSpaceDE w:val="0"/>
        <w:autoSpaceDN w:val="0"/>
        <w:adjustRightInd w:val="0"/>
        <w:jc w:val="both"/>
        <w:rPr>
          <w:sz w:val="20"/>
          <w:lang w:val="es-ES_tradnl"/>
        </w:rPr>
      </w:pPr>
    </w:p>
    <w:p w:rsidR="00236E18" w:rsidRPr="00372D5D" w:rsidRDefault="00236E18" w:rsidP="00236E18">
      <w:pPr>
        <w:jc w:val="both"/>
        <w:rPr>
          <w:lang w:val="es-ES_tradnl"/>
        </w:rPr>
      </w:pPr>
      <w:r w:rsidRPr="00372D5D">
        <w:rPr>
          <w:sz w:val="20"/>
          <w:lang w:val="es-ES_tradnl"/>
        </w:rPr>
        <w:t>Esta meta estratégica tiene por finalidad velar por que la normativa internacional de P.I. se mantenga a la par del entorno tecnológico, geoeconómico, social y cultural, que evoluciona rápidamente, sin dejar de tener en cuenta la aplicación de las recomendaciones de la Agenda para el Desarrollo relacionadas con las actividades normativas.  Una evolución equilibrada a este respecto es fundamental para que el sistema de P.I. siga respondiendo a su finalidad primordial de fomentar la innovación y la creatividad;  que en él se tengan en cuenta las necesidades y los intereses de todos los países, sea cual sea su grado de desarrollo, incluso las flexibilidades previstas en los acuerdos internacionales en materia de P.I.;  y que en él se llegue a un justo equilibrio entre i) los derechos de los creadores y titulares de activos de P.I. y los derechos de los usuarios y el público;  y ii) el fomento de la innovación y la creatividad y la difusión de los beneficios sociales de las obras que son producto de la innovación y la creatividad</w:t>
      </w:r>
      <w:r>
        <w:rPr>
          <w:sz w:val="20"/>
          <w:lang w:val="es-ES_tradnl"/>
        </w:rPr>
        <w:t>.</w:t>
      </w:r>
    </w:p>
    <w:p w:rsidR="00236E18" w:rsidRPr="00372D5D" w:rsidRDefault="00236E18" w:rsidP="00236E18">
      <w:pPr>
        <w:rPr>
          <w:lang w:val="es-ES_tradn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88"/>
        <w:gridCol w:w="3003"/>
        <w:gridCol w:w="3002"/>
      </w:tblGrid>
      <w:tr w:rsidR="00236E18" w:rsidRPr="00372D5D" w:rsidTr="00294272">
        <w:trPr>
          <w:cantSplit/>
          <w:tblHeader/>
        </w:trPr>
        <w:tc>
          <w:tcPr>
            <w:tcW w:w="1769" w:type="pct"/>
            <w:tcBorders>
              <w:top w:val="single" w:sz="4" w:space="0" w:color="auto"/>
              <w:bottom w:val="single" w:sz="4" w:space="0" w:color="auto"/>
            </w:tcBorders>
            <w:shd w:val="clear" w:color="auto" w:fill="C6D9F1" w:themeFill="text2" w:themeFillTint="33"/>
            <w:tcMar>
              <w:top w:w="113" w:type="dxa"/>
              <w:bottom w:w="113" w:type="dxa"/>
            </w:tcMar>
            <w:vAlign w:val="center"/>
          </w:tcPr>
          <w:p w:rsidR="00236E18" w:rsidRPr="00372D5D" w:rsidRDefault="00236E18" w:rsidP="00294272">
            <w:pPr>
              <w:spacing w:after="120"/>
              <w:jc w:val="center"/>
              <w:rPr>
                <w:b/>
                <w:bCs/>
                <w:sz w:val="18"/>
                <w:szCs w:val="18"/>
              </w:rPr>
            </w:pPr>
            <w:r w:rsidRPr="00372D5D">
              <w:rPr>
                <w:b/>
                <w:bCs/>
                <w:sz w:val="18"/>
                <w:szCs w:val="18"/>
              </w:rPr>
              <w:t>Resultados previstos</w:t>
            </w:r>
          </w:p>
        </w:tc>
        <w:tc>
          <w:tcPr>
            <w:tcW w:w="1616" w:type="pct"/>
            <w:tcBorders>
              <w:top w:val="single" w:sz="4" w:space="0" w:color="auto"/>
              <w:bottom w:val="single" w:sz="4" w:space="0" w:color="auto"/>
            </w:tcBorders>
            <w:shd w:val="clear" w:color="auto" w:fill="C6D9F1" w:themeFill="text2" w:themeFillTint="33"/>
            <w:tcMar>
              <w:top w:w="113" w:type="dxa"/>
              <w:bottom w:w="113" w:type="dxa"/>
            </w:tcMar>
            <w:vAlign w:val="center"/>
          </w:tcPr>
          <w:p w:rsidR="00236E18" w:rsidRPr="00372D5D" w:rsidRDefault="00236E18" w:rsidP="00294272">
            <w:pPr>
              <w:spacing w:after="120"/>
              <w:jc w:val="center"/>
              <w:rPr>
                <w:b/>
                <w:sz w:val="18"/>
                <w:szCs w:val="18"/>
              </w:rPr>
            </w:pPr>
            <w:r w:rsidRPr="00372D5D">
              <w:rPr>
                <w:b/>
                <w:sz w:val="18"/>
                <w:szCs w:val="18"/>
              </w:rPr>
              <w:t>Indicadores de rendimiento</w:t>
            </w:r>
          </w:p>
        </w:tc>
        <w:tc>
          <w:tcPr>
            <w:tcW w:w="1615" w:type="pct"/>
            <w:tcBorders>
              <w:top w:val="single" w:sz="4" w:space="0" w:color="auto"/>
              <w:bottom w:val="single" w:sz="4" w:space="0" w:color="auto"/>
            </w:tcBorders>
            <w:shd w:val="clear" w:color="auto" w:fill="C6D9F1" w:themeFill="text2" w:themeFillTint="33"/>
            <w:tcMar>
              <w:top w:w="113" w:type="dxa"/>
              <w:bottom w:w="113" w:type="dxa"/>
            </w:tcMar>
            <w:vAlign w:val="center"/>
          </w:tcPr>
          <w:p w:rsidR="00236E18" w:rsidRPr="00372D5D" w:rsidRDefault="00236E18" w:rsidP="00294272">
            <w:pPr>
              <w:spacing w:after="120"/>
              <w:ind w:left="85"/>
              <w:jc w:val="center"/>
              <w:rPr>
                <w:sz w:val="18"/>
                <w:szCs w:val="18"/>
              </w:rPr>
            </w:pPr>
            <w:r w:rsidRPr="00372D5D">
              <w:rPr>
                <w:b/>
                <w:sz w:val="18"/>
                <w:szCs w:val="18"/>
              </w:rPr>
              <w:t>Programas responsables</w:t>
            </w:r>
          </w:p>
        </w:tc>
      </w:tr>
      <w:tr w:rsidR="00236E18" w:rsidRPr="00372D5D" w:rsidTr="00294272">
        <w:trPr>
          <w:cantSplit/>
          <w:trHeight w:val="475"/>
        </w:trPr>
        <w:tc>
          <w:tcPr>
            <w:tcW w:w="1769" w:type="pct"/>
            <w:tcBorders>
              <w:top w:val="single" w:sz="4" w:space="0" w:color="auto"/>
            </w:tcBorders>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lang w:val="es-ES_tradnl"/>
              </w:rPr>
              <w:t xml:space="preserve">I.1  </w:t>
            </w:r>
            <w:r w:rsidRPr="00932EC2">
              <w:rPr>
                <w:sz w:val="16"/>
                <w:szCs w:val="16"/>
                <w:lang w:val="es-ES_tradnl"/>
              </w:rPr>
              <w:t>Mayor cooperación entre los Estados miembros en la elaboración de marcos normativos internacionales de P.I. equilibrados</w:t>
            </w:r>
          </w:p>
        </w:tc>
        <w:tc>
          <w:tcPr>
            <w:tcW w:w="1616" w:type="pct"/>
            <w:tcBorders>
              <w:top w:val="single" w:sz="4" w:space="0" w:color="auto"/>
            </w:tcBorders>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Avances en la ejecución de la labor acordada con arreglo al programa del SCP</w:t>
            </w:r>
          </w:p>
        </w:tc>
        <w:tc>
          <w:tcPr>
            <w:tcW w:w="1615" w:type="pct"/>
            <w:tcBorders>
              <w:top w:val="single" w:sz="4" w:space="0" w:color="auto"/>
            </w:tcBorders>
            <w:shd w:val="clear" w:color="auto" w:fill="FFFFFF"/>
            <w:tcMar>
              <w:top w:w="113" w:type="dxa"/>
              <w:bottom w:w="113" w:type="dxa"/>
            </w:tcMar>
          </w:tcPr>
          <w:p w:rsidR="00236E18" w:rsidRPr="00372D5D" w:rsidRDefault="00236E18" w:rsidP="00294272">
            <w:pPr>
              <w:ind w:left="591"/>
              <w:rPr>
                <w:sz w:val="16"/>
                <w:szCs w:val="16"/>
              </w:rPr>
            </w:pPr>
            <w:r w:rsidRPr="00372D5D">
              <w:rPr>
                <w:sz w:val="16"/>
                <w:szCs w:val="16"/>
                <w:lang w:bidi="th-TH"/>
              </w:rPr>
              <w:t>Programa 1</w:t>
            </w:r>
          </w:p>
        </w:tc>
      </w:tr>
      <w:tr w:rsidR="00236E18" w:rsidRPr="00372D5D" w:rsidTr="00294272">
        <w:trPr>
          <w:cantSplit/>
          <w:trHeight w:val="600"/>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rFonts w:eastAsia="Times New Roman"/>
                <w:sz w:val="16"/>
                <w:szCs w:val="16"/>
                <w:lang w:eastAsia="en-US"/>
              </w:rPr>
              <w:t>Nivel de satisfacción de los participantes en talleres/seminarios específicos organizados sobre cuestiones específicas relacionadas con las patentes</w:t>
            </w:r>
          </w:p>
        </w:tc>
        <w:tc>
          <w:tcPr>
            <w:tcW w:w="1615" w:type="pct"/>
            <w:shd w:val="clear" w:color="auto" w:fill="FFFFFF"/>
            <w:tcMar>
              <w:top w:w="113" w:type="dxa"/>
              <w:bottom w:w="113" w:type="dxa"/>
            </w:tcMar>
          </w:tcPr>
          <w:p w:rsidR="00236E18" w:rsidRPr="00372D5D" w:rsidRDefault="00236E18" w:rsidP="00294272">
            <w:pPr>
              <w:ind w:left="591"/>
              <w:rPr>
                <w:sz w:val="16"/>
                <w:szCs w:val="16"/>
              </w:rPr>
            </w:pPr>
            <w:r w:rsidRPr="00372D5D">
              <w:rPr>
                <w:sz w:val="16"/>
                <w:szCs w:val="16"/>
              </w:rPr>
              <w:t>Programa 1</w:t>
            </w:r>
          </w:p>
        </w:tc>
      </w:tr>
      <w:tr w:rsidR="00236E18" w:rsidRPr="00372D5D" w:rsidTr="00294272">
        <w:trPr>
          <w:cantSplit/>
          <w:trHeight w:val="600"/>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rFonts w:eastAsia="Times New Roman"/>
                <w:sz w:val="16"/>
                <w:szCs w:val="16"/>
                <w:lang w:eastAsia="en-US"/>
              </w:rPr>
              <w:t>Nivel de satisfacción de los participantes en el Programa de Asistencia a Inventores (PAI)</w:t>
            </w:r>
          </w:p>
        </w:tc>
        <w:tc>
          <w:tcPr>
            <w:tcW w:w="1615" w:type="pct"/>
            <w:shd w:val="clear" w:color="auto" w:fill="FFFFFF"/>
            <w:tcMar>
              <w:top w:w="113" w:type="dxa"/>
              <w:bottom w:w="113" w:type="dxa"/>
            </w:tcMar>
          </w:tcPr>
          <w:p w:rsidR="00236E18" w:rsidRPr="00372D5D" w:rsidRDefault="00236E18" w:rsidP="00294272">
            <w:pPr>
              <w:ind w:left="591"/>
              <w:rPr>
                <w:sz w:val="16"/>
                <w:szCs w:val="16"/>
              </w:rPr>
            </w:pPr>
            <w:r w:rsidRPr="00372D5D">
              <w:rPr>
                <w:sz w:val="16"/>
                <w:szCs w:val="16"/>
              </w:rPr>
              <w:t>Programa 1</w:t>
            </w:r>
          </w:p>
        </w:tc>
      </w:tr>
      <w:tr w:rsidR="00236E18" w:rsidRPr="00372D5D" w:rsidTr="00294272">
        <w:trPr>
          <w:cantSplit/>
          <w:trHeight w:val="578"/>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bidi="th-TH"/>
              </w:rPr>
            </w:pPr>
            <w:r w:rsidRPr="00372D5D">
              <w:rPr>
                <w:sz w:val="16"/>
                <w:szCs w:val="16"/>
                <w:lang w:bidi="th-TH"/>
              </w:rPr>
              <w:t>Progresos en pos de un acuerdo relativo a las cuestiones que están en el orden del día del SCT.</w:t>
            </w:r>
          </w:p>
          <w:p w:rsidR="00236E18" w:rsidRPr="00372D5D" w:rsidRDefault="00236E18" w:rsidP="00294272">
            <w:pPr>
              <w:rPr>
                <w:i/>
                <w:sz w:val="16"/>
                <w:szCs w:val="16"/>
                <w:lang w:val="es-ES_tradnl"/>
              </w:rPr>
            </w:pPr>
          </w:p>
        </w:tc>
        <w:tc>
          <w:tcPr>
            <w:tcW w:w="1615" w:type="pct"/>
            <w:shd w:val="clear" w:color="auto" w:fill="FFFFFF"/>
            <w:tcMar>
              <w:top w:w="113" w:type="dxa"/>
              <w:bottom w:w="113" w:type="dxa"/>
            </w:tcMar>
          </w:tcPr>
          <w:p w:rsidR="00236E18" w:rsidRPr="00372D5D" w:rsidRDefault="00236E18" w:rsidP="00294272">
            <w:pPr>
              <w:ind w:left="591"/>
              <w:rPr>
                <w:sz w:val="16"/>
                <w:szCs w:val="16"/>
              </w:rPr>
            </w:pPr>
            <w:r w:rsidRPr="00372D5D">
              <w:rPr>
                <w:sz w:val="16"/>
                <w:szCs w:val="16"/>
                <w:lang w:bidi="th-TH"/>
              </w:rPr>
              <w:t>Programa 2</w:t>
            </w:r>
          </w:p>
        </w:tc>
      </w:tr>
      <w:tr w:rsidR="00236E18" w:rsidRPr="00372D5D" w:rsidTr="00294272">
        <w:trPr>
          <w:cantSplit/>
          <w:trHeight w:val="494"/>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Avance en la realización del trabajo acordado con arreglo al orden del día del SCCR</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Programa 3</w:t>
            </w:r>
          </w:p>
        </w:tc>
      </w:tr>
      <w:tr w:rsidR="00236E18" w:rsidRPr="00372D5D" w:rsidTr="00294272">
        <w:trPr>
          <w:cantSplit/>
          <w:trHeight w:val="671"/>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Progresos en la aplicación de las actividades normativas sobre P.I. y RR.GG., CC.TT. y ECT, según lo acordado por los Estados miembros.</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Programa 4</w:t>
            </w:r>
          </w:p>
        </w:tc>
      </w:tr>
      <w:tr w:rsidR="00236E18" w:rsidRPr="00372D5D" w:rsidTr="00294272">
        <w:trPr>
          <w:cantSplit/>
          <w:trHeight w:val="487"/>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Número de ratificaciones/adhesiones al Tratado de Singapur</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Programa 2</w:t>
            </w:r>
          </w:p>
          <w:p w:rsidR="00236E18" w:rsidRPr="00372D5D" w:rsidRDefault="00236E18" w:rsidP="00294272">
            <w:pPr>
              <w:ind w:left="591"/>
              <w:rPr>
                <w:sz w:val="16"/>
                <w:szCs w:val="16"/>
                <w:lang w:bidi="th-TH"/>
              </w:rPr>
            </w:pPr>
            <w:r w:rsidRPr="00372D5D">
              <w:rPr>
                <w:sz w:val="16"/>
                <w:szCs w:val="16"/>
                <w:lang w:bidi="th-TH"/>
              </w:rPr>
              <w:t>Programa 20</w:t>
            </w:r>
          </w:p>
        </w:tc>
      </w:tr>
      <w:tr w:rsidR="00236E18" w:rsidRPr="00372D5D" w:rsidTr="00294272">
        <w:trPr>
          <w:cantSplit/>
          <w:trHeight w:val="1300"/>
        </w:trPr>
        <w:tc>
          <w:tcPr>
            <w:tcW w:w="1769"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lang w:val="es-ES_tradnl"/>
              </w:rPr>
              <w:t xml:space="preserve">I.2  </w:t>
            </w:r>
            <w:r w:rsidRPr="00932EC2">
              <w:rPr>
                <w:sz w:val="16"/>
                <w:szCs w:val="16"/>
                <w:lang w:val="es-ES_tradnl"/>
              </w:rPr>
              <w:t>Marcos de P.I. adaptados y equilibrados en el ámbito legislativo, regulador y de política</w:t>
            </w: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Porcentaje de usuarios que consideran útil la información proporcionada en relación con los principios y prácticas jurídicos de los sistemas de patentes, modelos de utilidad y circuitos integrados, como, por ejemplo, las flexibilidades</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Programa 1</w:t>
            </w:r>
          </w:p>
        </w:tc>
      </w:tr>
      <w:tr w:rsidR="00236E18" w:rsidRPr="00372D5D" w:rsidTr="00294272">
        <w:trPr>
          <w:cantSplit/>
          <w:trHeight w:val="675"/>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Número y porcentaje de Estados miembros satisfechos con el asesoramiento legislativo y de política proporcionado</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Programa 1</w:t>
            </w:r>
          </w:p>
        </w:tc>
      </w:tr>
      <w:tr w:rsidR="00236E18" w:rsidRPr="00372D5D" w:rsidTr="00294272">
        <w:trPr>
          <w:cantSplit/>
          <w:trHeight w:val="1025"/>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Número y porcentaje de Estados miembros/organizaciones regionales que han presentado comentarios positivos sobre el asesoramiento legislativo proporcionado en la esfera de las marcas, los diseños industriales y las indicaciones geográficas</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Programa 2</w:t>
            </w:r>
          </w:p>
          <w:p w:rsidR="00236E18" w:rsidRPr="00372D5D" w:rsidRDefault="00236E18" w:rsidP="00294272">
            <w:pPr>
              <w:ind w:left="591"/>
              <w:rPr>
                <w:sz w:val="16"/>
                <w:szCs w:val="16"/>
                <w:lang w:bidi="th-TH"/>
              </w:rPr>
            </w:pPr>
          </w:p>
        </w:tc>
      </w:tr>
      <w:tr w:rsidR="00236E18" w:rsidRPr="00372D5D" w:rsidTr="00294272">
        <w:trPr>
          <w:cantSplit/>
          <w:trHeight w:val="403"/>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Número de países que han ratificado el Tratado de Beijing o se han adherido a él</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Programa 3</w:t>
            </w:r>
          </w:p>
          <w:p w:rsidR="00236E18" w:rsidRPr="00372D5D" w:rsidRDefault="00236E18" w:rsidP="00294272">
            <w:pPr>
              <w:ind w:left="591"/>
              <w:rPr>
                <w:sz w:val="16"/>
                <w:szCs w:val="16"/>
                <w:lang w:bidi="th-TH"/>
              </w:rPr>
            </w:pPr>
            <w:r w:rsidRPr="00372D5D">
              <w:rPr>
                <w:sz w:val="16"/>
                <w:szCs w:val="16"/>
                <w:lang w:bidi="th-TH"/>
              </w:rPr>
              <w:t xml:space="preserve">Programa 20 </w:t>
            </w:r>
          </w:p>
        </w:tc>
      </w:tr>
      <w:tr w:rsidR="00236E18" w:rsidRPr="00372D5D" w:rsidTr="00294272">
        <w:trPr>
          <w:cantSplit/>
          <w:trHeight w:val="506"/>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Número de países que han ratificado el Tratado de Marrakech o se han adherido a él</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Programa 3</w:t>
            </w:r>
          </w:p>
          <w:p w:rsidR="00236E18" w:rsidRPr="00372D5D" w:rsidRDefault="00236E18" w:rsidP="00294272">
            <w:pPr>
              <w:ind w:left="591"/>
              <w:rPr>
                <w:sz w:val="16"/>
                <w:szCs w:val="16"/>
                <w:lang w:bidi="th-TH"/>
              </w:rPr>
            </w:pPr>
            <w:r w:rsidRPr="00372D5D">
              <w:rPr>
                <w:sz w:val="16"/>
                <w:szCs w:val="16"/>
                <w:lang w:bidi="th-TH"/>
              </w:rPr>
              <w:t>Programa 20</w:t>
            </w:r>
          </w:p>
        </w:tc>
      </w:tr>
      <w:tr w:rsidR="00236E18" w:rsidRPr="00372D5D" w:rsidTr="00294272">
        <w:trPr>
          <w:cantSplit/>
          <w:trHeight w:val="346"/>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Número de ratificaciones o adhesiones a los tratados de derecho de autor en vigor, incluidos el Convenio de Berna, la Convención de Roma y los Tratados Internet</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Programa 3</w:t>
            </w:r>
          </w:p>
          <w:p w:rsidR="00236E18" w:rsidRPr="00372D5D" w:rsidRDefault="00236E18" w:rsidP="00294272">
            <w:pPr>
              <w:ind w:left="591"/>
              <w:rPr>
                <w:sz w:val="16"/>
                <w:szCs w:val="16"/>
                <w:lang w:bidi="th-TH"/>
              </w:rPr>
            </w:pPr>
            <w:r w:rsidRPr="00372D5D">
              <w:rPr>
                <w:sz w:val="16"/>
                <w:szCs w:val="16"/>
                <w:lang w:bidi="th-TH"/>
              </w:rPr>
              <w:t xml:space="preserve">Programa 20 </w:t>
            </w:r>
          </w:p>
        </w:tc>
      </w:tr>
      <w:tr w:rsidR="00236E18" w:rsidRPr="00372D5D" w:rsidTr="00294272">
        <w:trPr>
          <w:cantSplit/>
          <w:trHeight w:val="399"/>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Porcentaje de países que han formulado comentarios positivos sobre el asesoramiento de la OMPI en materia legislativa</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Programa 3</w:t>
            </w:r>
          </w:p>
          <w:p w:rsidR="00236E18" w:rsidRPr="00372D5D" w:rsidRDefault="00236E18" w:rsidP="00294272">
            <w:pPr>
              <w:ind w:left="591"/>
              <w:rPr>
                <w:sz w:val="16"/>
                <w:szCs w:val="16"/>
                <w:lang w:bidi="th-TH"/>
              </w:rPr>
            </w:pPr>
          </w:p>
        </w:tc>
      </w:tr>
      <w:tr w:rsidR="00236E18" w:rsidRPr="00372D5D" w:rsidTr="00294272">
        <w:trPr>
          <w:cantSplit/>
          <w:trHeight w:val="399"/>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Número y porcentaje de países que han formulado comentarios positivos sobre el asesoramiento legislativo y de política de la OMPI</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Programa 9</w:t>
            </w:r>
          </w:p>
        </w:tc>
      </w:tr>
      <w:tr w:rsidR="00236E18" w:rsidRPr="00372D5D" w:rsidTr="00294272">
        <w:trPr>
          <w:cantSplit/>
          <w:trHeight w:val="399"/>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Número de países con economías en transición con leyes nacionales actualizadas</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Programa 10</w:t>
            </w:r>
          </w:p>
        </w:tc>
      </w:tr>
      <w:tr w:rsidR="00236E18" w:rsidRPr="00372D5D" w:rsidTr="00294272">
        <w:trPr>
          <w:cantSplit/>
          <w:trHeight w:val="399"/>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Número de ratificaciones de los tratados administrados por la OMPI</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Programa 10</w:t>
            </w:r>
          </w:p>
        </w:tc>
      </w:tr>
      <w:tr w:rsidR="00236E18" w:rsidRPr="00372D5D" w:rsidTr="00294272">
        <w:trPr>
          <w:cantSplit/>
          <w:trHeight w:val="744"/>
        </w:trPr>
        <w:tc>
          <w:tcPr>
            <w:tcW w:w="1769" w:type="pct"/>
            <w:shd w:val="clear" w:color="auto" w:fill="auto"/>
            <w:tcMar>
              <w:top w:w="113" w:type="dxa"/>
              <w:bottom w:w="113" w:type="dxa"/>
            </w:tcMar>
          </w:tcPr>
          <w:p w:rsidR="00236E18" w:rsidRPr="00372D5D" w:rsidRDefault="00236E18" w:rsidP="00294272">
            <w:pPr>
              <w:rPr>
                <w:sz w:val="16"/>
                <w:szCs w:val="16"/>
              </w:rPr>
            </w:pP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Número de países u organizaciones regionales que han aprobado o modificado los marcos pertinentes en aras de una observancia de P.I. efectiva teniendo en cuenta la Parte III del Acuerdo sobre los ADPIC</w:t>
            </w:r>
            <w:r>
              <w:rPr>
                <w:sz w:val="16"/>
                <w:szCs w:val="16"/>
              </w:rPr>
              <w:t xml:space="preserve"> y la recomendación 45 de la A.D.</w:t>
            </w:r>
            <w:r w:rsidRPr="00372D5D">
              <w:rPr>
                <w:sz w:val="16"/>
                <w:szCs w:val="16"/>
              </w:rPr>
              <w:t>, o que lo están haciendo actualmente, tras recibir asistencia de la OMPI</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Programa 17</w:t>
            </w:r>
          </w:p>
        </w:tc>
      </w:tr>
      <w:tr w:rsidR="00236E18" w:rsidRPr="00372D5D" w:rsidTr="00294272">
        <w:trPr>
          <w:cantSplit/>
          <w:trHeight w:val="744"/>
        </w:trPr>
        <w:tc>
          <w:tcPr>
            <w:tcW w:w="1769" w:type="pct"/>
            <w:shd w:val="clear" w:color="auto" w:fill="auto"/>
            <w:tcMar>
              <w:top w:w="113" w:type="dxa"/>
              <w:bottom w:w="113" w:type="dxa"/>
            </w:tcMar>
          </w:tcPr>
          <w:p w:rsidR="00236E18" w:rsidRPr="00372D5D" w:rsidRDefault="00236E18" w:rsidP="00294272">
            <w:pPr>
              <w:rPr>
                <w:sz w:val="16"/>
                <w:szCs w:val="16"/>
              </w:rPr>
            </w:pPr>
            <w:r>
              <w:br w:type="page"/>
            </w:r>
          </w:p>
        </w:tc>
        <w:tc>
          <w:tcPr>
            <w:tcW w:w="1616" w:type="pct"/>
            <w:shd w:val="clear" w:color="auto" w:fill="auto"/>
            <w:tcMar>
              <w:top w:w="113" w:type="dxa"/>
              <w:bottom w:w="113" w:type="dxa"/>
            </w:tcMar>
          </w:tcPr>
          <w:p w:rsidR="00236E18" w:rsidRDefault="00236E18" w:rsidP="00294272">
            <w:pPr>
              <w:rPr>
                <w:sz w:val="16"/>
                <w:szCs w:val="16"/>
              </w:rPr>
            </w:pPr>
            <w:r w:rsidRPr="00372D5D">
              <w:rPr>
                <w:sz w:val="16"/>
                <w:szCs w:val="16"/>
              </w:rPr>
              <w:t>Número de países que ha aprobado o aplicado una estrategia nacional sobre el fomento del respeto por la P.I., o que lo están haciendo actualmente, con ayuda de la OMP</w:t>
            </w:r>
          </w:p>
          <w:p w:rsidR="00236E18" w:rsidRDefault="00236E18" w:rsidP="00294272">
            <w:pPr>
              <w:rPr>
                <w:sz w:val="16"/>
                <w:szCs w:val="16"/>
              </w:rPr>
            </w:pPr>
          </w:p>
          <w:p w:rsidR="00236E18" w:rsidRDefault="00236E18" w:rsidP="00294272">
            <w:pPr>
              <w:rPr>
                <w:sz w:val="16"/>
                <w:szCs w:val="16"/>
              </w:rPr>
            </w:pPr>
            <w:r>
              <w:rPr>
                <w:sz w:val="16"/>
                <w:szCs w:val="16"/>
              </w:rPr>
              <w:t xml:space="preserve">Número de países que han solicitado una contribución específica de </w:t>
            </w:r>
            <w:proofErr w:type="spellStart"/>
            <w:r>
              <w:rPr>
                <w:sz w:val="16"/>
                <w:szCs w:val="16"/>
              </w:rPr>
              <w:t>P.I.con</w:t>
            </w:r>
            <w:proofErr w:type="spellEnd"/>
            <w:r>
              <w:rPr>
                <w:sz w:val="16"/>
                <w:szCs w:val="16"/>
              </w:rPr>
              <w:t xml:space="preserve"> respecto a cuestiones relativas a la política en materia de competencia</w:t>
            </w:r>
          </w:p>
          <w:p w:rsidR="00236E18" w:rsidRDefault="00236E18" w:rsidP="00294272">
            <w:pPr>
              <w:rPr>
                <w:sz w:val="16"/>
                <w:szCs w:val="16"/>
              </w:rPr>
            </w:pPr>
          </w:p>
          <w:p w:rsidR="00236E18" w:rsidRPr="00372D5D" w:rsidRDefault="00236E18" w:rsidP="00294272">
            <w:pPr>
              <w:rPr>
                <w:sz w:val="16"/>
                <w:szCs w:val="16"/>
                <w:lang w:val="es-ES_tradnl"/>
              </w:rPr>
            </w:pPr>
            <w:r>
              <w:rPr>
                <w:sz w:val="16"/>
                <w:szCs w:val="16"/>
              </w:rPr>
              <w:t>Número y diversidad de partes interesadas (oficinas de P.I., entidades en el ámbito de la competencia, OII y ONG) que dialogan con la OMPI</w:t>
            </w:r>
          </w:p>
        </w:tc>
        <w:tc>
          <w:tcPr>
            <w:tcW w:w="1615" w:type="pct"/>
            <w:shd w:val="clear" w:color="auto" w:fill="FFFFFF"/>
            <w:tcMar>
              <w:top w:w="113" w:type="dxa"/>
              <w:bottom w:w="113" w:type="dxa"/>
            </w:tcMar>
          </w:tcPr>
          <w:p w:rsidR="00236E18" w:rsidRDefault="00236E18" w:rsidP="00294272">
            <w:pPr>
              <w:ind w:left="591"/>
              <w:rPr>
                <w:sz w:val="16"/>
                <w:szCs w:val="16"/>
                <w:lang w:bidi="th-TH"/>
              </w:rPr>
            </w:pPr>
            <w:r w:rsidRPr="00372D5D">
              <w:rPr>
                <w:sz w:val="16"/>
                <w:szCs w:val="16"/>
                <w:lang w:bidi="th-TH"/>
              </w:rPr>
              <w:t>Programa 17</w:t>
            </w:r>
          </w:p>
          <w:p w:rsidR="00236E18" w:rsidRDefault="00236E18" w:rsidP="00294272">
            <w:pPr>
              <w:ind w:left="591"/>
              <w:rPr>
                <w:sz w:val="16"/>
                <w:szCs w:val="16"/>
                <w:lang w:bidi="th-TH"/>
              </w:rPr>
            </w:pPr>
          </w:p>
          <w:p w:rsidR="00236E18" w:rsidRDefault="00236E18" w:rsidP="00294272">
            <w:pPr>
              <w:ind w:left="591"/>
              <w:rPr>
                <w:sz w:val="16"/>
                <w:szCs w:val="16"/>
                <w:lang w:bidi="th-TH"/>
              </w:rPr>
            </w:pPr>
          </w:p>
          <w:p w:rsidR="00236E18" w:rsidRDefault="00236E18" w:rsidP="00294272">
            <w:pPr>
              <w:ind w:left="591"/>
              <w:rPr>
                <w:sz w:val="16"/>
                <w:szCs w:val="16"/>
                <w:lang w:bidi="th-TH"/>
              </w:rPr>
            </w:pPr>
          </w:p>
          <w:p w:rsidR="00236E18" w:rsidRDefault="00236E18" w:rsidP="00294272">
            <w:pPr>
              <w:ind w:left="591"/>
              <w:rPr>
                <w:sz w:val="16"/>
                <w:szCs w:val="16"/>
                <w:lang w:bidi="th-TH"/>
              </w:rPr>
            </w:pPr>
          </w:p>
          <w:p w:rsidR="00236E18" w:rsidRDefault="00236E18" w:rsidP="00294272">
            <w:pPr>
              <w:ind w:left="591"/>
              <w:rPr>
                <w:sz w:val="16"/>
                <w:szCs w:val="16"/>
                <w:lang w:bidi="th-TH"/>
              </w:rPr>
            </w:pPr>
          </w:p>
          <w:p w:rsidR="00236E18" w:rsidRDefault="00236E18" w:rsidP="00294272">
            <w:pPr>
              <w:ind w:left="591"/>
              <w:rPr>
                <w:sz w:val="16"/>
                <w:szCs w:val="16"/>
                <w:lang w:bidi="th-TH"/>
              </w:rPr>
            </w:pPr>
            <w:r>
              <w:rPr>
                <w:sz w:val="16"/>
                <w:szCs w:val="16"/>
                <w:lang w:bidi="th-TH"/>
              </w:rPr>
              <w:t>Programa 18</w:t>
            </w:r>
          </w:p>
          <w:p w:rsidR="00236E18" w:rsidRDefault="00236E18" w:rsidP="00294272">
            <w:pPr>
              <w:ind w:left="591"/>
              <w:rPr>
                <w:sz w:val="16"/>
                <w:szCs w:val="16"/>
                <w:lang w:bidi="th-TH"/>
              </w:rPr>
            </w:pPr>
          </w:p>
          <w:p w:rsidR="00236E18" w:rsidRDefault="00236E18" w:rsidP="00294272">
            <w:pPr>
              <w:ind w:left="591"/>
              <w:rPr>
                <w:sz w:val="16"/>
                <w:szCs w:val="16"/>
                <w:lang w:bidi="th-TH"/>
              </w:rPr>
            </w:pPr>
          </w:p>
          <w:p w:rsidR="00236E18" w:rsidRDefault="00236E18" w:rsidP="00294272">
            <w:pPr>
              <w:ind w:left="591"/>
              <w:rPr>
                <w:sz w:val="16"/>
                <w:szCs w:val="16"/>
                <w:lang w:bidi="th-TH"/>
              </w:rPr>
            </w:pPr>
          </w:p>
          <w:p w:rsidR="00236E18" w:rsidRDefault="00236E18" w:rsidP="00294272">
            <w:pPr>
              <w:ind w:left="591"/>
              <w:rPr>
                <w:sz w:val="16"/>
                <w:szCs w:val="16"/>
                <w:lang w:bidi="th-TH"/>
              </w:rPr>
            </w:pPr>
          </w:p>
          <w:p w:rsidR="00236E18" w:rsidRDefault="00236E18" w:rsidP="00294272">
            <w:pPr>
              <w:ind w:left="591"/>
              <w:rPr>
                <w:sz w:val="16"/>
                <w:szCs w:val="16"/>
                <w:lang w:bidi="th-TH"/>
              </w:rPr>
            </w:pPr>
          </w:p>
          <w:p w:rsidR="00236E18" w:rsidRPr="00372D5D" w:rsidRDefault="00236E18" w:rsidP="00294272">
            <w:pPr>
              <w:ind w:left="591"/>
              <w:rPr>
                <w:sz w:val="16"/>
                <w:szCs w:val="16"/>
                <w:lang w:bidi="th-TH"/>
              </w:rPr>
            </w:pPr>
            <w:r>
              <w:rPr>
                <w:sz w:val="16"/>
                <w:szCs w:val="16"/>
                <w:lang w:bidi="th-TH"/>
              </w:rPr>
              <w:t>Programa 18</w:t>
            </w:r>
          </w:p>
        </w:tc>
      </w:tr>
      <w:tr w:rsidR="00236E18" w:rsidRPr="00372D5D" w:rsidTr="00294272">
        <w:trPr>
          <w:cantSplit/>
          <w:trHeight w:val="660"/>
        </w:trPr>
        <w:tc>
          <w:tcPr>
            <w:tcW w:w="1769" w:type="pct"/>
            <w:shd w:val="clear" w:color="auto" w:fill="auto"/>
            <w:tcMar>
              <w:top w:w="113" w:type="dxa"/>
              <w:bottom w:w="113" w:type="dxa"/>
            </w:tcMar>
          </w:tcPr>
          <w:p w:rsidR="00236E18" w:rsidRPr="00932EC2" w:rsidRDefault="00236E18" w:rsidP="00294272">
            <w:pPr>
              <w:rPr>
                <w:sz w:val="16"/>
                <w:szCs w:val="16"/>
                <w:lang w:val="es-ES_tradnl"/>
              </w:rPr>
            </w:pPr>
            <w:r w:rsidRPr="00932EC2">
              <w:rPr>
                <w:sz w:val="16"/>
                <w:szCs w:val="16"/>
                <w:lang w:val="es-ES_tradnl"/>
              </w:rPr>
              <w:t>I.3  Aumento de la protección de los emblemas de Estado y de los nombres y emblemas de organizaciones intergubernamentales internacionales</w:t>
            </w: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Número de signos contenidos en la base de datos sobre el artículo 6</w:t>
            </w:r>
            <w:r w:rsidRPr="00372D5D">
              <w:rPr>
                <w:i/>
                <w:sz w:val="16"/>
                <w:szCs w:val="16"/>
              </w:rPr>
              <w:t>ter</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Programa 2</w:t>
            </w:r>
          </w:p>
        </w:tc>
      </w:tr>
      <w:tr w:rsidR="00236E18" w:rsidRPr="00AF5E7C" w:rsidTr="00294272">
        <w:trPr>
          <w:cantSplit/>
          <w:trHeight w:val="660"/>
        </w:trPr>
        <w:tc>
          <w:tcPr>
            <w:tcW w:w="1769" w:type="pct"/>
            <w:shd w:val="clear" w:color="auto" w:fill="auto"/>
            <w:tcMar>
              <w:top w:w="113" w:type="dxa"/>
              <w:bottom w:w="113" w:type="dxa"/>
            </w:tcMar>
          </w:tcPr>
          <w:p w:rsidR="00236E18" w:rsidRPr="00932EC2" w:rsidRDefault="00236E18" w:rsidP="00294272">
            <w:pPr>
              <w:rPr>
                <w:sz w:val="16"/>
                <w:szCs w:val="16"/>
                <w:lang w:val="es-ES_tradnl"/>
              </w:rPr>
            </w:pPr>
            <w:r w:rsidRPr="00932EC2">
              <w:rPr>
                <w:sz w:val="16"/>
                <w:szCs w:val="16"/>
                <w:lang w:val="es-ES_tradnl"/>
              </w:rPr>
              <w:lastRenderedPageBreak/>
              <w:t xml:space="preserve">I.4  Interés creciente en que la OMPI sea un foro de análisis de cuestiones relacionadas con la protección internacional de </w:t>
            </w:r>
            <w:r>
              <w:rPr>
                <w:sz w:val="16"/>
                <w:szCs w:val="16"/>
                <w:lang w:val="es-ES_tradnl"/>
              </w:rPr>
              <w:t xml:space="preserve">los modelos de utilidad, los esquemas de trazado (topografías) de circuitos integrados y </w:t>
            </w:r>
            <w:r w:rsidRPr="00932EC2">
              <w:rPr>
                <w:sz w:val="16"/>
                <w:szCs w:val="16"/>
                <w:lang w:val="es-ES_tradnl"/>
              </w:rPr>
              <w:t>la información confidencial</w:t>
            </w:r>
          </w:p>
        </w:tc>
        <w:tc>
          <w:tcPr>
            <w:tcW w:w="1616" w:type="pct"/>
            <w:shd w:val="clear" w:color="auto" w:fill="auto"/>
            <w:tcMar>
              <w:top w:w="113" w:type="dxa"/>
              <w:bottom w:w="113" w:type="dxa"/>
            </w:tcMar>
          </w:tcPr>
          <w:p w:rsidR="00236E18" w:rsidRPr="00372D5D" w:rsidRDefault="00236E18" w:rsidP="00294272">
            <w:pPr>
              <w:rPr>
                <w:sz w:val="16"/>
                <w:szCs w:val="16"/>
                <w:lang w:val="es-ES_tradnl"/>
              </w:rPr>
            </w:pPr>
            <w:r w:rsidRPr="00372D5D">
              <w:rPr>
                <w:sz w:val="16"/>
                <w:szCs w:val="16"/>
              </w:rPr>
              <w:t xml:space="preserve">Porcentaje de usuarios que consideran útil la información proporcionada en relación con los principios y prácticas jurídicos sobre la protección </w:t>
            </w:r>
            <w:r w:rsidRPr="00932EC2">
              <w:rPr>
                <w:sz w:val="16"/>
                <w:szCs w:val="16"/>
                <w:lang w:val="es-ES_tradnl"/>
              </w:rPr>
              <w:t xml:space="preserve">de </w:t>
            </w:r>
            <w:r>
              <w:rPr>
                <w:sz w:val="16"/>
                <w:szCs w:val="16"/>
                <w:lang w:val="es-ES_tradnl"/>
              </w:rPr>
              <w:t xml:space="preserve">los modelos de utilidad, los esquemas de trazado (topografías) de circuitos integrados y </w:t>
            </w:r>
            <w:r w:rsidRPr="00372D5D">
              <w:rPr>
                <w:sz w:val="16"/>
                <w:szCs w:val="16"/>
              </w:rPr>
              <w:t>la información confidencial</w:t>
            </w:r>
          </w:p>
        </w:tc>
        <w:tc>
          <w:tcPr>
            <w:tcW w:w="1615" w:type="pct"/>
            <w:shd w:val="clear" w:color="auto" w:fill="FFFFFF"/>
            <w:tcMar>
              <w:top w:w="113" w:type="dxa"/>
              <w:bottom w:w="113" w:type="dxa"/>
            </w:tcMar>
          </w:tcPr>
          <w:p w:rsidR="00236E18" w:rsidRPr="00372D5D" w:rsidRDefault="00236E18" w:rsidP="00294272">
            <w:pPr>
              <w:ind w:left="591"/>
              <w:rPr>
                <w:sz w:val="16"/>
                <w:szCs w:val="16"/>
                <w:lang w:bidi="th-TH"/>
              </w:rPr>
            </w:pPr>
            <w:r w:rsidRPr="00372D5D">
              <w:rPr>
                <w:sz w:val="16"/>
                <w:szCs w:val="16"/>
                <w:lang w:bidi="th-TH"/>
              </w:rPr>
              <w:t xml:space="preserve">Programa 1 </w:t>
            </w:r>
          </w:p>
        </w:tc>
      </w:tr>
    </w:tbl>
    <w:p w:rsidR="00236E18" w:rsidRDefault="00236E18" w:rsidP="00236E18"/>
    <w:p w:rsidR="00236E18" w:rsidRDefault="00236E18" w:rsidP="00236E18">
      <w:r>
        <w:br w:type="page"/>
      </w:r>
    </w:p>
    <w:p w:rsidR="00236E18" w:rsidRPr="00904F7F" w:rsidRDefault="00236E18" w:rsidP="00236E18">
      <w:pPr>
        <w:pStyle w:val="StyleStyleHeading3ComplexItalicLatin12pt"/>
      </w:pPr>
      <w:bookmarkStart w:id="36" w:name="_Toc431573539"/>
      <w:bookmarkStart w:id="37" w:name="_Toc431573940"/>
      <w:r w:rsidRPr="00904F7F">
        <w:lastRenderedPageBreak/>
        <w:t>PROGRAMA 1</w:t>
      </w:r>
      <w:r w:rsidRPr="00904F7F">
        <w:tab/>
        <w:t>DERECHO DE PATENTES</w:t>
      </w:r>
      <w:bookmarkEnd w:id="36"/>
      <w:bookmarkEnd w:id="37"/>
    </w:p>
    <w:p w:rsidR="00236E18" w:rsidRPr="00904F7F" w:rsidRDefault="00236E18" w:rsidP="00236E18">
      <w:pPr>
        <w:tabs>
          <w:tab w:val="left" w:pos="1701"/>
        </w:tabs>
        <w:ind w:left="1701" w:hanging="1701"/>
        <w:rPr>
          <w:bCs/>
          <w:iCs/>
          <w:sz w:val="20"/>
        </w:rPr>
      </w:pPr>
    </w:p>
    <w:p w:rsidR="00236E18" w:rsidRPr="00904F7F" w:rsidRDefault="00236E18" w:rsidP="00236E18">
      <w:pPr>
        <w:rPr>
          <w:bCs/>
          <w:sz w:val="20"/>
        </w:rPr>
      </w:pPr>
    </w:p>
    <w:p w:rsidR="00236E18" w:rsidRPr="00904F7F" w:rsidRDefault="00236E18" w:rsidP="00236E18">
      <w:pPr>
        <w:autoSpaceDE w:val="0"/>
        <w:autoSpaceDN w:val="0"/>
        <w:adjustRightInd w:val="0"/>
        <w:ind w:right="-59"/>
        <w:jc w:val="both"/>
      </w:pPr>
      <w:r w:rsidRPr="00904F7F">
        <w:t>CONTEXTO DE PLANIFICACIÓN</w:t>
      </w:r>
    </w:p>
    <w:p w:rsidR="00236E18" w:rsidRPr="00904F7F" w:rsidRDefault="00236E18" w:rsidP="00236E18">
      <w:pPr>
        <w:autoSpaceDE w:val="0"/>
        <w:autoSpaceDN w:val="0"/>
        <w:adjustRightInd w:val="0"/>
        <w:ind w:right="-59"/>
        <w:jc w:val="both"/>
      </w:pPr>
    </w:p>
    <w:p w:rsidR="00236E18" w:rsidRPr="00904F7F" w:rsidRDefault="00236E18" w:rsidP="00236E18">
      <w:pPr>
        <w:numPr>
          <w:ilvl w:val="0"/>
          <w:numId w:val="4"/>
        </w:numPr>
        <w:jc w:val="both"/>
        <w:rPr>
          <w:sz w:val="20"/>
        </w:rPr>
      </w:pPr>
      <w:r w:rsidRPr="00904F7F">
        <w:rPr>
          <w:sz w:val="20"/>
        </w:rPr>
        <w:t>El Programa 1 comprende las cuestiones relacionadas con las patentes, los modelos de utilidad, los esquemas de trazado (topografías) de circuitos integrados y la protección de información técnica/comercial de carácter confidencial (en adelante denominada “información confidencial”).  Entre los desafíos fundamentales que afronta este programa se encuentra la promoción de soluciones multilaterales de manera que el desarrollo del Derecho internacional de patentes se mantenga a la par del entorno tecnológico, económico y social, que evoluciona con rapidez.  Los desafíos más importantes previstos para el bienio 2016/17 son los siguientes:</w:t>
      </w:r>
    </w:p>
    <w:p w:rsidR="00236E18" w:rsidRPr="00904F7F" w:rsidRDefault="00236E18" w:rsidP="00236E18">
      <w:pPr>
        <w:tabs>
          <w:tab w:val="left" w:pos="1134"/>
        </w:tabs>
        <w:ind w:left="1134" w:hanging="567"/>
        <w:jc w:val="both"/>
        <w:rPr>
          <w:sz w:val="20"/>
        </w:rPr>
      </w:pPr>
    </w:p>
    <w:p w:rsidR="00236E18" w:rsidRPr="00904F7F" w:rsidRDefault="00236E18" w:rsidP="00236E18">
      <w:pPr>
        <w:pStyle w:val="ListParagraph"/>
        <w:numPr>
          <w:ilvl w:val="1"/>
          <w:numId w:val="10"/>
        </w:numPr>
        <w:tabs>
          <w:tab w:val="left" w:pos="1134"/>
        </w:tabs>
        <w:ind w:left="1134" w:hanging="567"/>
        <w:jc w:val="both"/>
        <w:rPr>
          <w:rFonts w:ascii="Arial" w:hAnsi="Arial" w:cs="Arial"/>
          <w:sz w:val="20"/>
          <w:szCs w:val="20"/>
          <w:lang w:val="es-ES"/>
        </w:rPr>
      </w:pPr>
      <w:r w:rsidRPr="00904F7F">
        <w:rPr>
          <w:rFonts w:ascii="Arial" w:hAnsi="Arial" w:cs="Arial"/>
          <w:sz w:val="20"/>
          <w:szCs w:val="20"/>
          <w:lang w:val="es-ES"/>
        </w:rPr>
        <w:t>La función que desempeña el sistema de patentes en unos mecanismos de innovación cada vez más complejos y globalizados y las distintas concepciones que existen en relación con dicha función, incluidos los beneficios que aporta a la sociedad en general;</w:t>
      </w:r>
    </w:p>
    <w:p w:rsidR="00236E18" w:rsidRPr="00904F7F" w:rsidRDefault="00236E18" w:rsidP="00236E18">
      <w:pPr>
        <w:tabs>
          <w:tab w:val="left" w:pos="1134"/>
        </w:tabs>
        <w:ind w:left="1134" w:hanging="567"/>
        <w:jc w:val="both"/>
        <w:rPr>
          <w:sz w:val="20"/>
        </w:rPr>
      </w:pPr>
    </w:p>
    <w:p w:rsidR="00236E18" w:rsidRPr="00904F7F" w:rsidRDefault="00236E18" w:rsidP="00236E18">
      <w:pPr>
        <w:pStyle w:val="ListParagraph"/>
        <w:numPr>
          <w:ilvl w:val="1"/>
          <w:numId w:val="10"/>
        </w:numPr>
        <w:tabs>
          <w:tab w:val="left" w:pos="1134"/>
        </w:tabs>
        <w:ind w:left="1134" w:hanging="567"/>
        <w:jc w:val="both"/>
        <w:rPr>
          <w:rFonts w:ascii="Arial" w:hAnsi="Arial" w:cs="Arial"/>
          <w:sz w:val="20"/>
          <w:szCs w:val="20"/>
          <w:lang w:val="es-ES"/>
        </w:rPr>
      </w:pPr>
      <w:r w:rsidRPr="00904F7F">
        <w:rPr>
          <w:rFonts w:ascii="Arial" w:hAnsi="Arial" w:cs="Arial"/>
          <w:sz w:val="20"/>
          <w:szCs w:val="20"/>
          <w:lang w:val="es-ES"/>
        </w:rPr>
        <w:t>La demanda creciente de información empírica que sirva para que los encargados de formular políticas formulen opciones de política pública relativas al alcance y a la aplicación adecuados del sistema de patentes;</w:t>
      </w:r>
    </w:p>
    <w:p w:rsidR="00236E18" w:rsidRPr="00904F7F" w:rsidRDefault="00236E18" w:rsidP="00236E18">
      <w:pPr>
        <w:pStyle w:val="ListParagraph"/>
        <w:rPr>
          <w:rFonts w:ascii="Arial" w:hAnsi="Arial" w:cs="Arial"/>
          <w:sz w:val="20"/>
          <w:szCs w:val="20"/>
          <w:lang w:val="es-ES"/>
        </w:rPr>
      </w:pPr>
    </w:p>
    <w:p w:rsidR="00236E18" w:rsidRPr="00904F7F" w:rsidRDefault="00236E18" w:rsidP="00236E18">
      <w:pPr>
        <w:pStyle w:val="ListParagraph"/>
        <w:numPr>
          <w:ilvl w:val="1"/>
          <w:numId w:val="10"/>
        </w:numPr>
        <w:tabs>
          <w:tab w:val="left" w:pos="1134"/>
        </w:tabs>
        <w:ind w:left="1134" w:hanging="567"/>
        <w:jc w:val="both"/>
        <w:rPr>
          <w:rFonts w:ascii="Arial" w:hAnsi="Arial" w:cs="Arial"/>
          <w:sz w:val="20"/>
          <w:szCs w:val="20"/>
          <w:lang w:val="es-ES"/>
        </w:rPr>
      </w:pPr>
      <w:r w:rsidRPr="00904F7F">
        <w:rPr>
          <w:rFonts w:ascii="Arial" w:hAnsi="Arial" w:cs="Arial"/>
          <w:sz w:val="20"/>
          <w:szCs w:val="20"/>
          <w:lang w:val="es-ES"/>
        </w:rPr>
        <w:t>Información más específica acerca de la función, la incidencia y la aplicación del sistema internacional de patentes, incluidas las flexibilidades que ofrece tanto en el ámbito de los foros internacionales como en materia de asesoramiento legislativo y político a los Estados miembros;</w:t>
      </w:r>
    </w:p>
    <w:p w:rsidR="00236E18" w:rsidRPr="00904F7F" w:rsidRDefault="00236E18" w:rsidP="00236E18">
      <w:pPr>
        <w:tabs>
          <w:tab w:val="left" w:pos="1134"/>
        </w:tabs>
        <w:jc w:val="both"/>
        <w:rPr>
          <w:sz w:val="20"/>
        </w:rPr>
      </w:pPr>
    </w:p>
    <w:p w:rsidR="00236E18" w:rsidRPr="00904F7F" w:rsidRDefault="00236E18" w:rsidP="00236E18">
      <w:pPr>
        <w:pStyle w:val="ListParagraph"/>
        <w:numPr>
          <w:ilvl w:val="1"/>
          <w:numId w:val="10"/>
        </w:numPr>
        <w:tabs>
          <w:tab w:val="left" w:pos="1134"/>
        </w:tabs>
        <w:ind w:left="1134" w:hanging="567"/>
        <w:jc w:val="both"/>
        <w:rPr>
          <w:rFonts w:ascii="Arial" w:hAnsi="Arial" w:cs="Arial"/>
          <w:sz w:val="20"/>
          <w:szCs w:val="20"/>
          <w:lang w:val="es-ES"/>
        </w:rPr>
      </w:pPr>
      <w:r w:rsidRPr="00904F7F">
        <w:rPr>
          <w:rFonts w:ascii="Arial" w:hAnsi="Arial" w:cs="Arial"/>
          <w:sz w:val="20"/>
          <w:szCs w:val="20"/>
          <w:lang w:val="es-ES"/>
        </w:rPr>
        <w:t>La creciente demanda de asesoramiento legislativo y político a los Estados miembros;</w:t>
      </w:r>
    </w:p>
    <w:p w:rsidR="00236E18" w:rsidRPr="00904F7F" w:rsidRDefault="00236E18" w:rsidP="00236E18">
      <w:pPr>
        <w:tabs>
          <w:tab w:val="left" w:pos="1134"/>
        </w:tabs>
        <w:ind w:left="1134" w:hanging="567"/>
        <w:jc w:val="both"/>
        <w:rPr>
          <w:sz w:val="20"/>
        </w:rPr>
      </w:pPr>
    </w:p>
    <w:p w:rsidR="00236E18" w:rsidRPr="00904F7F" w:rsidRDefault="00236E18" w:rsidP="00236E18">
      <w:pPr>
        <w:pStyle w:val="ListParagraph"/>
        <w:numPr>
          <w:ilvl w:val="1"/>
          <w:numId w:val="10"/>
        </w:numPr>
        <w:tabs>
          <w:tab w:val="left" w:pos="1134"/>
        </w:tabs>
        <w:ind w:left="1134" w:hanging="567"/>
        <w:jc w:val="both"/>
        <w:rPr>
          <w:rFonts w:ascii="Arial" w:hAnsi="Arial" w:cs="Arial"/>
          <w:sz w:val="20"/>
          <w:szCs w:val="20"/>
          <w:lang w:val="es-ES"/>
        </w:rPr>
      </w:pPr>
      <w:r w:rsidRPr="00904F7F">
        <w:rPr>
          <w:rFonts w:ascii="Arial" w:hAnsi="Arial" w:cs="Arial"/>
          <w:sz w:val="20"/>
          <w:szCs w:val="20"/>
          <w:lang w:val="es-ES"/>
        </w:rPr>
        <w:t>En el marco del uso creciente del sistema de patentes, la necesidad de tener en cuenta la efectividad, eficacia y calidad de la labor de administración de las patentes que respalde los objetivos del sistema de patentes;</w:t>
      </w:r>
    </w:p>
    <w:p w:rsidR="00236E18" w:rsidRPr="00904F7F" w:rsidRDefault="00236E18" w:rsidP="00236E18">
      <w:pPr>
        <w:tabs>
          <w:tab w:val="left" w:pos="1134"/>
        </w:tabs>
        <w:ind w:left="1134" w:hanging="567"/>
        <w:jc w:val="both"/>
        <w:rPr>
          <w:sz w:val="20"/>
        </w:rPr>
      </w:pPr>
    </w:p>
    <w:p w:rsidR="00236E18" w:rsidRPr="00904F7F" w:rsidRDefault="00236E18" w:rsidP="00236E18">
      <w:pPr>
        <w:pStyle w:val="ListParagraph"/>
        <w:numPr>
          <w:ilvl w:val="1"/>
          <w:numId w:val="10"/>
        </w:numPr>
        <w:tabs>
          <w:tab w:val="left" w:pos="1134"/>
        </w:tabs>
        <w:ind w:left="1134" w:hanging="567"/>
        <w:rPr>
          <w:rFonts w:ascii="Arial" w:hAnsi="Arial" w:cs="Arial"/>
          <w:sz w:val="20"/>
          <w:szCs w:val="20"/>
          <w:lang w:val="es-ES"/>
        </w:rPr>
      </w:pPr>
      <w:r w:rsidRPr="00904F7F">
        <w:rPr>
          <w:rFonts w:ascii="Arial" w:hAnsi="Arial" w:cs="Arial"/>
          <w:sz w:val="20"/>
          <w:szCs w:val="20"/>
          <w:lang w:val="es-ES"/>
        </w:rPr>
        <w:t>Insuficiente capacidad para preparar, presentar y seguir la tramitación de las solicitudes de patente;</w:t>
      </w:r>
    </w:p>
    <w:p w:rsidR="00236E18" w:rsidRPr="00904F7F" w:rsidRDefault="00236E18" w:rsidP="00236E18">
      <w:pPr>
        <w:tabs>
          <w:tab w:val="left" w:pos="1134"/>
        </w:tabs>
        <w:ind w:left="1134" w:hanging="567"/>
        <w:jc w:val="both"/>
        <w:rPr>
          <w:sz w:val="20"/>
        </w:rPr>
      </w:pPr>
    </w:p>
    <w:p w:rsidR="00236E18" w:rsidRPr="00904F7F" w:rsidRDefault="00236E18" w:rsidP="00236E18">
      <w:pPr>
        <w:pStyle w:val="ListParagraph"/>
        <w:numPr>
          <w:ilvl w:val="1"/>
          <w:numId w:val="10"/>
        </w:numPr>
        <w:tabs>
          <w:tab w:val="left" w:pos="1134"/>
        </w:tabs>
        <w:ind w:left="1134" w:hanging="567"/>
        <w:rPr>
          <w:rFonts w:ascii="Arial" w:hAnsi="Arial" w:cs="Arial"/>
          <w:sz w:val="20"/>
          <w:szCs w:val="20"/>
          <w:lang w:val="es-ES"/>
        </w:rPr>
      </w:pPr>
      <w:r w:rsidRPr="00904F7F">
        <w:rPr>
          <w:rFonts w:ascii="Arial" w:hAnsi="Arial" w:cs="Arial"/>
          <w:sz w:val="20"/>
          <w:szCs w:val="20"/>
          <w:lang w:val="es-ES"/>
        </w:rPr>
        <w:t>Como consecuencia del hecho de reconocer más adecuadamente la complejidad de los mecanismos de transferencia de tecnología, la necesidad de abordar el Derecho de patentes en el marco de otras categorías de activos de P.I. estrechamente relacionadas con este, como</w:t>
      </w:r>
      <w:r>
        <w:rPr>
          <w:rFonts w:ascii="Arial" w:hAnsi="Arial" w:cs="Arial"/>
          <w:sz w:val="20"/>
          <w:szCs w:val="20"/>
          <w:lang w:val="es-ES"/>
        </w:rPr>
        <w:t xml:space="preserve"> por ejemplo la protección de los modelos de utilidad, los esquemas de trazado (topografías) de circuitos integrados y la</w:t>
      </w:r>
      <w:r w:rsidRPr="00904F7F">
        <w:rPr>
          <w:rFonts w:ascii="Arial" w:hAnsi="Arial" w:cs="Arial"/>
          <w:sz w:val="20"/>
          <w:szCs w:val="20"/>
          <w:lang w:val="es-ES"/>
        </w:rPr>
        <w:t xml:space="preserve"> información confidencial;  y</w:t>
      </w:r>
    </w:p>
    <w:p w:rsidR="00236E18" w:rsidRPr="00904F7F" w:rsidRDefault="00236E18" w:rsidP="00236E18">
      <w:pPr>
        <w:tabs>
          <w:tab w:val="left" w:pos="1134"/>
        </w:tabs>
        <w:ind w:left="1134" w:hanging="567"/>
        <w:jc w:val="both"/>
        <w:rPr>
          <w:sz w:val="20"/>
        </w:rPr>
      </w:pPr>
    </w:p>
    <w:p w:rsidR="00236E18" w:rsidRPr="00904F7F" w:rsidRDefault="00236E18" w:rsidP="00236E18">
      <w:pPr>
        <w:pStyle w:val="ListParagraph"/>
        <w:numPr>
          <w:ilvl w:val="1"/>
          <w:numId w:val="10"/>
        </w:numPr>
        <w:tabs>
          <w:tab w:val="left" w:pos="1134"/>
        </w:tabs>
        <w:ind w:left="1134" w:hanging="567"/>
        <w:jc w:val="both"/>
        <w:rPr>
          <w:rFonts w:ascii="Arial" w:hAnsi="Arial" w:cs="Arial"/>
          <w:sz w:val="20"/>
          <w:szCs w:val="20"/>
          <w:lang w:val="es-ES"/>
        </w:rPr>
      </w:pPr>
      <w:r w:rsidRPr="00904F7F">
        <w:rPr>
          <w:rFonts w:ascii="Arial" w:hAnsi="Arial" w:cs="Arial"/>
          <w:sz w:val="20"/>
          <w:szCs w:val="20"/>
          <w:lang w:val="es-ES"/>
        </w:rPr>
        <w:t>Mantenerse al día de los avances tecnológicos para comprender qué medidas podrían ser necesarias para responder a los acontecimientos que se producen a nivel internacional, teniendo en cuenta las diversas necesidades de los países que tienen distintos niveles de desarrollo, a la vez que se respetan sus obligaciones internacionales.</w:t>
      </w:r>
    </w:p>
    <w:p w:rsidR="00236E18" w:rsidRPr="00904F7F" w:rsidRDefault="00236E18" w:rsidP="00236E18">
      <w:pPr>
        <w:ind w:left="1134" w:hanging="567"/>
        <w:jc w:val="both"/>
      </w:pPr>
    </w:p>
    <w:p w:rsidR="00236E18" w:rsidRPr="00904F7F" w:rsidRDefault="00236E18" w:rsidP="00236E18">
      <w:pPr>
        <w:ind w:left="1134" w:hanging="567"/>
        <w:jc w:val="both"/>
      </w:pPr>
    </w:p>
    <w:p w:rsidR="00236E18" w:rsidRPr="00904F7F" w:rsidRDefault="00236E18" w:rsidP="00236E18">
      <w:pPr>
        <w:jc w:val="both"/>
      </w:pPr>
      <w:r w:rsidRPr="00904F7F">
        <w:t>ESTRATEGIAS DE EJECUCIÓN</w:t>
      </w:r>
    </w:p>
    <w:p w:rsidR="00236E18" w:rsidRPr="00904F7F" w:rsidRDefault="00236E18" w:rsidP="00236E18">
      <w:pPr>
        <w:jc w:val="both"/>
      </w:pPr>
    </w:p>
    <w:p w:rsidR="00236E18" w:rsidRPr="00904F7F" w:rsidRDefault="00236E18" w:rsidP="00236E18">
      <w:pPr>
        <w:numPr>
          <w:ilvl w:val="0"/>
          <w:numId w:val="4"/>
        </w:numPr>
        <w:jc w:val="both"/>
        <w:rPr>
          <w:sz w:val="20"/>
        </w:rPr>
      </w:pPr>
      <w:r w:rsidRPr="00904F7F">
        <w:rPr>
          <w:sz w:val="20"/>
        </w:rPr>
        <w:t xml:space="preserve">La labor del Comité Permanente sobre el Derecho de Patentes (SCP) se ha estancado debido a que no existe el acuerdo entre los Estados miembros.  Debido a que el motor del proceso normativo son los propios Estados miembros, en el marco del programa los esfuerzos se centrarán en suministrar información fiable y fomentar una coyuntura que favorezca el compromiso y el diálogo entre los Estados miembros en esferas de interés común.  Asimismo, la Secretaría tratará de prestar asistencia a los Estados miembros para celebrar reuniones más eficaces, de manera que los resultados del SCP correspondan más adecuadamente a las aportaciones efectuadas.  Por otro lado, se seguirá mejorando la capacidad de respuesta en materia de asistencia legislativa y política.  En todas las actividades de este programa que se ejecuten durante el bienio se tendrán en cuenta las recomendaciones pertinentes de la A.D.  Más concretamente, el suministro de información sobre patentes y la prestación de asesoramiento legislativo dan cumplida respuesta a las recomendaciones pertinentes de la A.D., respaldando de esta manera los objetivos relativos a “la adopción fundamentada de decisiones y políticas internacionales y nacionales sobre P.I.” y “el establecimiento de marcos normativos de P.I. en el </w:t>
      </w:r>
      <w:r w:rsidRPr="00904F7F">
        <w:rPr>
          <w:sz w:val="20"/>
        </w:rPr>
        <w:lastRenderedPageBreak/>
        <w:t>plano nacional e internacional que fomenten la creatividad y la innovación y reflejen el nivel de desarrollo de los distintos Estados miembros de la OMPI”.  Además, se tendrá en cuenta la labor desarrollada en el marco de los proyectos de la A.D. finalizados que estén relacionados con la P.I. y el dominio público y las patentes y el dominio público.</w:t>
      </w:r>
    </w:p>
    <w:p w:rsidR="00236E18" w:rsidRPr="00904F7F" w:rsidRDefault="00236E18" w:rsidP="00236E18">
      <w:pPr>
        <w:jc w:val="both"/>
        <w:rPr>
          <w:sz w:val="20"/>
        </w:rPr>
      </w:pPr>
    </w:p>
    <w:p w:rsidR="00236E18" w:rsidRPr="00904F7F" w:rsidRDefault="00236E18" w:rsidP="00236E18">
      <w:pPr>
        <w:numPr>
          <w:ilvl w:val="0"/>
          <w:numId w:val="4"/>
        </w:numPr>
        <w:jc w:val="both"/>
        <w:rPr>
          <w:sz w:val="20"/>
        </w:rPr>
      </w:pPr>
      <w:r w:rsidRPr="00904F7F">
        <w:rPr>
          <w:sz w:val="20"/>
        </w:rPr>
        <w:t>Concretamente, para el próximo bienio se han fijado los siguientes objetivos en relación con el programa:</w:t>
      </w:r>
    </w:p>
    <w:p w:rsidR="00236E18" w:rsidRPr="00904F7F" w:rsidRDefault="00236E18" w:rsidP="00236E18">
      <w:pPr>
        <w:jc w:val="both"/>
        <w:rPr>
          <w:sz w:val="20"/>
        </w:rPr>
      </w:pPr>
    </w:p>
    <w:p w:rsidR="00236E18" w:rsidRPr="00904F7F" w:rsidRDefault="00236E18" w:rsidP="00236E18">
      <w:pPr>
        <w:pStyle w:val="ListParagraph"/>
        <w:numPr>
          <w:ilvl w:val="1"/>
          <w:numId w:val="10"/>
        </w:numPr>
        <w:tabs>
          <w:tab w:val="left" w:pos="1134"/>
        </w:tabs>
        <w:ind w:left="1134" w:hanging="567"/>
        <w:jc w:val="both"/>
        <w:rPr>
          <w:rFonts w:ascii="Arial" w:hAnsi="Arial" w:cs="Arial"/>
          <w:sz w:val="20"/>
          <w:szCs w:val="20"/>
          <w:lang w:val="es-ES"/>
        </w:rPr>
      </w:pPr>
      <w:r w:rsidRPr="00904F7F">
        <w:rPr>
          <w:rFonts w:ascii="Arial" w:hAnsi="Arial" w:cs="Arial"/>
          <w:sz w:val="20"/>
          <w:szCs w:val="20"/>
          <w:lang w:val="es-ES"/>
        </w:rPr>
        <w:t xml:space="preserve">organizar </w:t>
      </w:r>
      <w:r>
        <w:rPr>
          <w:rFonts w:ascii="Arial" w:hAnsi="Arial" w:cs="Arial"/>
          <w:sz w:val="20"/>
          <w:szCs w:val="20"/>
          <w:lang w:val="es-ES"/>
        </w:rPr>
        <w:t>las</w:t>
      </w:r>
      <w:r w:rsidRPr="00904F7F">
        <w:rPr>
          <w:rFonts w:ascii="Arial" w:hAnsi="Arial" w:cs="Arial"/>
          <w:sz w:val="20"/>
          <w:szCs w:val="20"/>
          <w:lang w:val="es-ES"/>
        </w:rPr>
        <w:t xml:space="preserve"> sesiones del SCP;</w:t>
      </w:r>
    </w:p>
    <w:p w:rsidR="00236E18" w:rsidRPr="00904F7F" w:rsidRDefault="00236E18" w:rsidP="00236E18">
      <w:pPr>
        <w:tabs>
          <w:tab w:val="left" w:pos="1134"/>
        </w:tabs>
        <w:ind w:left="1134" w:hanging="567"/>
        <w:jc w:val="both"/>
        <w:rPr>
          <w:sz w:val="20"/>
        </w:rPr>
      </w:pPr>
    </w:p>
    <w:p w:rsidR="00236E18" w:rsidRPr="00904F7F" w:rsidRDefault="00236E18" w:rsidP="00236E18">
      <w:pPr>
        <w:pStyle w:val="ListParagraph"/>
        <w:numPr>
          <w:ilvl w:val="1"/>
          <w:numId w:val="10"/>
        </w:numPr>
        <w:tabs>
          <w:tab w:val="left" w:pos="1134"/>
        </w:tabs>
        <w:ind w:left="1134" w:hanging="567"/>
        <w:jc w:val="both"/>
        <w:rPr>
          <w:rFonts w:ascii="Arial" w:hAnsi="Arial" w:cs="Arial"/>
          <w:sz w:val="20"/>
          <w:szCs w:val="20"/>
          <w:lang w:val="es-ES"/>
        </w:rPr>
      </w:pPr>
      <w:r w:rsidRPr="00904F7F">
        <w:rPr>
          <w:rFonts w:ascii="Arial" w:hAnsi="Arial" w:cs="Arial"/>
          <w:sz w:val="20"/>
          <w:szCs w:val="20"/>
          <w:lang w:val="es-ES"/>
        </w:rPr>
        <w:t>organizar, previa petición, reuniones de información para representantes de los Estados miembros a los fines de suministrar información sobre cuestiones relacionadas con el Derecho, las políticas y las prácticas en materia de patentes, teniendo debidamente en cuenta las recomendaciones 15 y 16 de la A.D.</w:t>
      </w:r>
    </w:p>
    <w:p w:rsidR="00236E18" w:rsidRPr="00904F7F" w:rsidRDefault="00236E18" w:rsidP="00236E18">
      <w:pPr>
        <w:pStyle w:val="ListParagraph"/>
        <w:rPr>
          <w:rFonts w:ascii="Arial" w:hAnsi="Arial" w:cs="Arial"/>
          <w:sz w:val="20"/>
          <w:szCs w:val="20"/>
          <w:lang w:val="es-ES"/>
        </w:rPr>
      </w:pPr>
    </w:p>
    <w:p w:rsidR="00236E18" w:rsidRPr="00904F7F" w:rsidRDefault="00236E18" w:rsidP="00236E18">
      <w:pPr>
        <w:pStyle w:val="ListParagraph"/>
        <w:numPr>
          <w:ilvl w:val="1"/>
          <w:numId w:val="10"/>
        </w:numPr>
        <w:tabs>
          <w:tab w:val="left" w:pos="1134"/>
        </w:tabs>
        <w:ind w:left="1134" w:hanging="567"/>
        <w:jc w:val="both"/>
        <w:rPr>
          <w:rFonts w:ascii="Arial" w:hAnsi="Arial" w:cs="Arial"/>
          <w:sz w:val="20"/>
          <w:szCs w:val="20"/>
          <w:lang w:val="es-ES"/>
        </w:rPr>
      </w:pPr>
      <w:r w:rsidRPr="00904F7F">
        <w:rPr>
          <w:rFonts w:ascii="Arial" w:hAnsi="Arial" w:cs="Arial"/>
          <w:sz w:val="20"/>
          <w:szCs w:val="20"/>
          <w:lang w:val="es-ES"/>
        </w:rPr>
        <w:t>seguir proporcionando, previa petición, asesoramiento legislativo a los Estados miembros en relación con las patentes, los modelos de utilidad, los esquemas de trazado (topografías) de circuitos integrados y la protección de información confidencial, conforme a las recomendaciones 17, 20 y 22 de la A.D.;</w:t>
      </w:r>
    </w:p>
    <w:p w:rsidR="00236E18" w:rsidRPr="00904F7F" w:rsidRDefault="00236E18" w:rsidP="00236E18">
      <w:pPr>
        <w:tabs>
          <w:tab w:val="left" w:pos="1134"/>
        </w:tabs>
        <w:ind w:left="1134" w:hanging="567"/>
        <w:jc w:val="both"/>
        <w:rPr>
          <w:sz w:val="20"/>
        </w:rPr>
      </w:pPr>
    </w:p>
    <w:p w:rsidR="00236E18" w:rsidRPr="00904F7F" w:rsidRDefault="00236E18" w:rsidP="00236E18">
      <w:pPr>
        <w:pStyle w:val="ListParagraph"/>
        <w:numPr>
          <w:ilvl w:val="1"/>
          <w:numId w:val="10"/>
        </w:numPr>
        <w:tabs>
          <w:tab w:val="left" w:pos="1134"/>
        </w:tabs>
        <w:ind w:left="1134" w:hanging="567"/>
        <w:jc w:val="both"/>
        <w:rPr>
          <w:rFonts w:ascii="Arial" w:hAnsi="Arial" w:cs="Arial"/>
          <w:sz w:val="20"/>
          <w:szCs w:val="20"/>
          <w:lang w:val="es-ES"/>
        </w:rPr>
      </w:pPr>
      <w:r w:rsidRPr="00904F7F">
        <w:rPr>
          <w:rFonts w:ascii="Arial" w:hAnsi="Arial" w:cs="Arial"/>
          <w:sz w:val="20"/>
          <w:szCs w:val="20"/>
          <w:lang w:val="es-ES"/>
        </w:rPr>
        <w:t>seguir prestando apoyo y asistencia a los Estados miembros en lo que respecta al Convenio de París, el Tratado de Budapest y el Tratado sobre el Derecho de Patentes;</w:t>
      </w:r>
    </w:p>
    <w:p w:rsidR="00236E18" w:rsidRPr="00904F7F" w:rsidRDefault="00236E18" w:rsidP="00236E18">
      <w:pPr>
        <w:tabs>
          <w:tab w:val="left" w:pos="1134"/>
        </w:tabs>
        <w:ind w:left="1134" w:hanging="567"/>
        <w:jc w:val="both"/>
        <w:rPr>
          <w:sz w:val="20"/>
        </w:rPr>
      </w:pPr>
    </w:p>
    <w:p w:rsidR="00236E18" w:rsidRDefault="00236E18" w:rsidP="00236E18">
      <w:pPr>
        <w:tabs>
          <w:tab w:val="left" w:pos="1134"/>
        </w:tabs>
        <w:ind w:left="1134" w:hanging="567"/>
        <w:jc w:val="both"/>
        <w:rPr>
          <w:sz w:val="20"/>
        </w:rPr>
      </w:pPr>
      <w:r w:rsidRPr="00904F7F">
        <w:rPr>
          <w:sz w:val="20"/>
        </w:rPr>
        <w:t>−</w:t>
      </w:r>
      <w:r w:rsidRPr="00904F7F">
        <w:rPr>
          <w:sz w:val="20"/>
        </w:rPr>
        <w:tab/>
        <w:t>seguir prestando apoyo y asistencia a los Estados miembros con el fin de mejorar las capacidades de crear sistemas funcionales en relación con las patentes, los modelos de utilidad, los esquemas de trazado (topografías) de circuitos integrados y la protección de información confidencial;</w:t>
      </w:r>
    </w:p>
    <w:p w:rsidR="00236E18" w:rsidRDefault="00236E18" w:rsidP="00236E18">
      <w:pPr>
        <w:tabs>
          <w:tab w:val="left" w:pos="1134"/>
        </w:tabs>
        <w:ind w:left="1134" w:hanging="567"/>
        <w:jc w:val="both"/>
        <w:rPr>
          <w:sz w:val="20"/>
        </w:rPr>
      </w:pPr>
    </w:p>
    <w:p w:rsidR="00236E18" w:rsidRPr="00932EC2" w:rsidRDefault="00236E18" w:rsidP="00236E18">
      <w:pPr>
        <w:pStyle w:val="ListParagraph"/>
        <w:numPr>
          <w:ilvl w:val="1"/>
          <w:numId w:val="10"/>
        </w:numPr>
        <w:tabs>
          <w:tab w:val="left" w:pos="1134"/>
        </w:tabs>
        <w:ind w:left="1134" w:hanging="567"/>
        <w:jc w:val="both"/>
        <w:rPr>
          <w:rFonts w:ascii="Arial" w:hAnsi="Arial" w:cs="Arial"/>
          <w:sz w:val="20"/>
          <w:szCs w:val="20"/>
          <w:lang w:val="es-ES"/>
        </w:rPr>
      </w:pPr>
      <w:r w:rsidRPr="00932EC2">
        <w:rPr>
          <w:rFonts w:ascii="Arial" w:hAnsi="Arial" w:cs="Arial"/>
          <w:sz w:val="20"/>
          <w:szCs w:val="20"/>
          <w:lang w:val="es-ES"/>
        </w:rPr>
        <w:t>abordar cuestiones relativas a la protección de la</w:t>
      </w:r>
      <w:r>
        <w:rPr>
          <w:rFonts w:ascii="Arial" w:hAnsi="Arial" w:cs="Arial"/>
          <w:sz w:val="20"/>
          <w:szCs w:val="20"/>
          <w:lang w:val="es-ES"/>
        </w:rPr>
        <w:t>s patentes, los modelos de utilidad, los esquemas de trazado (topografías) de circuitos integrados y la</w:t>
      </w:r>
      <w:r w:rsidRPr="00932EC2">
        <w:rPr>
          <w:rFonts w:ascii="Arial" w:hAnsi="Arial" w:cs="Arial"/>
          <w:sz w:val="20"/>
          <w:szCs w:val="20"/>
          <w:lang w:val="es-ES"/>
        </w:rPr>
        <w:t xml:space="preserve"> información confidencial en el contexto del fomento de la innovación y la difusión de tecnología;  y</w:t>
      </w:r>
    </w:p>
    <w:p w:rsidR="00236E18" w:rsidRPr="006A3CA4" w:rsidRDefault="00236E18" w:rsidP="00236E18">
      <w:pPr>
        <w:tabs>
          <w:tab w:val="left" w:pos="1134"/>
        </w:tabs>
        <w:ind w:left="1134" w:hanging="567"/>
        <w:jc w:val="both"/>
        <w:rPr>
          <w:sz w:val="20"/>
          <w:lang w:val="es-ES_tradnl"/>
        </w:rPr>
      </w:pPr>
    </w:p>
    <w:p w:rsidR="00236E18" w:rsidRPr="00904F7F" w:rsidRDefault="00236E18" w:rsidP="00236E18">
      <w:pPr>
        <w:pStyle w:val="ListParagraph"/>
        <w:numPr>
          <w:ilvl w:val="1"/>
          <w:numId w:val="10"/>
        </w:numPr>
        <w:tabs>
          <w:tab w:val="left" w:pos="1134"/>
        </w:tabs>
        <w:ind w:left="1134" w:hanging="567"/>
        <w:jc w:val="both"/>
        <w:rPr>
          <w:rFonts w:ascii="Arial" w:hAnsi="Arial" w:cs="Arial"/>
          <w:sz w:val="20"/>
          <w:szCs w:val="20"/>
          <w:lang w:val="es-ES"/>
        </w:rPr>
      </w:pPr>
      <w:r w:rsidRPr="00904F7F">
        <w:rPr>
          <w:rFonts w:ascii="Arial" w:hAnsi="Arial" w:cs="Arial"/>
          <w:sz w:val="20"/>
          <w:szCs w:val="20"/>
          <w:lang w:val="es-ES"/>
        </w:rPr>
        <w:t>seguir proporcionando apoyo al Programa 9 (Países africanos, árabes, de América Latina y el Caribe, de Asia y el Pacífico y países menos adelantados) en relación con las cuestiones del Derecho de patentes, incluida la presentación de estudios pertinentes para las recomendaciones 12, 13 y 14, a petición del CDIP;  y</w:t>
      </w:r>
    </w:p>
    <w:p w:rsidR="00236E18" w:rsidRDefault="00236E18" w:rsidP="00236E18">
      <w:pPr>
        <w:tabs>
          <w:tab w:val="left" w:pos="1134"/>
        </w:tabs>
        <w:ind w:left="1134" w:hanging="567"/>
        <w:jc w:val="both"/>
        <w:rPr>
          <w:sz w:val="20"/>
        </w:rPr>
      </w:pPr>
    </w:p>
    <w:p w:rsidR="00236E18" w:rsidRPr="00932EC2" w:rsidRDefault="00236E18" w:rsidP="00236E18">
      <w:pPr>
        <w:numPr>
          <w:ilvl w:val="0"/>
          <w:numId w:val="4"/>
        </w:numPr>
        <w:jc w:val="both"/>
        <w:rPr>
          <w:shd w:val="clear" w:color="auto" w:fill="FFFF00"/>
        </w:rPr>
      </w:pPr>
      <w:r>
        <w:rPr>
          <w:sz w:val="20"/>
        </w:rPr>
        <w:t xml:space="preserve">El programa 1 </w:t>
      </w:r>
      <w:r w:rsidRPr="00C37CCD">
        <w:rPr>
          <w:sz w:val="20"/>
        </w:rPr>
        <w:t>colabora</w:t>
      </w:r>
      <w:r>
        <w:rPr>
          <w:sz w:val="20"/>
        </w:rPr>
        <w:t xml:space="preserve"> principalmente con los programas siguientes</w:t>
      </w:r>
      <w:r w:rsidRPr="00932EC2">
        <w:rPr>
          <w:sz w:val="20"/>
        </w:rPr>
        <w:t xml:space="preserve">: </w:t>
      </w:r>
    </w:p>
    <w:p w:rsidR="00236E18" w:rsidRPr="00904F7F" w:rsidRDefault="00236E18" w:rsidP="00236E18">
      <w:pPr>
        <w:ind w:left="720"/>
        <w:rPr>
          <w:shd w:val="clear" w:color="auto" w:fill="FFFF00"/>
        </w:rPr>
      </w:pPr>
    </w:p>
    <w:p w:rsidR="00236E18" w:rsidRPr="00904F7F" w:rsidRDefault="00236E18" w:rsidP="00236E18">
      <w:pPr>
        <w:ind w:left="720"/>
        <w:rPr>
          <w:shd w:val="clear" w:color="auto" w:fill="FFFF00"/>
        </w:rPr>
      </w:pPr>
    </w:p>
    <w:p w:rsidR="00236E18" w:rsidRPr="00904F7F" w:rsidRDefault="00236E18" w:rsidP="00236E18">
      <w:pPr>
        <w:ind w:left="720"/>
        <w:rPr>
          <w:shd w:val="clear" w:color="auto" w:fill="FFFF00"/>
        </w:rPr>
      </w:pPr>
      <w:r w:rsidRPr="00904F7F">
        <w:rPr>
          <w:noProof/>
          <w:lang w:val="en-US" w:eastAsia="en-US"/>
        </w:rPr>
        <w:drawing>
          <wp:anchor distT="0" distB="0" distL="114300" distR="114300" simplePos="0" relativeHeight="251659264" behindDoc="0" locked="0" layoutInCell="1" allowOverlap="1" wp14:anchorId="721CBC5D" wp14:editId="53732FEC">
            <wp:simplePos x="0" y="0"/>
            <wp:positionH relativeFrom="column">
              <wp:posOffset>-57150</wp:posOffset>
            </wp:positionH>
            <wp:positionV relativeFrom="paragraph">
              <wp:posOffset>22225</wp:posOffset>
            </wp:positionV>
            <wp:extent cx="5943600" cy="2124710"/>
            <wp:effectExtent l="0" t="57150" r="0" b="123190"/>
            <wp:wrapTopAndBottom/>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page">
              <wp14:pctWidth>0</wp14:pctWidth>
            </wp14:sizeRelH>
            <wp14:sizeRelV relativeFrom="page">
              <wp14:pctHeight>0</wp14:pctHeight>
            </wp14:sizeRelV>
          </wp:anchor>
        </w:drawing>
      </w:r>
    </w:p>
    <w:p w:rsidR="00236E18" w:rsidRPr="00904F7F" w:rsidRDefault="00236E18" w:rsidP="00236E18">
      <w:pPr>
        <w:ind w:left="720"/>
      </w:pPr>
    </w:p>
    <w:p w:rsidR="00236E18" w:rsidRPr="00904F7F" w:rsidRDefault="00236E18" w:rsidP="00236E18">
      <w:pPr>
        <w:keepNext/>
        <w:keepLines/>
        <w:rPr>
          <w:shd w:val="clear" w:color="auto" w:fill="FFFF00"/>
        </w:rPr>
      </w:pPr>
      <w:r w:rsidRPr="00904F7F">
        <w:lastRenderedPageBreak/>
        <w:t>PRINCIPALES RIESGOS Y ESTRATEGIAS DE MITIGACIÓN</w:t>
      </w:r>
    </w:p>
    <w:p w:rsidR="00236E18" w:rsidRPr="00904F7F" w:rsidRDefault="00236E18" w:rsidP="00236E18">
      <w:pPr>
        <w:keepNext/>
        <w:keepLines/>
        <w:autoSpaceDE w:val="0"/>
        <w:autoSpaceDN w:val="0"/>
        <w:adjustRightInd w:val="0"/>
        <w:ind w:right="-59"/>
        <w:jc w:val="center"/>
        <w:rPr>
          <w:rFonts w:eastAsia="Times New Roman"/>
          <w:i/>
          <w:sz w:val="20"/>
          <w:lang w:eastAsia="en-US"/>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961"/>
      </w:tblGrid>
      <w:tr w:rsidR="00236E18" w:rsidRPr="00904F7F" w:rsidTr="00294272">
        <w:trPr>
          <w:trHeight w:val="424"/>
        </w:trPr>
        <w:tc>
          <w:tcPr>
            <w:tcW w:w="4253" w:type="dxa"/>
            <w:tcBorders>
              <w:top w:val="single" w:sz="4" w:space="0" w:color="auto"/>
              <w:bottom w:val="single" w:sz="4" w:space="0" w:color="auto"/>
            </w:tcBorders>
            <w:shd w:val="clear" w:color="auto" w:fill="C6D9F1"/>
            <w:vAlign w:val="center"/>
          </w:tcPr>
          <w:p w:rsidR="00236E18" w:rsidRPr="00904F7F" w:rsidRDefault="00236E18" w:rsidP="00294272">
            <w:pPr>
              <w:keepNext/>
              <w:keepLines/>
              <w:jc w:val="center"/>
              <w:rPr>
                <w:rFonts w:eastAsia="Times New Roman"/>
                <w:b/>
                <w:bCs/>
                <w:sz w:val="18"/>
                <w:szCs w:val="18"/>
                <w:lang w:eastAsia="en-US"/>
              </w:rPr>
            </w:pPr>
            <w:r w:rsidRPr="00904F7F">
              <w:rPr>
                <w:rFonts w:eastAsia="Times New Roman"/>
                <w:b/>
                <w:bCs/>
                <w:sz w:val="18"/>
                <w:szCs w:val="18"/>
                <w:lang w:eastAsia="en-US"/>
              </w:rPr>
              <w:t>Riesgo</w:t>
            </w:r>
          </w:p>
        </w:tc>
        <w:tc>
          <w:tcPr>
            <w:tcW w:w="4961" w:type="dxa"/>
            <w:tcBorders>
              <w:top w:val="single" w:sz="4" w:space="0" w:color="auto"/>
              <w:bottom w:val="single" w:sz="4" w:space="0" w:color="auto"/>
            </w:tcBorders>
            <w:shd w:val="clear" w:color="auto" w:fill="C6D9F1"/>
            <w:vAlign w:val="center"/>
          </w:tcPr>
          <w:p w:rsidR="00236E18" w:rsidRPr="00904F7F" w:rsidRDefault="00236E18" w:rsidP="00294272">
            <w:pPr>
              <w:keepNext/>
              <w:keepLines/>
              <w:jc w:val="center"/>
              <w:rPr>
                <w:rFonts w:eastAsia="Times New Roman"/>
                <w:b/>
                <w:bCs/>
                <w:sz w:val="18"/>
                <w:szCs w:val="18"/>
                <w:lang w:eastAsia="en-US"/>
              </w:rPr>
            </w:pPr>
            <w:r w:rsidRPr="00904F7F">
              <w:rPr>
                <w:rFonts w:eastAsia="Times New Roman"/>
                <w:b/>
                <w:bCs/>
                <w:sz w:val="18"/>
                <w:szCs w:val="18"/>
                <w:lang w:eastAsia="en-US"/>
              </w:rPr>
              <w:t>Mitigación</w:t>
            </w:r>
          </w:p>
        </w:tc>
      </w:tr>
      <w:tr w:rsidR="00236E18" w:rsidRPr="00DA7EED" w:rsidTr="00294272">
        <w:trPr>
          <w:trHeight w:val="345"/>
        </w:trPr>
        <w:tc>
          <w:tcPr>
            <w:tcW w:w="4253" w:type="dxa"/>
            <w:tcBorders>
              <w:top w:val="single" w:sz="4" w:space="0" w:color="auto"/>
              <w:left w:val="single" w:sz="4" w:space="0" w:color="auto"/>
              <w:bottom w:val="nil"/>
              <w:right w:val="nil"/>
            </w:tcBorders>
            <w:shd w:val="clear" w:color="auto" w:fill="auto"/>
            <w:tcMar>
              <w:top w:w="113" w:type="dxa"/>
              <w:bottom w:w="113" w:type="dxa"/>
            </w:tcMar>
          </w:tcPr>
          <w:p w:rsidR="00236E18" w:rsidRPr="00904F7F" w:rsidRDefault="00236E18" w:rsidP="00294272">
            <w:pPr>
              <w:keepNext/>
              <w:keepLines/>
              <w:rPr>
                <w:rFonts w:eastAsia="Times New Roman"/>
                <w:sz w:val="16"/>
                <w:szCs w:val="16"/>
                <w:lang w:eastAsia="en-US"/>
              </w:rPr>
            </w:pPr>
            <w:r w:rsidRPr="00904F7F">
              <w:rPr>
                <w:rFonts w:eastAsia="Times New Roman"/>
                <w:sz w:val="16"/>
                <w:szCs w:val="16"/>
                <w:lang w:eastAsia="en-US"/>
              </w:rPr>
              <w:t>Menor pertinencia del Comité Permanente sobre el Derecho de Patentes como foro multilateral.</w:t>
            </w:r>
          </w:p>
        </w:tc>
        <w:tc>
          <w:tcPr>
            <w:tcW w:w="4961" w:type="dxa"/>
            <w:tcBorders>
              <w:top w:val="single" w:sz="4" w:space="0" w:color="auto"/>
              <w:left w:val="nil"/>
              <w:bottom w:val="nil"/>
              <w:right w:val="single" w:sz="4" w:space="0" w:color="auto"/>
            </w:tcBorders>
            <w:shd w:val="clear" w:color="auto" w:fill="auto"/>
            <w:tcMar>
              <w:top w:w="113" w:type="dxa"/>
              <w:bottom w:w="113" w:type="dxa"/>
            </w:tcMar>
          </w:tcPr>
          <w:p w:rsidR="00236E18" w:rsidRPr="00904F7F" w:rsidRDefault="00236E18" w:rsidP="00294272">
            <w:pPr>
              <w:keepNext/>
              <w:keepLines/>
              <w:rPr>
                <w:rFonts w:eastAsia="Times New Roman"/>
                <w:sz w:val="16"/>
                <w:szCs w:val="16"/>
                <w:lang w:eastAsia="en-US"/>
              </w:rPr>
            </w:pPr>
            <w:r w:rsidRPr="00904F7F">
              <w:rPr>
                <w:rFonts w:eastAsia="Times New Roman"/>
                <w:sz w:val="16"/>
                <w:szCs w:val="16"/>
                <w:lang w:eastAsia="en-US"/>
              </w:rPr>
              <w:t>Creación de un entorno imparcial, profesional e integrador para el diálogo entre los Estados miembros.</w:t>
            </w:r>
          </w:p>
        </w:tc>
      </w:tr>
      <w:tr w:rsidR="00236E18" w:rsidRPr="00DA7EED" w:rsidTr="00294272">
        <w:trPr>
          <w:trHeight w:val="409"/>
        </w:trPr>
        <w:tc>
          <w:tcPr>
            <w:tcW w:w="4253" w:type="dxa"/>
            <w:tcBorders>
              <w:top w:val="nil"/>
              <w:left w:val="single" w:sz="4" w:space="0" w:color="auto"/>
              <w:bottom w:val="single" w:sz="4" w:space="0" w:color="auto"/>
              <w:right w:val="nil"/>
            </w:tcBorders>
            <w:shd w:val="clear" w:color="auto" w:fill="auto"/>
            <w:tcMar>
              <w:top w:w="113" w:type="dxa"/>
              <w:bottom w:w="113" w:type="dxa"/>
            </w:tcMar>
          </w:tcPr>
          <w:p w:rsidR="00236E18" w:rsidRPr="00904F7F" w:rsidRDefault="00236E18" w:rsidP="00294272">
            <w:pPr>
              <w:keepNext/>
              <w:keepLines/>
              <w:rPr>
                <w:rFonts w:eastAsia="Times New Roman"/>
                <w:sz w:val="16"/>
                <w:szCs w:val="16"/>
                <w:lang w:eastAsia="en-US"/>
              </w:rPr>
            </w:pPr>
          </w:p>
        </w:tc>
        <w:tc>
          <w:tcPr>
            <w:tcW w:w="4961" w:type="dxa"/>
            <w:tcBorders>
              <w:top w:val="nil"/>
              <w:left w:val="nil"/>
              <w:bottom w:val="single" w:sz="4" w:space="0" w:color="auto"/>
              <w:right w:val="single" w:sz="4" w:space="0" w:color="auto"/>
            </w:tcBorders>
            <w:shd w:val="clear" w:color="auto" w:fill="auto"/>
            <w:tcMar>
              <w:top w:w="113" w:type="dxa"/>
              <w:bottom w:w="113" w:type="dxa"/>
            </w:tcMar>
          </w:tcPr>
          <w:p w:rsidR="00236E18" w:rsidRPr="00904F7F" w:rsidRDefault="00236E18" w:rsidP="00294272">
            <w:pPr>
              <w:keepNext/>
              <w:keepLines/>
              <w:rPr>
                <w:rFonts w:eastAsia="Times New Roman"/>
                <w:sz w:val="16"/>
                <w:szCs w:val="16"/>
                <w:lang w:eastAsia="en-US"/>
              </w:rPr>
            </w:pPr>
            <w:r w:rsidRPr="00904F7F">
              <w:rPr>
                <w:rFonts w:eastAsia="Times New Roman"/>
                <w:sz w:val="16"/>
                <w:szCs w:val="16"/>
                <w:lang w:eastAsia="en-US"/>
              </w:rPr>
              <w:t>Facilitación de información oportuna, precisa y sustancial para los Estados miembros.</w:t>
            </w:r>
          </w:p>
        </w:tc>
      </w:tr>
    </w:tbl>
    <w:p w:rsidR="00236E18" w:rsidRPr="00904F7F" w:rsidRDefault="00236E18" w:rsidP="00236E18">
      <w:pPr>
        <w:keepNext/>
        <w:keepLines/>
        <w:autoSpaceDE w:val="0"/>
        <w:autoSpaceDN w:val="0"/>
      </w:pPr>
    </w:p>
    <w:p w:rsidR="00236E18" w:rsidRPr="00904F7F" w:rsidRDefault="00236E18" w:rsidP="00236E18">
      <w:pPr>
        <w:keepNext/>
        <w:keepLines/>
        <w:autoSpaceDE w:val="0"/>
        <w:autoSpaceDN w:val="0"/>
      </w:pPr>
    </w:p>
    <w:p w:rsidR="00236E18" w:rsidRPr="00904F7F" w:rsidRDefault="00236E18" w:rsidP="00236E18">
      <w:pPr>
        <w:keepNext/>
        <w:keepLines/>
        <w:autoSpaceDE w:val="0"/>
        <w:autoSpaceDN w:val="0"/>
      </w:pPr>
      <w:r w:rsidRPr="00904F7F">
        <w:t>MARCO DE RESULTADOS</w:t>
      </w:r>
    </w:p>
    <w:p w:rsidR="00236E18" w:rsidRPr="00904F7F" w:rsidRDefault="00236E18" w:rsidP="00236E18">
      <w:pPr>
        <w:autoSpaceDE w:val="0"/>
        <w:autoSpaceDN w:val="0"/>
      </w:pPr>
    </w:p>
    <w:tbl>
      <w:tblPr>
        <w:tblW w:w="9229" w:type="dxa"/>
        <w:tblInd w:w="93" w:type="dxa"/>
        <w:tblLook w:val="04A0" w:firstRow="1" w:lastRow="0" w:firstColumn="1" w:lastColumn="0" w:noHBand="0" w:noVBand="1"/>
      </w:tblPr>
      <w:tblGrid>
        <w:gridCol w:w="2000"/>
        <w:gridCol w:w="2977"/>
        <w:gridCol w:w="2551"/>
        <w:gridCol w:w="1701"/>
      </w:tblGrid>
      <w:tr w:rsidR="00236E18" w:rsidRPr="00904F7F" w:rsidTr="00294272">
        <w:trPr>
          <w:trHeight w:val="465"/>
        </w:trPr>
        <w:tc>
          <w:tcPr>
            <w:tcW w:w="2000" w:type="dxa"/>
            <w:tcBorders>
              <w:top w:val="single" w:sz="4" w:space="0" w:color="auto"/>
              <w:left w:val="single" w:sz="4" w:space="0" w:color="auto"/>
              <w:bottom w:val="single" w:sz="4" w:space="0" w:color="auto"/>
              <w:right w:val="nil"/>
            </w:tcBorders>
            <w:shd w:val="clear" w:color="auto" w:fill="C6D9F1"/>
            <w:noWrap/>
            <w:vAlign w:val="center"/>
            <w:hideMark/>
          </w:tcPr>
          <w:p w:rsidR="00236E18" w:rsidRPr="00904F7F" w:rsidRDefault="00236E18" w:rsidP="00294272">
            <w:pPr>
              <w:jc w:val="center"/>
              <w:rPr>
                <w:rFonts w:eastAsia="Times New Roman"/>
                <w:b/>
                <w:bCs/>
                <w:sz w:val="18"/>
                <w:szCs w:val="18"/>
                <w:lang w:eastAsia="en-US"/>
              </w:rPr>
            </w:pPr>
            <w:r w:rsidRPr="00904F7F">
              <w:rPr>
                <w:rFonts w:eastAsia="Times New Roman"/>
                <w:b/>
                <w:bCs/>
                <w:sz w:val="18"/>
                <w:szCs w:val="18"/>
                <w:lang w:eastAsia="en-US"/>
              </w:rPr>
              <w:t>Resultados previstos</w:t>
            </w:r>
          </w:p>
        </w:tc>
        <w:tc>
          <w:tcPr>
            <w:tcW w:w="2977" w:type="dxa"/>
            <w:tcBorders>
              <w:top w:val="single" w:sz="4" w:space="0" w:color="auto"/>
              <w:left w:val="nil"/>
              <w:bottom w:val="single" w:sz="4" w:space="0" w:color="auto"/>
              <w:right w:val="nil"/>
            </w:tcBorders>
            <w:shd w:val="clear" w:color="auto" w:fill="C6D9F1"/>
            <w:noWrap/>
            <w:vAlign w:val="center"/>
            <w:hideMark/>
          </w:tcPr>
          <w:p w:rsidR="00236E18" w:rsidRPr="00904F7F" w:rsidRDefault="00236E18" w:rsidP="00294272">
            <w:pPr>
              <w:jc w:val="center"/>
              <w:rPr>
                <w:rFonts w:eastAsia="Times New Roman"/>
                <w:b/>
                <w:bCs/>
                <w:sz w:val="18"/>
                <w:szCs w:val="18"/>
                <w:lang w:eastAsia="en-US"/>
              </w:rPr>
            </w:pPr>
            <w:r w:rsidRPr="00904F7F">
              <w:rPr>
                <w:rFonts w:eastAsia="Times New Roman"/>
                <w:b/>
                <w:bCs/>
                <w:sz w:val="18"/>
                <w:szCs w:val="18"/>
                <w:lang w:eastAsia="en-US"/>
              </w:rPr>
              <w:t>Indicadores de rendimiento</w:t>
            </w:r>
          </w:p>
        </w:tc>
        <w:tc>
          <w:tcPr>
            <w:tcW w:w="2551" w:type="dxa"/>
            <w:tcBorders>
              <w:top w:val="single" w:sz="4" w:space="0" w:color="auto"/>
              <w:left w:val="nil"/>
              <w:bottom w:val="single" w:sz="4" w:space="0" w:color="auto"/>
              <w:right w:val="nil"/>
            </w:tcBorders>
            <w:shd w:val="clear" w:color="auto" w:fill="C6D9F1"/>
            <w:noWrap/>
            <w:vAlign w:val="center"/>
            <w:hideMark/>
          </w:tcPr>
          <w:p w:rsidR="00236E18" w:rsidRPr="00904F7F" w:rsidRDefault="00236E18" w:rsidP="00294272">
            <w:pPr>
              <w:ind w:left="176" w:hanging="142"/>
              <w:jc w:val="center"/>
              <w:rPr>
                <w:rFonts w:eastAsia="Times New Roman"/>
                <w:b/>
                <w:bCs/>
                <w:sz w:val="18"/>
                <w:szCs w:val="18"/>
                <w:lang w:eastAsia="en-US"/>
              </w:rPr>
            </w:pPr>
            <w:r w:rsidRPr="00904F7F">
              <w:rPr>
                <w:rFonts w:eastAsia="Times New Roman"/>
                <w:b/>
                <w:bCs/>
                <w:sz w:val="18"/>
                <w:szCs w:val="18"/>
                <w:lang w:eastAsia="en-US"/>
              </w:rPr>
              <w:t>Referencia</w:t>
            </w:r>
          </w:p>
        </w:tc>
        <w:tc>
          <w:tcPr>
            <w:tcW w:w="1701" w:type="dxa"/>
            <w:tcBorders>
              <w:top w:val="single" w:sz="4" w:space="0" w:color="auto"/>
              <w:left w:val="nil"/>
              <w:bottom w:val="single" w:sz="4" w:space="0" w:color="auto"/>
              <w:right w:val="single" w:sz="4" w:space="0" w:color="auto"/>
            </w:tcBorders>
            <w:shd w:val="clear" w:color="auto" w:fill="C6D9F1"/>
            <w:noWrap/>
            <w:vAlign w:val="center"/>
            <w:hideMark/>
          </w:tcPr>
          <w:p w:rsidR="00236E18" w:rsidRPr="00904F7F" w:rsidRDefault="00236E18" w:rsidP="00294272">
            <w:pPr>
              <w:jc w:val="center"/>
              <w:rPr>
                <w:rFonts w:eastAsia="Times New Roman"/>
                <w:b/>
                <w:bCs/>
                <w:sz w:val="18"/>
                <w:szCs w:val="18"/>
                <w:lang w:eastAsia="en-US"/>
              </w:rPr>
            </w:pPr>
            <w:r w:rsidRPr="00904F7F">
              <w:rPr>
                <w:rFonts w:eastAsia="Times New Roman"/>
                <w:b/>
                <w:bCs/>
                <w:sz w:val="18"/>
                <w:szCs w:val="18"/>
                <w:lang w:eastAsia="en-US"/>
              </w:rPr>
              <w:t>Objetivos</w:t>
            </w:r>
          </w:p>
        </w:tc>
      </w:tr>
      <w:tr w:rsidR="00236E18" w:rsidRPr="00DA7EED" w:rsidTr="00294272">
        <w:trPr>
          <w:trHeight w:val="1124"/>
        </w:trPr>
        <w:tc>
          <w:tcPr>
            <w:tcW w:w="2000" w:type="dxa"/>
            <w:vMerge w:val="restart"/>
            <w:tcBorders>
              <w:top w:val="single" w:sz="4" w:space="0" w:color="auto"/>
              <w:left w:val="single" w:sz="4" w:space="0" w:color="auto"/>
              <w:right w:val="nil"/>
            </w:tcBorders>
            <w:shd w:val="clear" w:color="000000" w:fill="FFFFFF"/>
            <w:hideMark/>
          </w:tcPr>
          <w:p w:rsidR="00236E18" w:rsidRPr="00904F7F" w:rsidRDefault="00236E18" w:rsidP="00294272">
            <w:pPr>
              <w:rPr>
                <w:rFonts w:eastAsia="Times New Roman"/>
                <w:sz w:val="16"/>
                <w:szCs w:val="16"/>
                <w:lang w:eastAsia="en-US"/>
              </w:rPr>
            </w:pPr>
            <w:r>
              <w:rPr>
                <w:rFonts w:eastAsia="Times New Roman"/>
                <w:sz w:val="16"/>
                <w:szCs w:val="16"/>
                <w:lang w:eastAsia="en-US"/>
              </w:rPr>
              <w:br/>
              <w:t>I.1</w:t>
            </w:r>
            <w:r w:rsidRPr="00904F7F">
              <w:rPr>
                <w:rFonts w:eastAsia="Times New Roman"/>
                <w:sz w:val="16"/>
                <w:szCs w:val="16"/>
                <w:lang w:eastAsia="en-US"/>
              </w:rPr>
              <w:t xml:space="preserve"> </w:t>
            </w:r>
            <w:r>
              <w:rPr>
                <w:rFonts w:eastAsia="Times New Roman"/>
                <w:sz w:val="16"/>
                <w:szCs w:val="16"/>
                <w:lang w:eastAsia="en-US"/>
              </w:rPr>
              <w:t xml:space="preserve"> </w:t>
            </w:r>
            <w:r w:rsidRPr="00C7553F">
              <w:rPr>
                <w:sz w:val="16"/>
                <w:szCs w:val="16"/>
                <w:lang w:val="es-ES_tradnl"/>
              </w:rPr>
              <w:t>Mayor cooperación entre los Estados miembros en la elaboración de marcos normativos internacionales de P.I. equilibrados</w:t>
            </w:r>
          </w:p>
        </w:tc>
        <w:tc>
          <w:tcPr>
            <w:tcW w:w="2977" w:type="dxa"/>
            <w:tcBorders>
              <w:top w:val="single" w:sz="4" w:space="0" w:color="auto"/>
              <w:left w:val="nil"/>
              <w:right w:val="nil"/>
            </w:tcBorders>
            <w:shd w:val="clear" w:color="000000" w:fill="FFFFFF"/>
            <w:hideMark/>
          </w:tcPr>
          <w:p w:rsidR="00236E18" w:rsidRPr="00904F7F" w:rsidRDefault="00236E18" w:rsidP="00294272">
            <w:pPr>
              <w:ind w:right="176"/>
              <w:rPr>
                <w:rFonts w:eastAsia="Times New Roman"/>
                <w:sz w:val="16"/>
                <w:szCs w:val="16"/>
                <w:lang w:eastAsia="en-US"/>
              </w:rPr>
            </w:pPr>
            <w:r w:rsidRPr="00904F7F">
              <w:rPr>
                <w:rFonts w:eastAsia="Times New Roman"/>
                <w:sz w:val="16"/>
                <w:szCs w:val="16"/>
                <w:lang w:eastAsia="en-US"/>
              </w:rPr>
              <w:br/>
              <w:t>Avances en la ejecución de la labor acordada con arreglo al programa del SCP</w:t>
            </w:r>
          </w:p>
        </w:tc>
        <w:tc>
          <w:tcPr>
            <w:tcW w:w="2551" w:type="dxa"/>
            <w:tcBorders>
              <w:top w:val="single" w:sz="4" w:space="0" w:color="auto"/>
              <w:left w:val="nil"/>
              <w:right w:val="nil"/>
            </w:tcBorders>
            <w:shd w:val="clear" w:color="000000" w:fill="FFFFFF"/>
            <w:hideMark/>
          </w:tcPr>
          <w:p w:rsidR="00236E18" w:rsidRPr="00904F7F" w:rsidRDefault="00236E18" w:rsidP="00294272">
            <w:pPr>
              <w:rPr>
                <w:rFonts w:eastAsia="Times New Roman"/>
                <w:sz w:val="16"/>
                <w:szCs w:val="16"/>
                <w:lang w:eastAsia="en-US"/>
              </w:rPr>
            </w:pPr>
            <w:r w:rsidRPr="00904F7F">
              <w:rPr>
                <w:rFonts w:eastAsia="Times New Roman"/>
                <w:sz w:val="16"/>
                <w:szCs w:val="16"/>
                <w:lang w:eastAsia="en-US"/>
              </w:rPr>
              <w:br/>
              <w:t>Estado actual de la labor en el Comité según consta en el informe de la 21ª sesión del SCP</w:t>
            </w:r>
            <w:r w:rsidRPr="00904F7F">
              <w:rPr>
                <w:rFonts w:eastAsia="Times New Roman"/>
                <w:sz w:val="16"/>
                <w:szCs w:val="16"/>
                <w:lang w:eastAsia="en-US"/>
              </w:rPr>
              <w:br/>
            </w:r>
          </w:p>
        </w:tc>
        <w:tc>
          <w:tcPr>
            <w:tcW w:w="1701" w:type="dxa"/>
            <w:tcBorders>
              <w:top w:val="single" w:sz="4" w:space="0" w:color="auto"/>
              <w:left w:val="nil"/>
              <w:right w:val="single" w:sz="4" w:space="0" w:color="auto"/>
            </w:tcBorders>
            <w:shd w:val="clear" w:color="000000" w:fill="FFFFFF"/>
            <w:hideMark/>
          </w:tcPr>
          <w:p w:rsidR="00236E18" w:rsidRPr="00904F7F" w:rsidRDefault="00236E18" w:rsidP="00294272">
            <w:pPr>
              <w:ind w:left="176"/>
              <w:rPr>
                <w:rFonts w:eastAsia="Times New Roman"/>
                <w:sz w:val="16"/>
                <w:szCs w:val="16"/>
                <w:lang w:eastAsia="en-US"/>
              </w:rPr>
            </w:pPr>
            <w:r w:rsidRPr="00904F7F">
              <w:rPr>
                <w:rFonts w:eastAsia="Times New Roman"/>
                <w:sz w:val="16"/>
                <w:szCs w:val="16"/>
                <w:lang w:eastAsia="en-US"/>
              </w:rPr>
              <w:br/>
              <w:t xml:space="preserve">Resultados acordados en el SCP </w:t>
            </w:r>
          </w:p>
        </w:tc>
      </w:tr>
      <w:tr w:rsidR="00236E18" w:rsidRPr="00904F7F" w:rsidTr="00294272">
        <w:trPr>
          <w:trHeight w:val="909"/>
        </w:trPr>
        <w:tc>
          <w:tcPr>
            <w:tcW w:w="2000" w:type="dxa"/>
            <w:vMerge/>
            <w:tcBorders>
              <w:left w:val="single" w:sz="4" w:space="0" w:color="auto"/>
              <w:right w:val="nil"/>
            </w:tcBorders>
            <w:vAlign w:val="center"/>
            <w:hideMark/>
          </w:tcPr>
          <w:p w:rsidR="00236E18" w:rsidRPr="00904F7F" w:rsidRDefault="00236E18" w:rsidP="00294272">
            <w:pPr>
              <w:rPr>
                <w:rFonts w:eastAsia="Times New Roman"/>
                <w:sz w:val="16"/>
                <w:szCs w:val="16"/>
                <w:lang w:eastAsia="en-US"/>
              </w:rPr>
            </w:pPr>
          </w:p>
        </w:tc>
        <w:tc>
          <w:tcPr>
            <w:tcW w:w="2977" w:type="dxa"/>
            <w:tcBorders>
              <w:left w:val="nil"/>
              <w:right w:val="nil"/>
            </w:tcBorders>
            <w:shd w:val="clear" w:color="000000" w:fill="FFFFFF"/>
            <w:hideMark/>
          </w:tcPr>
          <w:p w:rsidR="00236E18" w:rsidRPr="00904F7F" w:rsidRDefault="00236E18" w:rsidP="00294272">
            <w:pPr>
              <w:ind w:right="176"/>
              <w:rPr>
                <w:rFonts w:eastAsia="Times New Roman"/>
                <w:sz w:val="16"/>
                <w:szCs w:val="16"/>
                <w:lang w:eastAsia="en-US"/>
              </w:rPr>
            </w:pPr>
            <w:r w:rsidRPr="00904F7F">
              <w:rPr>
                <w:rFonts w:eastAsia="Times New Roman"/>
                <w:sz w:val="16"/>
                <w:szCs w:val="16"/>
                <w:lang w:eastAsia="en-US"/>
              </w:rPr>
              <w:t>Nivel de satisfacción de los participantes en talleres/seminarios específicos organizados sobre cuestiones específicas relacionadas con las patentes</w:t>
            </w:r>
          </w:p>
          <w:p w:rsidR="00236E18" w:rsidRPr="00904F7F" w:rsidRDefault="00236E18" w:rsidP="00294272">
            <w:pPr>
              <w:ind w:right="176"/>
              <w:rPr>
                <w:rFonts w:eastAsia="Times New Roman"/>
                <w:sz w:val="16"/>
                <w:szCs w:val="16"/>
                <w:lang w:eastAsia="en-US"/>
              </w:rPr>
            </w:pPr>
          </w:p>
        </w:tc>
        <w:tc>
          <w:tcPr>
            <w:tcW w:w="2551" w:type="dxa"/>
            <w:tcBorders>
              <w:left w:val="nil"/>
              <w:right w:val="nil"/>
            </w:tcBorders>
            <w:shd w:val="clear" w:color="000000" w:fill="FFFFFF"/>
            <w:hideMark/>
          </w:tcPr>
          <w:p w:rsidR="00236E18" w:rsidRPr="00904F7F" w:rsidRDefault="00236E18" w:rsidP="00294272">
            <w:pPr>
              <w:rPr>
                <w:rFonts w:eastAsia="Times New Roman"/>
                <w:sz w:val="16"/>
                <w:szCs w:val="16"/>
                <w:lang w:eastAsia="en-US"/>
              </w:rPr>
            </w:pPr>
            <w:r w:rsidRPr="00904F7F">
              <w:rPr>
                <w:rFonts w:eastAsia="Times New Roman"/>
                <w:sz w:val="16"/>
                <w:szCs w:val="16"/>
                <w:lang w:eastAsia="en-US"/>
              </w:rPr>
              <w:t xml:space="preserve">92,75% - encuesta de 2014 </w:t>
            </w:r>
          </w:p>
        </w:tc>
        <w:tc>
          <w:tcPr>
            <w:tcW w:w="1701" w:type="dxa"/>
            <w:tcBorders>
              <w:left w:val="nil"/>
              <w:right w:val="single" w:sz="4" w:space="0" w:color="auto"/>
            </w:tcBorders>
            <w:shd w:val="clear" w:color="000000" w:fill="FFFFFF"/>
            <w:hideMark/>
          </w:tcPr>
          <w:p w:rsidR="00236E18" w:rsidRPr="00904F7F" w:rsidRDefault="00236E18" w:rsidP="00294272">
            <w:pPr>
              <w:ind w:left="176"/>
              <w:rPr>
                <w:rFonts w:eastAsia="Times New Roman"/>
                <w:sz w:val="16"/>
                <w:szCs w:val="16"/>
                <w:lang w:eastAsia="en-US"/>
              </w:rPr>
            </w:pPr>
            <w:r w:rsidRPr="00904F7F">
              <w:rPr>
                <w:rFonts w:eastAsia="Times New Roman"/>
                <w:sz w:val="16"/>
                <w:szCs w:val="16"/>
                <w:lang w:eastAsia="en-US"/>
              </w:rPr>
              <w:t>90%</w:t>
            </w:r>
          </w:p>
        </w:tc>
      </w:tr>
      <w:tr w:rsidR="00236E18" w:rsidRPr="00904F7F" w:rsidTr="00294272">
        <w:trPr>
          <w:trHeight w:val="716"/>
        </w:trPr>
        <w:tc>
          <w:tcPr>
            <w:tcW w:w="2000" w:type="dxa"/>
            <w:vMerge/>
            <w:tcBorders>
              <w:left w:val="single" w:sz="4" w:space="0" w:color="auto"/>
              <w:right w:val="nil"/>
            </w:tcBorders>
            <w:vAlign w:val="center"/>
            <w:hideMark/>
          </w:tcPr>
          <w:p w:rsidR="00236E18" w:rsidRPr="00904F7F" w:rsidRDefault="00236E18" w:rsidP="00294272">
            <w:pPr>
              <w:rPr>
                <w:rFonts w:eastAsia="Times New Roman"/>
                <w:sz w:val="16"/>
                <w:szCs w:val="16"/>
                <w:lang w:eastAsia="en-US"/>
              </w:rPr>
            </w:pPr>
          </w:p>
        </w:tc>
        <w:tc>
          <w:tcPr>
            <w:tcW w:w="2977" w:type="dxa"/>
            <w:tcBorders>
              <w:left w:val="nil"/>
              <w:right w:val="nil"/>
            </w:tcBorders>
            <w:shd w:val="clear" w:color="000000" w:fill="FFFFFF"/>
            <w:hideMark/>
          </w:tcPr>
          <w:p w:rsidR="00236E18" w:rsidRPr="00904F7F" w:rsidRDefault="00236E18" w:rsidP="00294272">
            <w:pPr>
              <w:ind w:right="176"/>
              <w:rPr>
                <w:rFonts w:eastAsia="Times New Roman"/>
                <w:sz w:val="16"/>
                <w:szCs w:val="16"/>
                <w:lang w:eastAsia="en-US"/>
              </w:rPr>
            </w:pPr>
            <w:r w:rsidRPr="00904F7F">
              <w:rPr>
                <w:rFonts w:eastAsia="Times New Roman"/>
                <w:sz w:val="16"/>
                <w:szCs w:val="16"/>
                <w:lang w:eastAsia="en-US"/>
              </w:rPr>
              <w:t>Nivel de satisfacción de los participantes en el Programa de Asistencia a Inventores (PAI)</w:t>
            </w:r>
          </w:p>
          <w:p w:rsidR="00236E18" w:rsidRPr="00904F7F" w:rsidRDefault="00236E18" w:rsidP="00294272">
            <w:pPr>
              <w:ind w:right="176"/>
              <w:rPr>
                <w:rFonts w:eastAsia="Times New Roman"/>
                <w:sz w:val="16"/>
                <w:szCs w:val="16"/>
                <w:lang w:eastAsia="en-US"/>
              </w:rPr>
            </w:pPr>
          </w:p>
        </w:tc>
        <w:tc>
          <w:tcPr>
            <w:tcW w:w="2551" w:type="dxa"/>
            <w:tcBorders>
              <w:left w:val="nil"/>
              <w:right w:val="nil"/>
            </w:tcBorders>
            <w:shd w:val="clear" w:color="000000" w:fill="FFFFFF"/>
            <w:hideMark/>
          </w:tcPr>
          <w:p w:rsidR="00236E18" w:rsidRPr="00904F7F" w:rsidRDefault="00236E18" w:rsidP="00294272">
            <w:pPr>
              <w:rPr>
                <w:rFonts w:eastAsia="Times New Roman"/>
                <w:sz w:val="16"/>
                <w:szCs w:val="16"/>
                <w:lang w:eastAsia="en-US"/>
              </w:rPr>
            </w:pPr>
            <w:proofErr w:type="spellStart"/>
            <w:r w:rsidRPr="00904F7F">
              <w:rPr>
                <w:rFonts w:eastAsia="Times New Roman"/>
                <w:sz w:val="16"/>
                <w:szCs w:val="16"/>
                <w:lang w:eastAsia="en-US"/>
              </w:rPr>
              <w:t>n.d</w:t>
            </w:r>
            <w:proofErr w:type="spellEnd"/>
            <w:r w:rsidRPr="00904F7F">
              <w:rPr>
                <w:rFonts w:eastAsia="Times New Roman"/>
                <w:sz w:val="16"/>
                <w:szCs w:val="16"/>
                <w:lang w:eastAsia="en-US"/>
              </w:rPr>
              <w:t>.</w:t>
            </w:r>
          </w:p>
        </w:tc>
        <w:tc>
          <w:tcPr>
            <w:tcW w:w="1701" w:type="dxa"/>
            <w:tcBorders>
              <w:left w:val="nil"/>
              <w:right w:val="single" w:sz="4" w:space="0" w:color="auto"/>
            </w:tcBorders>
            <w:shd w:val="clear" w:color="000000" w:fill="FFFFFF"/>
            <w:hideMark/>
          </w:tcPr>
          <w:p w:rsidR="00236E18" w:rsidRPr="00904F7F" w:rsidRDefault="00236E18" w:rsidP="00294272">
            <w:pPr>
              <w:ind w:left="176"/>
              <w:rPr>
                <w:rFonts w:eastAsia="Times New Roman"/>
                <w:sz w:val="16"/>
                <w:szCs w:val="16"/>
                <w:lang w:eastAsia="en-US"/>
              </w:rPr>
            </w:pPr>
            <w:r w:rsidRPr="00904F7F">
              <w:rPr>
                <w:rFonts w:eastAsia="Times New Roman"/>
                <w:sz w:val="16"/>
                <w:szCs w:val="16"/>
                <w:lang w:eastAsia="en-US"/>
              </w:rPr>
              <w:t>90%</w:t>
            </w:r>
          </w:p>
        </w:tc>
      </w:tr>
      <w:tr w:rsidR="00236E18" w:rsidRPr="00904F7F" w:rsidTr="00294272">
        <w:trPr>
          <w:trHeight w:val="1251"/>
        </w:trPr>
        <w:tc>
          <w:tcPr>
            <w:tcW w:w="2000" w:type="dxa"/>
            <w:vMerge w:val="restart"/>
            <w:tcBorders>
              <w:left w:val="single" w:sz="4" w:space="0" w:color="auto"/>
              <w:right w:val="nil"/>
            </w:tcBorders>
            <w:shd w:val="clear" w:color="000000" w:fill="FFFFFF"/>
            <w:hideMark/>
          </w:tcPr>
          <w:p w:rsidR="00236E18" w:rsidRPr="00C7553F" w:rsidRDefault="00236E18" w:rsidP="00294272">
            <w:pPr>
              <w:rPr>
                <w:rFonts w:eastAsia="Times New Roman"/>
                <w:sz w:val="16"/>
                <w:szCs w:val="16"/>
                <w:lang w:eastAsia="en-US"/>
              </w:rPr>
            </w:pPr>
            <w:r w:rsidRPr="00C7553F">
              <w:rPr>
                <w:rFonts w:eastAsia="Times New Roman"/>
                <w:sz w:val="16"/>
                <w:szCs w:val="16"/>
                <w:lang w:eastAsia="en-US"/>
              </w:rPr>
              <w:t xml:space="preserve">I.2  </w:t>
            </w:r>
            <w:r w:rsidRPr="00C7553F">
              <w:rPr>
                <w:sz w:val="16"/>
                <w:szCs w:val="16"/>
                <w:lang w:val="es-ES_tradnl"/>
              </w:rPr>
              <w:t>Marcos de P.I. adaptados y equilibrados en el ámbito legislativo, regulador y de política</w:t>
            </w:r>
          </w:p>
        </w:tc>
        <w:tc>
          <w:tcPr>
            <w:tcW w:w="2977" w:type="dxa"/>
            <w:tcBorders>
              <w:left w:val="nil"/>
              <w:right w:val="nil"/>
            </w:tcBorders>
            <w:shd w:val="clear" w:color="000000" w:fill="FFFFFF"/>
            <w:hideMark/>
          </w:tcPr>
          <w:p w:rsidR="00236E18" w:rsidRPr="00904F7F" w:rsidRDefault="00236E18" w:rsidP="00294272">
            <w:pPr>
              <w:ind w:right="176"/>
              <w:rPr>
                <w:rFonts w:eastAsia="Times New Roman"/>
                <w:sz w:val="16"/>
                <w:szCs w:val="16"/>
                <w:lang w:eastAsia="en-US"/>
              </w:rPr>
            </w:pPr>
            <w:r w:rsidRPr="00904F7F">
              <w:rPr>
                <w:rFonts w:eastAsia="Times New Roman"/>
                <w:sz w:val="16"/>
                <w:szCs w:val="16"/>
                <w:lang w:eastAsia="en-US"/>
              </w:rPr>
              <w:t>Porcentaje de usuarios que consideran útil la información proporcionada en relación con los principios y prácticas jurídicos de los sistemas de patentes, modelos de utilidad y circuitos integrados, como, por ejemplo, las flexibilidades.</w:t>
            </w:r>
          </w:p>
          <w:p w:rsidR="00236E18" w:rsidRPr="00904F7F" w:rsidRDefault="00236E18" w:rsidP="00294272">
            <w:pPr>
              <w:ind w:right="176"/>
              <w:rPr>
                <w:rFonts w:eastAsia="Times New Roman"/>
                <w:sz w:val="16"/>
                <w:szCs w:val="16"/>
                <w:lang w:eastAsia="en-US"/>
              </w:rPr>
            </w:pPr>
          </w:p>
        </w:tc>
        <w:tc>
          <w:tcPr>
            <w:tcW w:w="2551" w:type="dxa"/>
            <w:tcBorders>
              <w:left w:val="nil"/>
              <w:right w:val="nil"/>
            </w:tcBorders>
            <w:shd w:val="clear" w:color="000000" w:fill="FFFFFF"/>
            <w:hideMark/>
          </w:tcPr>
          <w:p w:rsidR="00236E18" w:rsidRPr="00904F7F" w:rsidRDefault="00236E18" w:rsidP="00294272">
            <w:pPr>
              <w:rPr>
                <w:rFonts w:eastAsia="Times New Roman"/>
                <w:sz w:val="16"/>
                <w:szCs w:val="16"/>
                <w:lang w:eastAsia="en-US"/>
              </w:rPr>
            </w:pPr>
            <w:r w:rsidRPr="00904F7F">
              <w:rPr>
                <w:rFonts w:eastAsia="Times New Roman"/>
                <w:sz w:val="16"/>
                <w:szCs w:val="16"/>
                <w:lang w:eastAsia="en-US"/>
              </w:rPr>
              <w:t xml:space="preserve">7 países/participantes (85,7%) – encuesta de 2014 </w:t>
            </w:r>
          </w:p>
        </w:tc>
        <w:tc>
          <w:tcPr>
            <w:tcW w:w="1701" w:type="dxa"/>
            <w:tcBorders>
              <w:left w:val="nil"/>
              <w:right w:val="single" w:sz="4" w:space="0" w:color="auto"/>
            </w:tcBorders>
            <w:shd w:val="clear" w:color="000000" w:fill="FFFFFF"/>
            <w:hideMark/>
          </w:tcPr>
          <w:p w:rsidR="00236E18" w:rsidRPr="00904F7F" w:rsidRDefault="00236E18" w:rsidP="00294272">
            <w:pPr>
              <w:ind w:left="176"/>
              <w:rPr>
                <w:rFonts w:eastAsia="Times New Roman"/>
                <w:sz w:val="16"/>
                <w:szCs w:val="16"/>
                <w:lang w:eastAsia="en-US"/>
              </w:rPr>
            </w:pPr>
            <w:r w:rsidRPr="00904F7F">
              <w:rPr>
                <w:rFonts w:eastAsia="Times New Roman"/>
                <w:sz w:val="16"/>
                <w:szCs w:val="16"/>
                <w:lang w:eastAsia="en-US"/>
              </w:rPr>
              <w:t>90%</w:t>
            </w:r>
          </w:p>
        </w:tc>
      </w:tr>
      <w:tr w:rsidR="00236E18" w:rsidRPr="00904F7F" w:rsidTr="00294272">
        <w:trPr>
          <w:trHeight w:val="639"/>
        </w:trPr>
        <w:tc>
          <w:tcPr>
            <w:tcW w:w="2000" w:type="dxa"/>
            <w:vMerge/>
            <w:tcBorders>
              <w:left w:val="single" w:sz="4" w:space="0" w:color="auto"/>
              <w:right w:val="nil"/>
            </w:tcBorders>
            <w:vAlign w:val="center"/>
            <w:hideMark/>
          </w:tcPr>
          <w:p w:rsidR="00236E18" w:rsidRPr="00C7553F" w:rsidRDefault="00236E18" w:rsidP="00294272">
            <w:pPr>
              <w:rPr>
                <w:rFonts w:eastAsia="Times New Roman"/>
                <w:sz w:val="16"/>
                <w:szCs w:val="16"/>
                <w:lang w:eastAsia="en-US"/>
              </w:rPr>
            </w:pPr>
          </w:p>
        </w:tc>
        <w:tc>
          <w:tcPr>
            <w:tcW w:w="2977" w:type="dxa"/>
            <w:tcBorders>
              <w:left w:val="nil"/>
              <w:right w:val="nil"/>
            </w:tcBorders>
            <w:shd w:val="clear" w:color="000000" w:fill="FFFFFF"/>
            <w:hideMark/>
          </w:tcPr>
          <w:p w:rsidR="00236E18" w:rsidRPr="00904F7F" w:rsidRDefault="00236E18" w:rsidP="00294272">
            <w:pPr>
              <w:ind w:right="176"/>
              <w:rPr>
                <w:rFonts w:eastAsia="Times New Roman"/>
                <w:sz w:val="16"/>
                <w:szCs w:val="16"/>
                <w:lang w:eastAsia="en-US"/>
              </w:rPr>
            </w:pPr>
            <w:r w:rsidRPr="00904F7F">
              <w:rPr>
                <w:rFonts w:eastAsia="Times New Roman"/>
                <w:sz w:val="16"/>
                <w:szCs w:val="16"/>
                <w:lang w:eastAsia="en-US"/>
              </w:rPr>
              <w:t>Número y porcentaje de Estados miembros satisfechos con el asesoramiento legislativo y de política proporcionado.</w:t>
            </w:r>
          </w:p>
          <w:p w:rsidR="00236E18" w:rsidRPr="00904F7F" w:rsidRDefault="00236E18" w:rsidP="00294272">
            <w:pPr>
              <w:ind w:right="176"/>
              <w:rPr>
                <w:rFonts w:eastAsia="Times New Roman"/>
                <w:sz w:val="16"/>
                <w:szCs w:val="16"/>
                <w:lang w:eastAsia="en-US"/>
              </w:rPr>
            </w:pPr>
            <w:r w:rsidRPr="00904F7F">
              <w:rPr>
                <w:rFonts w:eastAsia="Times New Roman"/>
                <w:sz w:val="16"/>
                <w:szCs w:val="16"/>
                <w:lang w:eastAsia="en-US"/>
              </w:rPr>
              <w:t xml:space="preserve"> </w:t>
            </w:r>
          </w:p>
        </w:tc>
        <w:tc>
          <w:tcPr>
            <w:tcW w:w="2551" w:type="dxa"/>
            <w:tcBorders>
              <w:left w:val="nil"/>
              <w:right w:val="nil"/>
            </w:tcBorders>
            <w:shd w:val="clear" w:color="000000" w:fill="FFFFFF"/>
            <w:hideMark/>
          </w:tcPr>
          <w:p w:rsidR="00236E18" w:rsidRPr="00904F7F" w:rsidRDefault="00236E18" w:rsidP="00294272">
            <w:pPr>
              <w:rPr>
                <w:rFonts w:eastAsia="Times New Roman"/>
                <w:sz w:val="16"/>
                <w:szCs w:val="16"/>
                <w:lang w:eastAsia="en-US"/>
              </w:rPr>
            </w:pPr>
            <w:r w:rsidRPr="00904F7F">
              <w:rPr>
                <w:rFonts w:eastAsia="Times New Roman"/>
                <w:sz w:val="16"/>
                <w:szCs w:val="16"/>
                <w:lang w:eastAsia="en-US"/>
              </w:rPr>
              <w:t xml:space="preserve">8 Estados miembros (90%) – encuesta de 2014 </w:t>
            </w:r>
          </w:p>
        </w:tc>
        <w:tc>
          <w:tcPr>
            <w:tcW w:w="1701" w:type="dxa"/>
            <w:tcBorders>
              <w:left w:val="nil"/>
              <w:right w:val="single" w:sz="4" w:space="0" w:color="auto"/>
            </w:tcBorders>
            <w:shd w:val="clear" w:color="000000" w:fill="FFFFFF"/>
            <w:hideMark/>
          </w:tcPr>
          <w:p w:rsidR="00236E18" w:rsidRPr="00904F7F" w:rsidRDefault="00236E18" w:rsidP="00294272">
            <w:pPr>
              <w:ind w:left="176"/>
              <w:rPr>
                <w:rFonts w:eastAsia="Times New Roman"/>
                <w:sz w:val="16"/>
                <w:szCs w:val="16"/>
                <w:lang w:eastAsia="en-US"/>
              </w:rPr>
            </w:pPr>
            <w:r w:rsidRPr="00904F7F">
              <w:rPr>
                <w:rFonts w:eastAsia="Times New Roman"/>
                <w:sz w:val="16"/>
                <w:szCs w:val="16"/>
                <w:lang w:eastAsia="en-US"/>
              </w:rPr>
              <w:t>90%</w:t>
            </w:r>
          </w:p>
        </w:tc>
      </w:tr>
      <w:tr w:rsidR="00236E18" w:rsidRPr="00AC12CF" w:rsidTr="00294272">
        <w:trPr>
          <w:trHeight w:val="1407"/>
        </w:trPr>
        <w:tc>
          <w:tcPr>
            <w:tcW w:w="2000" w:type="dxa"/>
            <w:tcBorders>
              <w:left w:val="single" w:sz="4" w:space="0" w:color="auto"/>
              <w:bottom w:val="single" w:sz="4" w:space="0" w:color="auto"/>
              <w:right w:val="nil"/>
            </w:tcBorders>
            <w:shd w:val="clear" w:color="000000" w:fill="FFFFFF"/>
            <w:hideMark/>
          </w:tcPr>
          <w:p w:rsidR="00236E18" w:rsidRPr="00C7553F" w:rsidRDefault="00236E18" w:rsidP="00294272">
            <w:pPr>
              <w:rPr>
                <w:rFonts w:eastAsia="Times New Roman"/>
                <w:sz w:val="16"/>
                <w:szCs w:val="16"/>
                <w:lang w:eastAsia="en-US"/>
              </w:rPr>
            </w:pPr>
            <w:r w:rsidRPr="00C7553F">
              <w:rPr>
                <w:rFonts w:eastAsia="Times New Roman"/>
                <w:sz w:val="16"/>
                <w:szCs w:val="16"/>
                <w:lang w:eastAsia="en-US"/>
              </w:rPr>
              <w:t xml:space="preserve">I.4  </w:t>
            </w:r>
            <w:r w:rsidRPr="00C7553F">
              <w:rPr>
                <w:sz w:val="16"/>
                <w:szCs w:val="16"/>
                <w:lang w:val="es-ES_tradnl"/>
              </w:rPr>
              <w:t>Interés creciente en que la OMPI sea un foro de análisis de cuestiones relacionadas con la protección internacional de la</w:t>
            </w:r>
            <w:r>
              <w:rPr>
                <w:sz w:val="16"/>
                <w:szCs w:val="16"/>
                <w:lang w:val="es-ES_tradnl"/>
              </w:rPr>
              <w:t>s patentes, los modelos de utilidad, los esquemas e trazado (topografías) de circuitos integrados y la</w:t>
            </w:r>
            <w:r w:rsidRPr="00C7553F">
              <w:rPr>
                <w:sz w:val="16"/>
                <w:szCs w:val="16"/>
                <w:lang w:val="es-ES_tradnl"/>
              </w:rPr>
              <w:t xml:space="preserve"> información confidencial</w:t>
            </w:r>
          </w:p>
        </w:tc>
        <w:tc>
          <w:tcPr>
            <w:tcW w:w="2977" w:type="dxa"/>
            <w:tcBorders>
              <w:left w:val="nil"/>
              <w:bottom w:val="single" w:sz="4" w:space="0" w:color="auto"/>
              <w:right w:val="nil"/>
            </w:tcBorders>
            <w:shd w:val="clear" w:color="000000" w:fill="FFFFFF"/>
            <w:hideMark/>
          </w:tcPr>
          <w:p w:rsidR="00236E18" w:rsidRPr="00904F7F" w:rsidRDefault="00236E18" w:rsidP="00294272">
            <w:pPr>
              <w:ind w:right="176"/>
              <w:rPr>
                <w:rFonts w:eastAsia="Times New Roman"/>
                <w:sz w:val="16"/>
                <w:szCs w:val="16"/>
                <w:lang w:eastAsia="en-US"/>
              </w:rPr>
            </w:pPr>
            <w:r w:rsidRPr="00904F7F">
              <w:rPr>
                <w:rFonts w:eastAsia="Times New Roman"/>
                <w:sz w:val="16"/>
                <w:szCs w:val="16"/>
                <w:lang w:eastAsia="en-US"/>
              </w:rPr>
              <w:t xml:space="preserve">Porcentaje de usuarios que consideran útil la información proporcionada en relación con los principios y prácticas jurídicos sobre la protección de </w:t>
            </w:r>
            <w:r>
              <w:rPr>
                <w:sz w:val="16"/>
                <w:szCs w:val="16"/>
                <w:lang w:val="es-ES_tradnl"/>
              </w:rPr>
              <w:t>los modelos de utilidad, los esquemas e trazado (topografías) de circuitos integrados y la</w:t>
            </w:r>
            <w:r w:rsidRPr="00C7553F">
              <w:rPr>
                <w:sz w:val="16"/>
                <w:szCs w:val="16"/>
                <w:lang w:val="es-ES_tradnl"/>
              </w:rPr>
              <w:t xml:space="preserve"> información confidencial</w:t>
            </w:r>
          </w:p>
          <w:p w:rsidR="00236E18" w:rsidRPr="00904F7F" w:rsidRDefault="00236E18" w:rsidP="00294272">
            <w:pPr>
              <w:ind w:right="176"/>
              <w:rPr>
                <w:rFonts w:eastAsia="Times New Roman"/>
                <w:sz w:val="16"/>
                <w:szCs w:val="16"/>
                <w:lang w:eastAsia="en-US"/>
              </w:rPr>
            </w:pPr>
          </w:p>
        </w:tc>
        <w:tc>
          <w:tcPr>
            <w:tcW w:w="2551" w:type="dxa"/>
            <w:tcBorders>
              <w:left w:val="nil"/>
              <w:bottom w:val="single" w:sz="4" w:space="0" w:color="auto"/>
              <w:right w:val="nil"/>
            </w:tcBorders>
            <w:shd w:val="clear" w:color="000000" w:fill="FFFFFF"/>
            <w:hideMark/>
          </w:tcPr>
          <w:p w:rsidR="00236E18" w:rsidRPr="00904F7F" w:rsidRDefault="00236E18" w:rsidP="00294272">
            <w:pPr>
              <w:rPr>
                <w:rFonts w:eastAsia="Times New Roman"/>
                <w:sz w:val="16"/>
                <w:szCs w:val="16"/>
                <w:lang w:eastAsia="en-US"/>
              </w:rPr>
            </w:pPr>
            <w:proofErr w:type="spellStart"/>
            <w:r w:rsidRPr="00904F7F">
              <w:rPr>
                <w:rFonts w:eastAsia="Times New Roman"/>
                <w:sz w:val="16"/>
                <w:szCs w:val="16"/>
                <w:lang w:eastAsia="en-US"/>
              </w:rPr>
              <w:t>n.d</w:t>
            </w:r>
            <w:proofErr w:type="spellEnd"/>
            <w:r w:rsidRPr="00904F7F">
              <w:rPr>
                <w:rFonts w:eastAsia="Times New Roman"/>
                <w:sz w:val="16"/>
                <w:szCs w:val="16"/>
                <w:lang w:eastAsia="en-US"/>
              </w:rPr>
              <w:t>.</w:t>
            </w:r>
          </w:p>
        </w:tc>
        <w:tc>
          <w:tcPr>
            <w:tcW w:w="1701" w:type="dxa"/>
            <w:tcBorders>
              <w:left w:val="nil"/>
              <w:bottom w:val="single" w:sz="4" w:space="0" w:color="auto"/>
              <w:right w:val="single" w:sz="4" w:space="0" w:color="auto"/>
            </w:tcBorders>
            <w:shd w:val="clear" w:color="000000" w:fill="FFFFFF"/>
            <w:hideMark/>
          </w:tcPr>
          <w:p w:rsidR="00236E18" w:rsidRPr="00AC12CF" w:rsidRDefault="00236E18" w:rsidP="00294272">
            <w:pPr>
              <w:ind w:left="176"/>
              <w:rPr>
                <w:rFonts w:eastAsia="Times New Roman"/>
                <w:sz w:val="16"/>
                <w:szCs w:val="16"/>
                <w:lang w:eastAsia="en-US"/>
              </w:rPr>
            </w:pPr>
            <w:r w:rsidRPr="00904F7F">
              <w:rPr>
                <w:rFonts w:eastAsia="Times New Roman"/>
                <w:sz w:val="16"/>
                <w:szCs w:val="16"/>
                <w:lang w:eastAsia="en-US"/>
              </w:rPr>
              <w:t>90%</w:t>
            </w:r>
          </w:p>
        </w:tc>
      </w:tr>
    </w:tbl>
    <w:p w:rsidR="00236E18" w:rsidRPr="00AC12CF" w:rsidRDefault="00236E18" w:rsidP="00236E18">
      <w:pPr>
        <w:autoSpaceDE w:val="0"/>
        <w:autoSpaceDN w:val="0"/>
      </w:pPr>
    </w:p>
    <w:p w:rsidR="00236E18" w:rsidRDefault="00236E18" w:rsidP="00236E18">
      <w:pPr>
        <w:rPr>
          <w:szCs w:val="22"/>
          <w:lang w:val="en-US"/>
        </w:rPr>
      </w:pPr>
    </w:p>
    <w:p w:rsidR="00236E18" w:rsidRPr="007A7915" w:rsidRDefault="00236E18" w:rsidP="00236E18">
      <w:pPr>
        <w:keepNext/>
        <w:autoSpaceDE w:val="0"/>
        <w:autoSpaceDN w:val="0"/>
        <w:rPr>
          <w:highlight w:val="lightGray"/>
          <w:lang w:val="en-US"/>
        </w:rPr>
      </w:pPr>
      <w:r w:rsidRPr="007A7915">
        <w:rPr>
          <w:lang w:val="es-ES_tradnl"/>
        </w:rPr>
        <w:lastRenderedPageBreak/>
        <w:t>RECURSOS PARA EL PROGRAMA 1</w:t>
      </w:r>
    </w:p>
    <w:p w:rsidR="00236E18" w:rsidRPr="00141392" w:rsidRDefault="00236E18" w:rsidP="00236E18">
      <w:pPr>
        <w:keepNext/>
        <w:autoSpaceDE w:val="0"/>
        <w:autoSpaceDN w:val="0"/>
        <w:rPr>
          <w:highlight w:val="yellow"/>
          <w:lang w:val="en-US"/>
        </w:rPr>
      </w:pPr>
    </w:p>
    <w:p w:rsidR="00236E18" w:rsidRPr="007A7915" w:rsidRDefault="00236E18" w:rsidP="00236E18">
      <w:pPr>
        <w:keepNext/>
        <w:autoSpaceDE w:val="0"/>
        <w:autoSpaceDN w:val="0"/>
        <w:jc w:val="both"/>
        <w:rPr>
          <w:sz w:val="20"/>
        </w:rPr>
      </w:pPr>
      <w:r w:rsidRPr="005A79AE">
        <w:rPr>
          <w:sz w:val="20"/>
          <w:lang w:val="es-ES_tradnl"/>
        </w:rPr>
        <w:t>1.5</w:t>
      </w:r>
      <w:r w:rsidRPr="005A79AE">
        <w:rPr>
          <w:sz w:val="20"/>
          <w:lang w:val="es-ES_tradnl"/>
        </w:rPr>
        <w:tab/>
        <w:t>El leve aumento de la dotación global de recursos para el programa 1 en 2016/17 con respecto al</w:t>
      </w:r>
      <w:r>
        <w:rPr>
          <w:sz w:val="20"/>
          <w:lang w:val="es-ES_tradnl"/>
        </w:rPr>
        <w:t xml:space="preserve"> presupuesto de 2014/15 tras</w:t>
      </w:r>
      <w:r w:rsidRPr="00EB43D0">
        <w:rPr>
          <w:sz w:val="20"/>
          <w:lang w:val="es-ES_tradnl"/>
        </w:rPr>
        <w:t xml:space="preserve"> las transferencias, se debe a:  i) la transferencia de la responsabilidad en materia de redacción de solicitudes de patentes del programa 30 (Apoyo a las pymes y a la capacidad empresarial) a este programa, y ii) las actividades que atañen a la solución de los problemas relativos a la protección de</w:t>
      </w:r>
      <w:r>
        <w:rPr>
          <w:sz w:val="20"/>
          <w:lang w:val="es-ES_tradnl"/>
        </w:rPr>
        <w:t xml:space="preserve"> </w:t>
      </w:r>
      <w:r w:rsidRPr="00932EC2">
        <w:rPr>
          <w:sz w:val="20"/>
        </w:rPr>
        <w:t>la</w:t>
      </w:r>
      <w:r>
        <w:rPr>
          <w:sz w:val="20"/>
        </w:rPr>
        <w:t>s patentes, los modelos de utilidad, los esquemas de trazado (topografías) de circuitos integrados y la</w:t>
      </w:r>
      <w:r w:rsidRPr="00932EC2">
        <w:rPr>
          <w:sz w:val="20"/>
        </w:rPr>
        <w:t xml:space="preserve"> información confidencial</w:t>
      </w:r>
      <w:r w:rsidRPr="00EB43D0">
        <w:rPr>
          <w:sz w:val="20"/>
          <w:lang w:val="es-ES_tradnl"/>
        </w:rPr>
        <w:t xml:space="preserve"> en el marco de la promoción de la innovación y la difusión de tecnología.</w:t>
      </w:r>
    </w:p>
    <w:p w:rsidR="00236E18" w:rsidRPr="00CA4E6C" w:rsidRDefault="00236E18" w:rsidP="00236E18">
      <w:pPr>
        <w:keepNext/>
        <w:keepLines/>
        <w:autoSpaceDE w:val="0"/>
        <w:autoSpaceDN w:val="0"/>
        <w:jc w:val="center"/>
        <w:rPr>
          <w:b/>
          <w:sz w:val="20"/>
          <w:highlight w:val="lightGray"/>
        </w:rPr>
      </w:pPr>
    </w:p>
    <w:p w:rsidR="00236E18" w:rsidRPr="00CA4E6C" w:rsidRDefault="00236E18" w:rsidP="00236E18">
      <w:pPr>
        <w:keepNext/>
        <w:keepLines/>
        <w:autoSpaceDE w:val="0"/>
        <w:autoSpaceDN w:val="0"/>
        <w:jc w:val="center"/>
        <w:rPr>
          <w:b/>
          <w:sz w:val="20"/>
          <w:highlight w:val="lightGray"/>
        </w:rPr>
      </w:pPr>
    </w:p>
    <w:p w:rsidR="00236E18" w:rsidRPr="00CA4E6C" w:rsidRDefault="00236E18" w:rsidP="00236E18">
      <w:pPr>
        <w:keepNext/>
        <w:keepLines/>
        <w:autoSpaceDE w:val="0"/>
        <w:autoSpaceDN w:val="0"/>
        <w:jc w:val="center"/>
        <w:rPr>
          <w:b/>
          <w:sz w:val="20"/>
          <w:lang w:val="es-ES_tradnl"/>
        </w:rPr>
      </w:pPr>
      <w:r w:rsidRPr="00CA4E6C">
        <w:rPr>
          <w:b/>
          <w:sz w:val="20"/>
          <w:lang w:val="es-ES_tradnl"/>
        </w:rPr>
        <w:t>Programa 1</w:t>
      </w:r>
      <w:proofErr w:type="gramStart"/>
      <w:r w:rsidRPr="00CA4E6C">
        <w:rPr>
          <w:b/>
          <w:sz w:val="20"/>
          <w:lang w:val="es-ES_tradnl"/>
        </w:rPr>
        <w:t>:  Recursos</w:t>
      </w:r>
      <w:proofErr w:type="gramEnd"/>
      <w:r w:rsidRPr="00CA4E6C">
        <w:rPr>
          <w:b/>
          <w:sz w:val="20"/>
          <w:lang w:val="es-ES_tradnl"/>
        </w:rPr>
        <w:t xml:space="preserve"> por resultado</w:t>
      </w:r>
    </w:p>
    <w:p w:rsidR="00236E18" w:rsidRPr="00CA4E6C" w:rsidRDefault="00236E18" w:rsidP="00236E18">
      <w:pPr>
        <w:keepNext/>
        <w:keepLines/>
        <w:autoSpaceDE w:val="0"/>
        <w:autoSpaceDN w:val="0"/>
        <w:jc w:val="center"/>
        <w:rPr>
          <w:i/>
          <w:sz w:val="20"/>
          <w:lang w:val="es-ES_tradnl"/>
        </w:rPr>
      </w:pPr>
      <w:r w:rsidRPr="00CA4E6C">
        <w:rPr>
          <w:i/>
          <w:sz w:val="20"/>
          <w:lang w:val="es-ES_tradnl"/>
        </w:rPr>
        <w:t>(</w:t>
      </w:r>
      <w:proofErr w:type="gramStart"/>
      <w:r w:rsidRPr="00CA4E6C">
        <w:rPr>
          <w:i/>
          <w:sz w:val="20"/>
          <w:lang w:val="es-ES_tradnl"/>
        </w:rPr>
        <w:t>en</w:t>
      </w:r>
      <w:proofErr w:type="gramEnd"/>
      <w:r w:rsidRPr="00CA4E6C">
        <w:rPr>
          <w:i/>
          <w:sz w:val="20"/>
          <w:lang w:val="es-ES_tradnl"/>
        </w:rPr>
        <w:t xml:space="preserve"> miles de francos suizos) </w:t>
      </w:r>
    </w:p>
    <w:p w:rsidR="00236E18" w:rsidRPr="00372D5D" w:rsidRDefault="00236E18" w:rsidP="00236E18">
      <w:pPr>
        <w:keepNext/>
        <w:keepLines/>
        <w:autoSpaceDE w:val="0"/>
        <w:autoSpaceDN w:val="0"/>
        <w:rPr>
          <w:color w:val="808080"/>
          <w:highlight w:val="lightGray"/>
          <w:lang w:val="es-ES_tradnl"/>
        </w:rPr>
      </w:pPr>
    </w:p>
    <w:p w:rsidR="00236E18" w:rsidRPr="00EE0781" w:rsidRDefault="00236E18" w:rsidP="00236E18">
      <w:pPr>
        <w:keepNext/>
        <w:keepLines/>
        <w:tabs>
          <w:tab w:val="left" w:pos="142"/>
          <w:tab w:val="left" w:pos="9214"/>
        </w:tabs>
        <w:autoSpaceDE w:val="0"/>
        <w:autoSpaceDN w:val="0"/>
        <w:jc w:val="center"/>
        <w:rPr>
          <w:b/>
          <w:sz w:val="20"/>
          <w:highlight w:val="lightGray"/>
        </w:rPr>
      </w:pPr>
      <w:r w:rsidRPr="00510672">
        <w:rPr>
          <w:noProof/>
          <w:lang w:val="en-US" w:eastAsia="en-US"/>
        </w:rPr>
        <w:drawing>
          <wp:inline distT="0" distB="0" distL="0" distR="0" wp14:anchorId="1814CA13" wp14:editId="70990304">
            <wp:extent cx="5676900" cy="239204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76900" cy="2392045"/>
                    </a:xfrm>
                    <a:prstGeom prst="rect">
                      <a:avLst/>
                    </a:prstGeom>
                    <a:noFill/>
                    <a:ln>
                      <a:noFill/>
                    </a:ln>
                  </pic:spPr>
                </pic:pic>
              </a:graphicData>
            </a:graphic>
          </wp:inline>
        </w:drawing>
      </w:r>
    </w:p>
    <w:p w:rsidR="00236E18" w:rsidRPr="00EE0781" w:rsidRDefault="00236E18" w:rsidP="00236E18">
      <w:pPr>
        <w:keepNext/>
        <w:keepLines/>
        <w:autoSpaceDE w:val="0"/>
        <w:autoSpaceDN w:val="0"/>
        <w:rPr>
          <w:b/>
          <w:sz w:val="20"/>
          <w:highlight w:val="lightGray"/>
        </w:rPr>
      </w:pPr>
    </w:p>
    <w:p w:rsidR="00236E18" w:rsidRPr="00EE0781" w:rsidRDefault="00236E18" w:rsidP="00236E18">
      <w:pPr>
        <w:autoSpaceDE w:val="0"/>
        <w:autoSpaceDN w:val="0"/>
        <w:rPr>
          <w:b/>
          <w:sz w:val="20"/>
          <w:highlight w:val="lightGray"/>
        </w:rPr>
      </w:pPr>
    </w:p>
    <w:p w:rsidR="00236E18" w:rsidRPr="00CA4E6C" w:rsidRDefault="00236E18" w:rsidP="00236E18">
      <w:pPr>
        <w:keepNext/>
        <w:keepLines/>
        <w:autoSpaceDE w:val="0"/>
        <w:autoSpaceDN w:val="0"/>
        <w:jc w:val="center"/>
        <w:rPr>
          <w:b/>
          <w:sz w:val="20"/>
          <w:lang w:val="es-ES_tradnl"/>
        </w:rPr>
      </w:pPr>
      <w:r w:rsidRPr="00CA4E6C">
        <w:rPr>
          <w:b/>
          <w:sz w:val="20"/>
          <w:lang w:val="es-ES_tradnl"/>
        </w:rPr>
        <w:lastRenderedPageBreak/>
        <w:t>Programa 1</w:t>
      </w:r>
      <w:proofErr w:type="gramStart"/>
      <w:r w:rsidRPr="00CA4E6C">
        <w:rPr>
          <w:b/>
          <w:sz w:val="20"/>
          <w:lang w:val="es-ES_tradnl"/>
        </w:rPr>
        <w:t>:  Recursos</w:t>
      </w:r>
      <w:proofErr w:type="gramEnd"/>
      <w:r w:rsidRPr="00CA4E6C">
        <w:rPr>
          <w:b/>
          <w:sz w:val="20"/>
          <w:lang w:val="es-ES_tradnl"/>
        </w:rPr>
        <w:t xml:space="preserve"> por objeto de gasto</w:t>
      </w:r>
    </w:p>
    <w:p w:rsidR="00236E18" w:rsidRPr="00CA4E6C" w:rsidRDefault="00236E18" w:rsidP="00236E18">
      <w:pPr>
        <w:keepNext/>
        <w:keepLines/>
        <w:autoSpaceDE w:val="0"/>
        <w:autoSpaceDN w:val="0"/>
        <w:jc w:val="center"/>
        <w:rPr>
          <w:i/>
          <w:sz w:val="20"/>
          <w:highlight w:val="lightGray"/>
          <w:lang w:val="es-ES_tradnl"/>
        </w:rPr>
      </w:pPr>
      <w:r w:rsidRPr="00CA4E6C">
        <w:rPr>
          <w:i/>
          <w:sz w:val="20"/>
          <w:lang w:val="es-ES_tradnl"/>
        </w:rPr>
        <w:t>(</w:t>
      </w:r>
      <w:proofErr w:type="gramStart"/>
      <w:r w:rsidRPr="00CA4E6C">
        <w:rPr>
          <w:i/>
          <w:sz w:val="20"/>
          <w:lang w:val="es-ES_tradnl"/>
        </w:rPr>
        <w:t>en</w:t>
      </w:r>
      <w:proofErr w:type="gramEnd"/>
      <w:r w:rsidRPr="00CA4E6C">
        <w:rPr>
          <w:i/>
          <w:sz w:val="20"/>
          <w:lang w:val="es-ES_tradnl"/>
        </w:rPr>
        <w:t xml:space="preserve"> miles de francos suizos)</w:t>
      </w:r>
    </w:p>
    <w:p w:rsidR="00236E18" w:rsidRPr="00372D5D" w:rsidRDefault="00236E18" w:rsidP="00236E18">
      <w:pPr>
        <w:keepNext/>
        <w:keepLines/>
        <w:autoSpaceDE w:val="0"/>
        <w:autoSpaceDN w:val="0"/>
        <w:jc w:val="center"/>
        <w:rPr>
          <w:i/>
          <w:sz w:val="20"/>
          <w:highlight w:val="lightGray"/>
          <w:lang w:val="es-ES_tradnl"/>
        </w:rPr>
      </w:pPr>
    </w:p>
    <w:p w:rsidR="00236E18" w:rsidRPr="00372D5D" w:rsidRDefault="00236E18" w:rsidP="00236E18">
      <w:pPr>
        <w:keepNext/>
        <w:keepLines/>
        <w:autoSpaceDE w:val="0"/>
        <w:autoSpaceDN w:val="0"/>
        <w:rPr>
          <w:highlight w:val="lightGray"/>
          <w:lang w:val="es-ES_tradnl"/>
        </w:rPr>
      </w:pPr>
      <w:r>
        <w:rPr>
          <w:noProof/>
          <w:lang w:val="en-US" w:eastAsia="en-US"/>
        </w:rPr>
        <w:drawing>
          <wp:inline distT="0" distB="0" distL="0" distR="0" wp14:anchorId="4AD4B1CE" wp14:editId="5CB61542">
            <wp:extent cx="5940425" cy="6229196"/>
            <wp:effectExtent l="0" t="0" r="3175" b="635"/>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6229196"/>
                    </a:xfrm>
                    <a:prstGeom prst="rect">
                      <a:avLst/>
                    </a:prstGeom>
                    <a:noFill/>
                    <a:ln>
                      <a:noFill/>
                    </a:ln>
                  </pic:spPr>
                </pic:pic>
              </a:graphicData>
            </a:graphic>
          </wp:inline>
        </w:drawing>
      </w:r>
    </w:p>
    <w:p w:rsidR="00236E18" w:rsidRPr="009B4A78" w:rsidRDefault="00236E18" w:rsidP="00236E18">
      <w:pPr>
        <w:ind w:hanging="142"/>
        <w:jc w:val="center"/>
        <w:rPr>
          <w:sz w:val="20"/>
        </w:rPr>
      </w:pPr>
    </w:p>
    <w:p w:rsidR="00236E18" w:rsidRDefault="00236E18" w:rsidP="00236E18">
      <w:pPr>
        <w:rPr>
          <w:szCs w:val="22"/>
          <w:lang w:val="en-US"/>
        </w:rPr>
      </w:pPr>
      <w:r>
        <w:rPr>
          <w:szCs w:val="22"/>
          <w:lang w:val="en-US"/>
        </w:rPr>
        <w:br w:type="page"/>
      </w:r>
    </w:p>
    <w:p w:rsidR="00236E18" w:rsidRPr="00F4741E" w:rsidRDefault="00236E18" w:rsidP="00236E18">
      <w:pPr>
        <w:pStyle w:val="StyleStyleHeading3ComplexItalicLatin12pt"/>
        <w:ind w:left="1985" w:hanging="1985"/>
        <w:rPr>
          <w:lang w:val="es-ES"/>
        </w:rPr>
      </w:pPr>
      <w:bookmarkStart w:id="38" w:name="_Toc431573540"/>
      <w:bookmarkStart w:id="39" w:name="_Toc431573941"/>
      <w:r w:rsidRPr="00F4741E">
        <w:rPr>
          <w:lang w:val="es-ES"/>
        </w:rPr>
        <w:lastRenderedPageBreak/>
        <w:t>PROGRAMA 2</w:t>
      </w:r>
      <w:r w:rsidRPr="00F4741E">
        <w:rPr>
          <w:lang w:val="es-ES"/>
        </w:rPr>
        <w:tab/>
        <w:t>MARCAS, DI</w:t>
      </w:r>
      <w:r>
        <w:rPr>
          <w:lang w:val="es-ES"/>
        </w:rPr>
        <w:t xml:space="preserve">SEÑOS </w:t>
      </w:r>
      <w:r w:rsidRPr="00F4741E">
        <w:rPr>
          <w:lang w:val="es-ES"/>
        </w:rPr>
        <w:t>INDUSTRIALES E INDICACIONES GEOGRÁFICAS</w:t>
      </w:r>
      <w:bookmarkEnd w:id="38"/>
      <w:bookmarkEnd w:id="39"/>
    </w:p>
    <w:p w:rsidR="00236E18" w:rsidRDefault="00236E18" w:rsidP="00236E18"/>
    <w:p w:rsidR="00236E18" w:rsidRDefault="00236E18" w:rsidP="00236E18"/>
    <w:p w:rsidR="00236E18" w:rsidRPr="00B059CA" w:rsidRDefault="00236E18" w:rsidP="00236E18">
      <w:r w:rsidRPr="00B059CA">
        <w:t>CONTEXTO DE PLANIFICACIÓN</w:t>
      </w:r>
    </w:p>
    <w:p w:rsidR="00236E18" w:rsidRPr="00B059CA" w:rsidRDefault="00236E18" w:rsidP="00236E18">
      <w:pPr>
        <w:jc w:val="both"/>
      </w:pPr>
    </w:p>
    <w:p w:rsidR="00236E18" w:rsidRPr="00B059CA" w:rsidRDefault="00236E18" w:rsidP="00236E18">
      <w:pPr>
        <w:numPr>
          <w:ilvl w:val="0"/>
          <w:numId w:val="11"/>
        </w:numPr>
        <w:jc w:val="both"/>
        <w:rPr>
          <w:sz w:val="20"/>
        </w:rPr>
      </w:pPr>
      <w:r w:rsidRPr="00B059CA">
        <w:rPr>
          <w:sz w:val="20"/>
        </w:rPr>
        <w:t>Las marcas son una de las principales fuentes de ventajas competitivas.  Resultan esenciales para la comercialización de nuevos productos (incluidos los servicios) e informan a  los consumidores sobre los productos dentro de una economía que evoluciona con rapidez.  Cada vez son más los estudios económicos en los que se pone de manifiesto el papel que juegan las marcas en la innovación y la importancia económica que tienen a nivel general.  Asimismo, la importancia de los diseños industriales en la economía mundial aumenta de forma constante y cada vez hay más pruebas de su función como fuentes de innovación y crecimiento económico.  Ante esta perspectiva, los encargados de formular políticas tienen que examinar constantemente el marco jurídico de protección de las marcas y los diseños industriales a fin de estimular la innovación y el rendimiento empresarial y dar una respuesta bien fundamentada a los nuevos desafíos que vayan surgiendo.  El programa 2 persigue la obtención de resultados que permitan a la OMPI avanzar hacia una evolución equilibrada del marco internacional de las marcas y los diseños industriales, y que permitan asimismo establecer un entorno jurídico que dé respuesta a las necesidades y los requisitos específicos de los sectores de marcas y de diseños industriales de los Estados miembros.</w:t>
      </w:r>
    </w:p>
    <w:p w:rsidR="00236E18" w:rsidRDefault="00236E18" w:rsidP="00236E18">
      <w:pPr>
        <w:jc w:val="both"/>
        <w:rPr>
          <w:sz w:val="20"/>
        </w:rPr>
      </w:pPr>
    </w:p>
    <w:p w:rsidR="00236E18" w:rsidRPr="00B059CA" w:rsidRDefault="00236E18" w:rsidP="00236E18">
      <w:pPr>
        <w:jc w:val="both"/>
        <w:rPr>
          <w:sz w:val="20"/>
        </w:rPr>
      </w:pPr>
    </w:p>
    <w:p w:rsidR="00236E18" w:rsidRPr="00B059CA" w:rsidRDefault="00236E18" w:rsidP="00236E18">
      <w:r w:rsidRPr="00B059CA">
        <w:t>ESTRATEGIAS DE EJECUCIÓN</w:t>
      </w:r>
    </w:p>
    <w:p w:rsidR="00236E18" w:rsidRPr="00B059CA" w:rsidRDefault="00236E18" w:rsidP="00236E18">
      <w:pPr>
        <w:jc w:val="both"/>
      </w:pPr>
    </w:p>
    <w:p w:rsidR="00236E18" w:rsidRPr="00B059CA" w:rsidRDefault="00236E18" w:rsidP="00236E18">
      <w:pPr>
        <w:numPr>
          <w:ilvl w:val="0"/>
          <w:numId w:val="11"/>
        </w:numPr>
        <w:jc w:val="both"/>
        <w:rPr>
          <w:sz w:val="20"/>
        </w:rPr>
      </w:pPr>
      <w:r w:rsidRPr="00B059CA">
        <w:rPr>
          <w:sz w:val="20"/>
        </w:rPr>
        <w:t xml:space="preserve">El objetivo principal del programa es avanzar en el establecimiento de un marco jurídico internacional equilibrado en el ámbito de las marcas y los diseños industriales que favorezca la innovación y el desarrollo económico.  Con respecto al establecimiento de un marco internacional que rija los procedimientos de registro en el ámbito de los diseños industriales, el Comité Permanente sobre el Derecho de Marcas, Diseños Industriales e Indicaciones Geográficas (SCT) ha conseguido avanzar de forma significativa en la elaboración de un proyecto de tratado sobre el Derecho de los diseños con el fin de simplificar los procedimientos de registro.  Con sujeción a la decisión adoptada por la Asamblea General de la OMPI, esta labor podría dar lugar a la celebración de una conferencia diplomática para la adopción de un tratado sobre el Derecho de los diseños durante el bienio.  </w:t>
      </w:r>
      <w:r w:rsidRPr="00B059CA">
        <w:rPr>
          <w:sz w:val="20"/>
          <w:highlight w:val="white"/>
        </w:rPr>
        <w:t xml:space="preserve">Además, el SCT </w:t>
      </w:r>
      <w:r w:rsidRPr="00B059CA">
        <w:rPr>
          <w:sz w:val="20"/>
        </w:rPr>
        <w:t>continuará ocupándose de la labor que le encomienden los Estados miembros en cuestiones acordadas y concretas en el ámbito de las marcas, los diseños industriales y las indicaciones geográficas.  El SCT continuará supervisando la evolución del Sistema de Nombres de Dominio de Internet (DNS) (en colaboración con el programa 7) y en el ámbito de las denominaciones comunes (DCI) para sustancias farmacéuticas.  Se prestará la debida atención a la categoría B de las recomendaciones d</w:t>
      </w:r>
      <w:r>
        <w:rPr>
          <w:sz w:val="20"/>
        </w:rPr>
        <w:t>e la A.D. (recomendaciones 15 a </w:t>
      </w:r>
      <w:r w:rsidRPr="00B059CA">
        <w:rPr>
          <w:sz w:val="20"/>
        </w:rPr>
        <w:t>17 y 20 a 22), en el sentido de tener debidamente en cuenta el grado de desarrollo de los distintos Estados miembros de la OMPI;  las flexibilidades que pueden ofrecer interés a los países en desarrollo y los PMA;  el punto de vista de todos los Estados miembros y demás partes interesadas;  y los objetivos de desarrollo convenidos en el marco del Sistema de las Naciones Unidas.  La Organización prestará el debido apoyo jurídico y administrativo a los Estados miembros y determinadas organizaciones intergubernamentales internacionales en lo que respecta a la protección de algunos de sus emblemas, en virtud del Artículo 6</w:t>
      </w:r>
      <w:r w:rsidRPr="00B059CA">
        <w:rPr>
          <w:i/>
          <w:sz w:val="20"/>
        </w:rPr>
        <w:t>ter</w:t>
      </w:r>
      <w:r w:rsidRPr="00B059CA">
        <w:rPr>
          <w:sz w:val="20"/>
        </w:rPr>
        <w:t xml:space="preserve"> del Convenio de París.</w:t>
      </w:r>
    </w:p>
    <w:p w:rsidR="00236E18" w:rsidRPr="00B059CA" w:rsidRDefault="00236E18" w:rsidP="00236E18">
      <w:pPr>
        <w:jc w:val="both"/>
      </w:pPr>
    </w:p>
    <w:p w:rsidR="00236E18" w:rsidRPr="00B059CA" w:rsidRDefault="00236E18" w:rsidP="00236E18">
      <w:pPr>
        <w:numPr>
          <w:ilvl w:val="0"/>
          <w:numId w:val="11"/>
        </w:numPr>
        <w:jc w:val="both"/>
        <w:rPr>
          <w:sz w:val="20"/>
        </w:rPr>
      </w:pPr>
      <w:r w:rsidRPr="00B059CA">
        <w:rPr>
          <w:sz w:val="20"/>
          <w:highlight w:val="white"/>
        </w:rPr>
        <w:t xml:space="preserve">La ejecución del programa conllevará la organización de sesiones del SCT.  </w:t>
      </w:r>
      <w:r w:rsidRPr="00B059CA">
        <w:rPr>
          <w:sz w:val="20"/>
        </w:rPr>
        <w:t>En concordancia con la recomendación 15 de la A.D., las sesiones del SCT estarán abiertas a la participación de todos los Estados miembros y observadores acreditados.  La Secretaría elaborará los documentos de trabajo y los presentará en los seis idiomas oficiales de NN.UU.</w:t>
      </w:r>
    </w:p>
    <w:p w:rsidR="00236E18" w:rsidRPr="00B059CA" w:rsidRDefault="00236E18" w:rsidP="00236E18">
      <w:pPr>
        <w:jc w:val="both"/>
      </w:pPr>
    </w:p>
    <w:p w:rsidR="00236E18" w:rsidRPr="00B059CA" w:rsidRDefault="00236E18" w:rsidP="00236E18">
      <w:pPr>
        <w:numPr>
          <w:ilvl w:val="0"/>
          <w:numId w:val="11"/>
        </w:numPr>
        <w:jc w:val="both"/>
        <w:rPr>
          <w:sz w:val="20"/>
        </w:rPr>
      </w:pPr>
      <w:r w:rsidRPr="00B059CA">
        <w:rPr>
          <w:sz w:val="20"/>
        </w:rPr>
        <w:t>La Secretaría seguirá encargándose de administrar con eficacia los procedimientos de comunicación contemplados en el Artículo 6</w:t>
      </w:r>
      <w:r w:rsidRPr="00B059CA">
        <w:rPr>
          <w:i/>
          <w:sz w:val="20"/>
        </w:rPr>
        <w:t>ter</w:t>
      </w:r>
      <w:r w:rsidRPr="00B059CA">
        <w:rPr>
          <w:sz w:val="20"/>
        </w:rPr>
        <w:t xml:space="preserve"> del Convenio de París y de elaborar publicaciones electrónicas con carácter bienal en las que se incluyan todos los signos que se comuniquen con arreglo al párrafo 3 del Artículo 6</w:t>
      </w:r>
      <w:r w:rsidRPr="00B059CA">
        <w:rPr>
          <w:i/>
          <w:sz w:val="20"/>
        </w:rPr>
        <w:t>ter.</w:t>
      </w:r>
      <w:r w:rsidRPr="00B059CA">
        <w:rPr>
          <w:sz w:val="20"/>
        </w:rPr>
        <w:t xml:space="preserve">  </w:t>
      </w:r>
    </w:p>
    <w:p w:rsidR="00236E18" w:rsidRPr="00B059CA" w:rsidRDefault="00236E18" w:rsidP="00236E18">
      <w:pPr>
        <w:keepNext/>
        <w:keepLines/>
        <w:numPr>
          <w:ilvl w:val="0"/>
          <w:numId w:val="11"/>
        </w:numPr>
        <w:jc w:val="both"/>
      </w:pPr>
      <w:r w:rsidRPr="00B059CA">
        <w:rPr>
          <w:sz w:val="20"/>
          <w:highlight w:val="white"/>
        </w:rPr>
        <w:lastRenderedPageBreak/>
        <w:t>En cuanto a la meta estratégica III (</w:t>
      </w:r>
      <w:r w:rsidRPr="00B059CA">
        <w:rPr>
          <w:sz w:val="20"/>
        </w:rPr>
        <w:t>Facilitar el uso de la P.I. en aras del desarrollo</w:t>
      </w:r>
      <w:r w:rsidRPr="00B059CA">
        <w:rPr>
          <w:sz w:val="20"/>
          <w:highlight w:val="white"/>
        </w:rPr>
        <w:t xml:space="preserve">), el Programa 2 </w:t>
      </w:r>
      <w:r w:rsidRPr="00B059CA">
        <w:rPr>
          <w:sz w:val="20"/>
        </w:rPr>
        <w:t>proporcionará asesoramiento específico a los Estados miembros en respuesta a las prioridades determinadas dentro de sus estrategias nacionales de P.I.  La prestación de asesoramiento jurídico se coordinará con otros programas según se indica a continuación.</w:t>
      </w:r>
    </w:p>
    <w:p w:rsidR="00236E18" w:rsidRDefault="00236E18" w:rsidP="00236E18">
      <w:pPr>
        <w:keepNext/>
        <w:keepLines/>
        <w:jc w:val="both"/>
      </w:pPr>
      <w:r w:rsidRPr="009B4A78">
        <w:rPr>
          <w:noProof/>
          <w:lang w:val="en-US" w:eastAsia="en-US"/>
        </w:rPr>
        <w:drawing>
          <wp:inline distT="0" distB="0" distL="0" distR="0" wp14:anchorId="4365E74B" wp14:editId="37670F59">
            <wp:extent cx="5753100" cy="1485900"/>
            <wp:effectExtent l="0" t="0" r="1905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236E18" w:rsidRPr="00B059CA" w:rsidRDefault="00236E18" w:rsidP="00236E18">
      <w:r w:rsidRPr="00B059CA">
        <w:t>PRINCIPALES RIESGOS Y ESTRATEGIAS DE MITIGACIÓN</w:t>
      </w:r>
    </w:p>
    <w:p w:rsidR="00236E18" w:rsidRPr="00B059CA" w:rsidRDefault="00236E18" w:rsidP="00236E18">
      <w:pPr>
        <w:rPr>
          <w:szCs w:val="22"/>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236E18" w:rsidRPr="00B059CA" w:rsidTr="00294272">
        <w:trPr>
          <w:trHeight w:val="472"/>
        </w:trPr>
        <w:tc>
          <w:tcPr>
            <w:tcW w:w="4111" w:type="dxa"/>
            <w:tcBorders>
              <w:top w:val="single" w:sz="4" w:space="0" w:color="auto"/>
              <w:bottom w:val="single" w:sz="4" w:space="0" w:color="auto"/>
            </w:tcBorders>
            <w:shd w:val="clear" w:color="auto" w:fill="C6D9F1"/>
            <w:vAlign w:val="center"/>
          </w:tcPr>
          <w:p w:rsidR="00236E18" w:rsidRPr="00B059CA" w:rsidRDefault="00236E18" w:rsidP="00294272">
            <w:pPr>
              <w:jc w:val="center"/>
              <w:rPr>
                <w:b/>
                <w:bCs/>
                <w:sz w:val="18"/>
                <w:szCs w:val="18"/>
              </w:rPr>
            </w:pPr>
            <w:r w:rsidRPr="00B059CA">
              <w:rPr>
                <w:b/>
                <w:bCs/>
                <w:sz w:val="18"/>
                <w:szCs w:val="18"/>
              </w:rPr>
              <w:t>Riesgo</w:t>
            </w:r>
          </w:p>
        </w:tc>
        <w:tc>
          <w:tcPr>
            <w:tcW w:w="5103" w:type="dxa"/>
            <w:tcBorders>
              <w:top w:val="single" w:sz="4" w:space="0" w:color="auto"/>
              <w:bottom w:val="single" w:sz="4" w:space="0" w:color="auto"/>
            </w:tcBorders>
            <w:shd w:val="clear" w:color="auto" w:fill="C6D9F1"/>
            <w:vAlign w:val="center"/>
          </w:tcPr>
          <w:p w:rsidR="00236E18" w:rsidRPr="00B059CA" w:rsidRDefault="00236E18" w:rsidP="00294272">
            <w:pPr>
              <w:jc w:val="center"/>
              <w:rPr>
                <w:b/>
                <w:bCs/>
                <w:sz w:val="18"/>
                <w:szCs w:val="18"/>
              </w:rPr>
            </w:pPr>
            <w:r w:rsidRPr="00B059CA">
              <w:rPr>
                <w:b/>
                <w:bCs/>
                <w:sz w:val="18"/>
                <w:szCs w:val="18"/>
              </w:rPr>
              <w:t>Mitigación</w:t>
            </w:r>
          </w:p>
        </w:tc>
      </w:tr>
      <w:tr w:rsidR="00236E18" w:rsidRPr="001B36E2" w:rsidTr="00294272">
        <w:trPr>
          <w:trHeight w:val="1160"/>
        </w:trPr>
        <w:tc>
          <w:tcPr>
            <w:tcW w:w="4111"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236E18" w:rsidRPr="00B059CA" w:rsidRDefault="00236E18" w:rsidP="00294272">
            <w:pPr>
              <w:rPr>
                <w:sz w:val="16"/>
              </w:rPr>
            </w:pPr>
            <w:r w:rsidRPr="00B059CA">
              <w:rPr>
                <w:sz w:val="16"/>
              </w:rPr>
              <w:t>La forja de acuerdos a escala multilateral sigue siendo ardua y la conclusión satisfactoria de las actividades normativas en el marco del programa 2 dependerá en gran medida de la voluntad de los Estados miembros de definir resultados mutuamente convenidos.</w:t>
            </w:r>
          </w:p>
        </w:tc>
        <w:tc>
          <w:tcPr>
            <w:tcW w:w="5103"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236E18" w:rsidRPr="00B059CA" w:rsidRDefault="00236E18" w:rsidP="00294272">
            <w:pPr>
              <w:autoSpaceDE w:val="0"/>
              <w:autoSpaceDN w:val="0"/>
              <w:adjustRightInd w:val="0"/>
              <w:ind w:right="-59"/>
              <w:rPr>
                <w:sz w:val="16"/>
                <w:szCs w:val="16"/>
              </w:rPr>
            </w:pPr>
            <w:r w:rsidRPr="00B059CA">
              <w:rPr>
                <w:sz w:val="16"/>
                <w:szCs w:val="16"/>
              </w:rPr>
              <w:t>Se trata de un riesgo inherente a toda actividad de elaboración de normas, que, por su naturaleza, habrá que asumir en el programa.   Sin embargo, en determinadas actividades programáticas, en particular las sesiones del SCT, cabrá el diálogo e intercambio de puntos de vista a fin de determinar los ámbitos de entendimiento común y los posibles resultados en que se haya llegado a un acuerdo.</w:t>
            </w:r>
          </w:p>
        </w:tc>
      </w:tr>
    </w:tbl>
    <w:p w:rsidR="00236E18" w:rsidRDefault="00236E18" w:rsidP="00236E18"/>
    <w:p w:rsidR="00236E18" w:rsidRDefault="00236E18" w:rsidP="00236E18"/>
    <w:p w:rsidR="00236E18" w:rsidRPr="00B059CA" w:rsidRDefault="00236E18" w:rsidP="00236E18">
      <w:r w:rsidRPr="00B059CA">
        <w:t>MARCO DE RESULTADOS</w:t>
      </w:r>
    </w:p>
    <w:p w:rsidR="00236E18" w:rsidRPr="00B059CA" w:rsidRDefault="00236E18" w:rsidP="00236E18">
      <w:pPr>
        <w:keepNext/>
        <w:keepLines/>
      </w:pPr>
    </w:p>
    <w:tbl>
      <w:tblPr>
        <w:tblW w:w="9248" w:type="dxa"/>
        <w:tblInd w:w="93" w:type="dxa"/>
        <w:tblLook w:val="04A0" w:firstRow="1" w:lastRow="0" w:firstColumn="1" w:lastColumn="0" w:noHBand="0" w:noVBand="1"/>
      </w:tblPr>
      <w:tblGrid>
        <w:gridCol w:w="2014"/>
        <w:gridCol w:w="2324"/>
        <w:gridCol w:w="2699"/>
        <w:gridCol w:w="2287"/>
      </w:tblGrid>
      <w:tr w:rsidR="00236E18" w:rsidRPr="00B059CA" w:rsidTr="00294272">
        <w:trPr>
          <w:trHeight w:val="516"/>
        </w:trPr>
        <w:tc>
          <w:tcPr>
            <w:tcW w:w="2014" w:type="dxa"/>
            <w:tcBorders>
              <w:top w:val="single" w:sz="4" w:space="0" w:color="auto"/>
              <w:left w:val="single" w:sz="4" w:space="0" w:color="auto"/>
              <w:bottom w:val="single" w:sz="4" w:space="0" w:color="auto"/>
              <w:right w:val="nil"/>
            </w:tcBorders>
            <w:shd w:val="clear" w:color="auto" w:fill="C6D9F1"/>
            <w:noWrap/>
            <w:vAlign w:val="center"/>
            <w:hideMark/>
          </w:tcPr>
          <w:p w:rsidR="00236E18" w:rsidRPr="00B059CA" w:rsidRDefault="00236E18" w:rsidP="00294272">
            <w:pPr>
              <w:keepNext/>
              <w:keepLines/>
              <w:jc w:val="center"/>
              <w:rPr>
                <w:b/>
                <w:bCs/>
                <w:sz w:val="18"/>
                <w:szCs w:val="16"/>
              </w:rPr>
            </w:pPr>
            <w:r w:rsidRPr="00B059CA">
              <w:rPr>
                <w:b/>
                <w:bCs/>
                <w:sz w:val="18"/>
                <w:szCs w:val="16"/>
              </w:rPr>
              <w:t>Resultados previstos</w:t>
            </w:r>
          </w:p>
        </w:tc>
        <w:tc>
          <w:tcPr>
            <w:tcW w:w="2248" w:type="dxa"/>
            <w:tcBorders>
              <w:top w:val="single" w:sz="4" w:space="0" w:color="auto"/>
              <w:left w:val="nil"/>
              <w:bottom w:val="single" w:sz="4" w:space="0" w:color="auto"/>
              <w:right w:val="nil"/>
            </w:tcBorders>
            <w:shd w:val="clear" w:color="auto" w:fill="C6D9F1"/>
            <w:noWrap/>
            <w:vAlign w:val="center"/>
            <w:hideMark/>
          </w:tcPr>
          <w:p w:rsidR="00236E18" w:rsidRPr="00B059CA" w:rsidRDefault="00236E18" w:rsidP="00294272">
            <w:pPr>
              <w:keepNext/>
              <w:keepLines/>
              <w:jc w:val="center"/>
              <w:rPr>
                <w:b/>
                <w:bCs/>
                <w:sz w:val="18"/>
                <w:szCs w:val="16"/>
              </w:rPr>
            </w:pPr>
            <w:r w:rsidRPr="00B059CA">
              <w:rPr>
                <w:b/>
                <w:bCs/>
                <w:sz w:val="18"/>
                <w:szCs w:val="16"/>
              </w:rPr>
              <w:t>Indicadores de rendimiento</w:t>
            </w:r>
          </w:p>
        </w:tc>
        <w:tc>
          <w:tcPr>
            <w:tcW w:w="2699" w:type="dxa"/>
            <w:tcBorders>
              <w:top w:val="single" w:sz="4" w:space="0" w:color="auto"/>
              <w:left w:val="nil"/>
              <w:bottom w:val="single" w:sz="4" w:space="0" w:color="auto"/>
              <w:right w:val="nil"/>
            </w:tcBorders>
            <w:shd w:val="clear" w:color="auto" w:fill="C6D9F1"/>
            <w:noWrap/>
            <w:vAlign w:val="center"/>
            <w:hideMark/>
          </w:tcPr>
          <w:p w:rsidR="00236E18" w:rsidRPr="00B059CA" w:rsidRDefault="00236E18" w:rsidP="00294272">
            <w:pPr>
              <w:keepNext/>
              <w:keepLines/>
              <w:jc w:val="center"/>
              <w:rPr>
                <w:b/>
                <w:bCs/>
                <w:sz w:val="18"/>
                <w:szCs w:val="16"/>
              </w:rPr>
            </w:pPr>
            <w:r w:rsidRPr="00B059CA">
              <w:rPr>
                <w:b/>
                <w:bCs/>
                <w:sz w:val="18"/>
                <w:szCs w:val="16"/>
              </w:rPr>
              <w:t>Referencia</w:t>
            </w:r>
          </w:p>
        </w:tc>
        <w:tc>
          <w:tcPr>
            <w:tcW w:w="2287" w:type="dxa"/>
            <w:tcBorders>
              <w:top w:val="single" w:sz="4" w:space="0" w:color="auto"/>
              <w:left w:val="nil"/>
              <w:bottom w:val="single" w:sz="4" w:space="0" w:color="auto"/>
              <w:right w:val="single" w:sz="4" w:space="0" w:color="auto"/>
            </w:tcBorders>
            <w:shd w:val="clear" w:color="auto" w:fill="C6D9F1"/>
            <w:noWrap/>
            <w:vAlign w:val="center"/>
            <w:hideMark/>
          </w:tcPr>
          <w:p w:rsidR="00236E18" w:rsidRPr="00B059CA" w:rsidRDefault="00236E18" w:rsidP="00294272">
            <w:pPr>
              <w:keepNext/>
              <w:keepLines/>
              <w:jc w:val="center"/>
              <w:rPr>
                <w:b/>
                <w:bCs/>
                <w:sz w:val="18"/>
                <w:szCs w:val="16"/>
              </w:rPr>
            </w:pPr>
            <w:r w:rsidRPr="00B059CA">
              <w:rPr>
                <w:b/>
                <w:bCs/>
                <w:sz w:val="18"/>
                <w:szCs w:val="16"/>
              </w:rPr>
              <w:t>Objetivos</w:t>
            </w:r>
          </w:p>
        </w:tc>
      </w:tr>
      <w:tr w:rsidR="00236E18" w:rsidRPr="001B36E2" w:rsidTr="00294272">
        <w:trPr>
          <w:trHeight w:val="988"/>
        </w:trPr>
        <w:tc>
          <w:tcPr>
            <w:tcW w:w="2014" w:type="dxa"/>
            <w:vMerge w:val="restart"/>
            <w:tcBorders>
              <w:top w:val="nil"/>
              <w:left w:val="single" w:sz="4" w:space="0" w:color="auto"/>
              <w:bottom w:val="nil"/>
              <w:right w:val="nil"/>
            </w:tcBorders>
            <w:shd w:val="clear" w:color="000000" w:fill="FFFFFF"/>
            <w:hideMark/>
          </w:tcPr>
          <w:p w:rsidR="00236E18" w:rsidRPr="00C7553F" w:rsidRDefault="00236E18" w:rsidP="00294272">
            <w:pPr>
              <w:keepNext/>
              <w:keepLines/>
              <w:tabs>
                <w:tab w:val="left" w:pos="1284"/>
                <w:tab w:val="left" w:pos="1585"/>
              </w:tabs>
              <w:ind w:right="190"/>
              <w:rPr>
                <w:sz w:val="16"/>
                <w:szCs w:val="16"/>
              </w:rPr>
            </w:pPr>
            <w:r w:rsidRPr="00C7553F">
              <w:rPr>
                <w:sz w:val="16"/>
                <w:szCs w:val="16"/>
              </w:rPr>
              <w:br/>
              <w:t xml:space="preserve">I.1  </w:t>
            </w:r>
            <w:r w:rsidRPr="00C7553F">
              <w:rPr>
                <w:sz w:val="16"/>
                <w:szCs w:val="16"/>
                <w:lang w:val="es-ES_tradnl"/>
              </w:rPr>
              <w:t>Mayor cooperación entre los Estados miembros en la elaboración de marcos normativos internacionales de P.I. equilibrados</w:t>
            </w:r>
          </w:p>
        </w:tc>
        <w:tc>
          <w:tcPr>
            <w:tcW w:w="2248" w:type="dxa"/>
            <w:tcBorders>
              <w:top w:val="nil"/>
              <w:left w:val="nil"/>
              <w:bottom w:val="nil"/>
              <w:right w:val="nil"/>
            </w:tcBorders>
            <w:shd w:val="clear" w:color="000000" w:fill="FFFFFF"/>
            <w:hideMark/>
          </w:tcPr>
          <w:p w:rsidR="00236E18" w:rsidRPr="00B059CA" w:rsidRDefault="00236E18" w:rsidP="00294272">
            <w:pPr>
              <w:keepNext/>
              <w:keepLines/>
              <w:ind w:right="170"/>
              <w:rPr>
                <w:sz w:val="16"/>
                <w:szCs w:val="16"/>
              </w:rPr>
            </w:pPr>
            <w:r w:rsidRPr="00B059CA">
              <w:rPr>
                <w:sz w:val="16"/>
                <w:szCs w:val="16"/>
              </w:rPr>
              <w:br/>
              <w:t>Progresos en pos de acuerdos sobre las cuestiones que están en el orden del día del SCT.</w:t>
            </w:r>
          </w:p>
          <w:p w:rsidR="00236E18" w:rsidRPr="00B059CA" w:rsidRDefault="00236E18" w:rsidP="00294272">
            <w:pPr>
              <w:keepNext/>
              <w:keepLines/>
              <w:ind w:right="170"/>
              <w:rPr>
                <w:sz w:val="16"/>
                <w:szCs w:val="16"/>
              </w:rPr>
            </w:pPr>
          </w:p>
        </w:tc>
        <w:tc>
          <w:tcPr>
            <w:tcW w:w="2699" w:type="dxa"/>
            <w:tcBorders>
              <w:top w:val="nil"/>
              <w:left w:val="nil"/>
              <w:bottom w:val="nil"/>
              <w:right w:val="nil"/>
            </w:tcBorders>
            <w:shd w:val="clear" w:color="000000" w:fill="FFFFFF"/>
            <w:hideMark/>
          </w:tcPr>
          <w:p w:rsidR="00236E18" w:rsidRPr="00B059CA" w:rsidRDefault="00236E18" w:rsidP="00294272">
            <w:pPr>
              <w:keepNext/>
              <w:keepLines/>
              <w:tabs>
                <w:tab w:val="left" w:pos="2024"/>
              </w:tabs>
              <w:ind w:right="238"/>
              <w:rPr>
                <w:sz w:val="16"/>
                <w:szCs w:val="16"/>
              </w:rPr>
            </w:pPr>
            <w:r w:rsidRPr="00B059CA">
              <w:rPr>
                <w:sz w:val="16"/>
                <w:szCs w:val="16"/>
              </w:rPr>
              <w:br/>
              <w:t>Estado en que se encuentra la labor del SCT al final de 2015 según los documentos de trabajo pertinentes</w:t>
            </w:r>
          </w:p>
        </w:tc>
        <w:tc>
          <w:tcPr>
            <w:tcW w:w="2287" w:type="dxa"/>
            <w:tcBorders>
              <w:top w:val="nil"/>
              <w:left w:val="nil"/>
              <w:bottom w:val="nil"/>
              <w:right w:val="single" w:sz="4" w:space="0" w:color="auto"/>
            </w:tcBorders>
            <w:shd w:val="clear" w:color="000000" w:fill="FFFFFF"/>
            <w:hideMark/>
          </w:tcPr>
          <w:p w:rsidR="00236E18" w:rsidRPr="00B059CA" w:rsidRDefault="00236E18" w:rsidP="00294272">
            <w:pPr>
              <w:keepNext/>
              <w:keepLines/>
              <w:rPr>
                <w:sz w:val="16"/>
                <w:szCs w:val="16"/>
              </w:rPr>
            </w:pPr>
            <w:r>
              <w:rPr>
                <w:sz w:val="16"/>
                <w:szCs w:val="16"/>
              </w:rPr>
              <w:br/>
            </w:r>
            <w:r w:rsidRPr="00B059CA">
              <w:rPr>
                <w:sz w:val="16"/>
                <w:szCs w:val="16"/>
              </w:rPr>
              <w:t>Resultados acordados en el SCT.</w:t>
            </w:r>
          </w:p>
        </w:tc>
      </w:tr>
      <w:tr w:rsidR="00236E18" w:rsidRPr="00B059CA" w:rsidTr="00294272">
        <w:trPr>
          <w:trHeight w:val="1823"/>
        </w:trPr>
        <w:tc>
          <w:tcPr>
            <w:tcW w:w="2014" w:type="dxa"/>
            <w:vMerge/>
            <w:tcBorders>
              <w:top w:val="nil"/>
              <w:left w:val="single" w:sz="4" w:space="0" w:color="auto"/>
              <w:bottom w:val="nil"/>
              <w:right w:val="nil"/>
            </w:tcBorders>
            <w:vAlign w:val="center"/>
            <w:hideMark/>
          </w:tcPr>
          <w:p w:rsidR="00236E18" w:rsidRPr="00C7553F" w:rsidRDefault="00236E18" w:rsidP="00294272">
            <w:pPr>
              <w:keepNext/>
              <w:keepLines/>
              <w:ind w:right="190"/>
              <w:rPr>
                <w:sz w:val="16"/>
                <w:szCs w:val="16"/>
              </w:rPr>
            </w:pPr>
          </w:p>
        </w:tc>
        <w:tc>
          <w:tcPr>
            <w:tcW w:w="2248" w:type="dxa"/>
            <w:tcBorders>
              <w:top w:val="nil"/>
              <w:left w:val="nil"/>
              <w:bottom w:val="nil"/>
              <w:right w:val="nil"/>
            </w:tcBorders>
            <w:shd w:val="clear" w:color="000000" w:fill="FFFFFF"/>
            <w:hideMark/>
          </w:tcPr>
          <w:p w:rsidR="00236E18" w:rsidRPr="00B059CA" w:rsidRDefault="00236E18" w:rsidP="00294272">
            <w:pPr>
              <w:keepNext/>
              <w:keepLines/>
              <w:ind w:right="311"/>
              <w:rPr>
                <w:sz w:val="16"/>
                <w:szCs w:val="16"/>
              </w:rPr>
            </w:pPr>
            <w:r w:rsidRPr="00B059CA">
              <w:rPr>
                <w:sz w:val="16"/>
                <w:szCs w:val="16"/>
              </w:rPr>
              <w:t>Número de ratificaciones/adhesiones al Tratado de Singapur.</w:t>
            </w:r>
          </w:p>
        </w:tc>
        <w:tc>
          <w:tcPr>
            <w:tcW w:w="2699" w:type="dxa"/>
            <w:tcBorders>
              <w:top w:val="nil"/>
              <w:left w:val="nil"/>
              <w:bottom w:val="nil"/>
              <w:right w:val="nil"/>
            </w:tcBorders>
            <w:shd w:val="clear" w:color="000000" w:fill="FFFFFF"/>
            <w:hideMark/>
          </w:tcPr>
          <w:p w:rsidR="00236E18" w:rsidRPr="00B059CA" w:rsidRDefault="00236E18" w:rsidP="00294272">
            <w:pPr>
              <w:keepNext/>
              <w:keepLines/>
              <w:ind w:right="238"/>
              <w:rPr>
                <w:sz w:val="16"/>
                <w:szCs w:val="16"/>
              </w:rPr>
            </w:pPr>
            <w:r w:rsidRPr="00B059CA">
              <w:rPr>
                <w:sz w:val="16"/>
                <w:szCs w:val="16"/>
                <w:highlight w:val="white"/>
              </w:rPr>
              <w:t xml:space="preserve">Siete nuevas Partes Contratantes en </w:t>
            </w:r>
            <w:r w:rsidRPr="00B059CA">
              <w:rPr>
                <w:sz w:val="16"/>
                <w:szCs w:val="16"/>
              </w:rPr>
              <w:t xml:space="preserve">2014: </w:t>
            </w:r>
            <w:proofErr w:type="spellStart"/>
            <w:r w:rsidRPr="00B059CA">
              <w:rPr>
                <w:sz w:val="16"/>
                <w:szCs w:val="16"/>
              </w:rPr>
              <w:t>Belarús</w:t>
            </w:r>
            <w:proofErr w:type="spellEnd"/>
            <w:r w:rsidRPr="00B059CA">
              <w:rPr>
                <w:sz w:val="16"/>
                <w:szCs w:val="16"/>
              </w:rPr>
              <w:t>, Bélgica</w:t>
            </w:r>
            <w:r w:rsidRPr="00B059CA">
              <w:rPr>
                <w:sz w:val="16"/>
                <w:szCs w:val="16"/>
                <w:highlight w:val="white"/>
              </w:rPr>
              <w:t xml:space="preserve">, </w:t>
            </w:r>
            <w:r w:rsidRPr="00B059CA">
              <w:rPr>
                <w:sz w:val="16"/>
                <w:szCs w:val="16"/>
              </w:rPr>
              <w:t xml:space="preserve">Organización de Propiedad Intelectual del Benelux (BOIP), Iraq, Luxemburgo, </w:t>
            </w:r>
            <w:r w:rsidRPr="00B059CA">
              <w:rPr>
                <w:sz w:val="16"/>
                <w:szCs w:val="16"/>
                <w:highlight w:val="white"/>
              </w:rPr>
              <w:t xml:space="preserve">los Países Bajos </w:t>
            </w:r>
            <w:r w:rsidRPr="00B059CA">
              <w:rPr>
                <w:sz w:val="16"/>
                <w:szCs w:val="16"/>
              </w:rPr>
              <w:t xml:space="preserve">y Tayikistán, con lo que se eleva a 38 el número de Partes Contratantes al final de </w:t>
            </w:r>
            <w:r w:rsidRPr="00B059CA">
              <w:rPr>
                <w:sz w:val="16"/>
                <w:szCs w:val="16"/>
                <w:highlight w:val="white"/>
              </w:rPr>
              <w:t>2014</w:t>
            </w:r>
            <w:r w:rsidRPr="00B059CA">
              <w:rPr>
                <w:sz w:val="16"/>
                <w:szCs w:val="16"/>
              </w:rPr>
              <w:t>.</w:t>
            </w:r>
          </w:p>
        </w:tc>
        <w:tc>
          <w:tcPr>
            <w:tcW w:w="2287" w:type="dxa"/>
            <w:tcBorders>
              <w:top w:val="nil"/>
              <w:left w:val="nil"/>
              <w:bottom w:val="nil"/>
              <w:right w:val="single" w:sz="4" w:space="0" w:color="auto"/>
            </w:tcBorders>
            <w:shd w:val="clear" w:color="000000" w:fill="FFFFFF"/>
            <w:hideMark/>
          </w:tcPr>
          <w:p w:rsidR="00236E18" w:rsidRPr="00B059CA" w:rsidRDefault="00236E18" w:rsidP="00294272">
            <w:pPr>
              <w:keepNext/>
              <w:keepLines/>
              <w:rPr>
                <w:sz w:val="16"/>
                <w:szCs w:val="16"/>
              </w:rPr>
            </w:pPr>
            <w:r w:rsidRPr="00B059CA">
              <w:rPr>
                <w:sz w:val="16"/>
                <w:szCs w:val="16"/>
              </w:rPr>
              <w:t>Ocho nuevas ratificaciones / adhesiones.</w:t>
            </w:r>
          </w:p>
        </w:tc>
      </w:tr>
      <w:tr w:rsidR="00236E18" w:rsidRPr="001B36E2" w:rsidTr="00294272">
        <w:trPr>
          <w:trHeight w:val="1688"/>
        </w:trPr>
        <w:tc>
          <w:tcPr>
            <w:tcW w:w="2014" w:type="dxa"/>
            <w:tcBorders>
              <w:top w:val="nil"/>
              <w:left w:val="single" w:sz="4" w:space="0" w:color="auto"/>
              <w:bottom w:val="nil"/>
              <w:right w:val="nil"/>
            </w:tcBorders>
            <w:shd w:val="clear" w:color="000000" w:fill="FFFFFF"/>
            <w:hideMark/>
          </w:tcPr>
          <w:p w:rsidR="00236E18" w:rsidRPr="00C7553F" w:rsidRDefault="00236E18" w:rsidP="00294272">
            <w:pPr>
              <w:keepNext/>
              <w:keepLines/>
              <w:tabs>
                <w:tab w:val="left" w:pos="1284"/>
                <w:tab w:val="left" w:pos="1585"/>
              </w:tabs>
              <w:ind w:right="190"/>
              <w:rPr>
                <w:sz w:val="16"/>
                <w:szCs w:val="16"/>
              </w:rPr>
            </w:pPr>
            <w:r w:rsidRPr="00C7553F">
              <w:rPr>
                <w:sz w:val="16"/>
                <w:szCs w:val="16"/>
              </w:rPr>
              <w:t xml:space="preserve">I.2  </w:t>
            </w:r>
            <w:r w:rsidRPr="00C7553F">
              <w:rPr>
                <w:sz w:val="16"/>
                <w:szCs w:val="16"/>
                <w:lang w:val="es-ES_tradnl"/>
              </w:rPr>
              <w:t>Marcos de P.I. adaptados y equilibrados en el ámbito legislativo, regulador y de política</w:t>
            </w:r>
          </w:p>
        </w:tc>
        <w:tc>
          <w:tcPr>
            <w:tcW w:w="2248" w:type="dxa"/>
            <w:tcBorders>
              <w:top w:val="nil"/>
              <w:left w:val="nil"/>
              <w:bottom w:val="nil"/>
              <w:right w:val="nil"/>
            </w:tcBorders>
            <w:shd w:val="clear" w:color="000000" w:fill="FFFFFF"/>
            <w:hideMark/>
          </w:tcPr>
          <w:p w:rsidR="00236E18" w:rsidRPr="00B059CA" w:rsidRDefault="00236E18" w:rsidP="00294272">
            <w:pPr>
              <w:keepNext/>
              <w:keepLines/>
              <w:tabs>
                <w:tab w:val="left" w:pos="1537"/>
                <w:tab w:val="left" w:pos="1875"/>
              </w:tabs>
              <w:ind w:right="170"/>
              <w:rPr>
                <w:sz w:val="16"/>
                <w:szCs w:val="16"/>
              </w:rPr>
            </w:pPr>
            <w:r w:rsidRPr="00B059CA">
              <w:rPr>
                <w:sz w:val="16"/>
                <w:szCs w:val="16"/>
              </w:rPr>
              <w:t>Número y porcentaje de Estados miembros / organizaciones regionales que han presentado comentarios positivos sobre el asesoramiento legislativo proporcionado en la esfera de las marcas, los diseños industriales y las indicaciones geográficas.</w:t>
            </w:r>
          </w:p>
          <w:p w:rsidR="00236E18" w:rsidRPr="00B059CA" w:rsidRDefault="00236E18" w:rsidP="00294272">
            <w:pPr>
              <w:keepNext/>
              <w:keepLines/>
              <w:tabs>
                <w:tab w:val="left" w:pos="1537"/>
                <w:tab w:val="left" w:pos="1875"/>
              </w:tabs>
              <w:ind w:right="170"/>
              <w:rPr>
                <w:sz w:val="16"/>
                <w:szCs w:val="16"/>
              </w:rPr>
            </w:pPr>
            <w:r w:rsidRPr="00B059CA">
              <w:rPr>
                <w:sz w:val="16"/>
                <w:szCs w:val="16"/>
              </w:rPr>
              <w:t xml:space="preserve"> </w:t>
            </w:r>
          </w:p>
        </w:tc>
        <w:tc>
          <w:tcPr>
            <w:tcW w:w="2699" w:type="dxa"/>
            <w:tcBorders>
              <w:top w:val="nil"/>
              <w:left w:val="nil"/>
              <w:bottom w:val="nil"/>
              <w:right w:val="nil"/>
            </w:tcBorders>
            <w:shd w:val="clear" w:color="000000" w:fill="FFFFFF"/>
            <w:hideMark/>
          </w:tcPr>
          <w:p w:rsidR="00236E18" w:rsidRPr="00B059CA" w:rsidRDefault="00236E18" w:rsidP="00294272">
            <w:pPr>
              <w:keepNext/>
              <w:keepLines/>
              <w:ind w:right="238"/>
              <w:rPr>
                <w:sz w:val="16"/>
                <w:szCs w:val="16"/>
              </w:rPr>
            </w:pPr>
            <w:r w:rsidRPr="00B059CA">
              <w:rPr>
                <w:sz w:val="16"/>
                <w:szCs w:val="16"/>
              </w:rPr>
              <w:t>2014</w:t>
            </w:r>
            <w:proofErr w:type="gramStart"/>
            <w:r w:rsidRPr="00B059CA">
              <w:rPr>
                <w:sz w:val="16"/>
                <w:szCs w:val="16"/>
              </w:rPr>
              <w:t>:  Se</w:t>
            </w:r>
            <w:proofErr w:type="gramEnd"/>
            <w:r w:rsidRPr="00B059CA">
              <w:rPr>
                <w:sz w:val="16"/>
                <w:szCs w:val="16"/>
              </w:rPr>
              <w:t xml:space="preserve"> proporcionó asesoramiento a 20 Estados miembros/organizaciones regionales.  Se recibieron comentarios de siete encuestados (100%), quienes se mostraron satisfechos con el asesoramiento brindado</w:t>
            </w:r>
          </w:p>
          <w:p w:rsidR="00236E18" w:rsidRPr="00B059CA" w:rsidRDefault="00236E18" w:rsidP="00294272">
            <w:pPr>
              <w:keepNext/>
              <w:keepLines/>
              <w:ind w:right="238"/>
              <w:rPr>
                <w:sz w:val="16"/>
                <w:szCs w:val="16"/>
              </w:rPr>
            </w:pPr>
          </w:p>
        </w:tc>
        <w:tc>
          <w:tcPr>
            <w:tcW w:w="2287" w:type="dxa"/>
            <w:tcBorders>
              <w:top w:val="nil"/>
              <w:left w:val="nil"/>
              <w:bottom w:val="nil"/>
              <w:right w:val="single" w:sz="4" w:space="0" w:color="auto"/>
            </w:tcBorders>
            <w:shd w:val="clear" w:color="000000" w:fill="FFFFFF"/>
            <w:hideMark/>
          </w:tcPr>
          <w:p w:rsidR="00236E18" w:rsidRPr="00B059CA" w:rsidRDefault="00236E18" w:rsidP="00294272">
            <w:pPr>
              <w:keepNext/>
              <w:keepLines/>
              <w:rPr>
                <w:sz w:val="16"/>
                <w:szCs w:val="16"/>
                <w:highlight w:val="white"/>
              </w:rPr>
            </w:pPr>
            <w:r w:rsidRPr="00B059CA">
              <w:rPr>
                <w:sz w:val="16"/>
                <w:szCs w:val="16"/>
                <w:highlight w:val="white"/>
              </w:rPr>
              <w:t xml:space="preserve">90% </w:t>
            </w:r>
            <w:r w:rsidRPr="00B059CA">
              <w:rPr>
                <w:sz w:val="16"/>
                <w:szCs w:val="16"/>
              </w:rPr>
              <w:t>de los encuestados expresa satisfacción con el asesoramiento brindado.</w:t>
            </w:r>
          </w:p>
        </w:tc>
      </w:tr>
      <w:tr w:rsidR="00236E18" w:rsidRPr="001B36E2" w:rsidTr="00294272">
        <w:trPr>
          <w:trHeight w:val="1422"/>
        </w:trPr>
        <w:tc>
          <w:tcPr>
            <w:tcW w:w="2014" w:type="dxa"/>
            <w:tcBorders>
              <w:top w:val="nil"/>
              <w:left w:val="single" w:sz="4" w:space="0" w:color="auto"/>
              <w:bottom w:val="single" w:sz="4" w:space="0" w:color="auto"/>
              <w:right w:val="nil"/>
            </w:tcBorders>
            <w:shd w:val="clear" w:color="000000" w:fill="FFFFFF"/>
            <w:hideMark/>
          </w:tcPr>
          <w:p w:rsidR="00236E18" w:rsidRPr="00C7553F" w:rsidRDefault="00236E18" w:rsidP="00294272">
            <w:pPr>
              <w:keepNext/>
              <w:keepLines/>
              <w:ind w:right="190"/>
              <w:rPr>
                <w:sz w:val="16"/>
                <w:szCs w:val="16"/>
              </w:rPr>
            </w:pPr>
            <w:r w:rsidRPr="00C7553F">
              <w:rPr>
                <w:sz w:val="16"/>
                <w:szCs w:val="16"/>
              </w:rPr>
              <w:t xml:space="preserve">I.3  </w:t>
            </w:r>
            <w:r w:rsidRPr="00C7553F">
              <w:rPr>
                <w:sz w:val="16"/>
                <w:szCs w:val="16"/>
                <w:lang w:val="es-ES_tradnl"/>
              </w:rPr>
              <w:t>Aumento de la protección de los emblemas de Estado y de los nombres y emblemas de organizaciones intergubernamentales internacionales</w:t>
            </w:r>
          </w:p>
        </w:tc>
        <w:tc>
          <w:tcPr>
            <w:tcW w:w="2248" w:type="dxa"/>
            <w:tcBorders>
              <w:top w:val="nil"/>
              <w:left w:val="nil"/>
              <w:bottom w:val="single" w:sz="4" w:space="0" w:color="auto"/>
              <w:right w:val="nil"/>
            </w:tcBorders>
            <w:shd w:val="clear" w:color="000000" w:fill="FFFFFF"/>
            <w:hideMark/>
          </w:tcPr>
          <w:p w:rsidR="00236E18" w:rsidRPr="00B059CA" w:rsidRDefault="00236E18" w:rsidP="00294272">
            <w:pPr>
              <w:keepNext/>
              <w:keepLines/>
              <w:ind w:right="170"/>
              <w:rPr>
                <w:sz w:val="16"/>
                <w:szCs w:val="16"/>
              </w:rPr>
            </w:pPr>
            <w:r w:rsidRPr="00B059CA">
              <w:rPr>
                <w:sz w:val="16"/>
                <w:szCs w:val="16"/>
              </w:rPr>
              <w:t>Número de signos contenidos en la base de datos sobre el artículo 6</w:t>
            </w:r>
            <w:r w:rsidRPr="00B059CA">
              <w:rPr>
                <w:i/>
                <w:sz w:val="16"/>
                <w:szCs w:val="16"/>
              </w:rPr>
              <w:t>ter</w:t>
            </w:r>
          </w:p>
        </w:tc>
        <w:tc>
          <w:tcPr>
            <w:tcW w:w="2699" w:type="dxa"/>
            <w:tcBorders>
              <w:top w:val="nil"/>
              <w:left w:val="nil"/>
              <w:bottom w:val="single" w:sz="4" w:space="0" w:color="auto"/>
              <w:right w:val="nil"/>
            </w:tcBorders>
            <w:shd w:val="clear" w:color="000000" w:fill="FFFFFF"/>
            <w:hideMark/>
          </w:tcPr>
          <w:p w:rsidR="00236E18" w:rsidRPr="00B059CA" w:rsidRDefault="00236E18" w:rsidP="00294272">
            <w:pPr>
              <w:keepNext/>
              <w:keepLines/>
              <w:ind w:right="238"/>
              <w:rPr>
                <w:sz w:val="16"/>
                <w:szCs w:val="16"/>
              </w:rPr>
            </w:pPr>
            <w:r w:rsidRPr="00B059CA">
              <w:rPr>
                <w:sz w:val="16"/>
                <w:szCs w:val="16"/>
              </w:rPr>
              <w:t>3.103 (</w:t>
            </w:r>
            <w:r w:rsidRPr="00B059CA">
              <w:rPr>
                <w:sz w:val="16"/>
                <w:szCs w:val="16"/>
                <w:highlight w:val="white"/>
              </w:rPr>
              <w:t>al 15 de abril de</w:t>
            </w:r>
            <w:r w:rsidRPr="00B059CA">
              <w:rPr>
                <w:sz w:val="16"/>
                <w:szCs w:val="16"/>
              </w:rPr>
              <w:t xml:space="preserve"> 2015)</w:t>
            </w:r>
          </w:p>
        </w:tc>
        <w:tc>
          <w:tcPr>
            <w:tcW w:w="2287" w:type="dxa"/>
            <w:tcBorders>
              <w:top w:val="nil"/>
              <w:left w:val="nil"/>
              <w:bottom w:val="single" w:sz="4" w:space="0" w:color="auto"/>
              <w:right w:val="single" w:sz="4" w:space="0" w:color="auto"/>
            </w:tcBorders>
            <w:shd w:val="clear" w:color="000000" w:fill="FFFFFF"/>
            <w:hideMark/>
          </w:tcPr>
          <w:p w:rsidR="00236E18" w:rsidRPr="00B059CA" w:rsidRDefault="00236E18" w:rsidP="00294272">
            <w:pPr>
              <w:keepNext/>
              <w:keepLines/>
              <w:rPr>
                <w:sz w:val="16"/>
                <w:szCs w:val="16"/>
              </w:rPr>
            </w:pPr>
            <w:r w:rsidRPr="00B059CA">
              <w:rPr>
                <w:sz w:val="16"/>
                <w:szCs w:val="16"/>
              </w:rPr>
              <w:t xml:space="preserve">120 nuevos signos publicados durante el bienio </w:t>
            </w:r>
          </w:p>
        </w:tc>
      </w:tr>
    </w:tbl>
    <w:p w:rsidR="00236E18" w:rsidRPr="00B059CA" w:rsidRDefault="00236E18" w:rsidP="00236E18">
      <w:pPr>
        <w:jc w:val="both"/>
      </w:pPr>
    </w:p>
    <w:p w:rsidR="00236E18" w:rsidRDefault="00236E18" w:rsidP="00236E18">
      <w:pPr>
        <w:rPr>
          <w:szCs w:val="22"/>
        </w:rPr>
      </w:pPr>
      <w:r>
        <w:rPr>
          <w:szCs w:val="22"/>
        </w:rPr>
        <w:br w:type="page"/>
      </w:r>
    </w:p>
    <w:p w:rsidR="00236E18" w:rsidRPr="00CA4E6C" w:rsidRDefault="00236E18" w:rsidP="00236E18">
      <w:pPr>
        <w:jc w:val="both"/>
        <w:rPr>
          <w:highlight w:val="lightGray"/>
        </w:rPr>
      </w:pPr>
      <w:r w:rsidRPr="00CA4E6C">
        <w:rPr>
          <w:lang w:val="es-ES_tradnl"/>
        </w:rPr>
        <w:lastRenderedPageBreak/>
        <w:t>RECURSOS PARA EL PROGRAMA 2</w:t>
      </w:r>
    </w:p>
    <w:p w:rsidR="00236E18" w:rsidRPr="00CA4E6C" w:rsidRDefault="00236E18" w:rsidP="00236E18">
      <w:pPr>
        <w:jc w:val="both"/>
      </w:pPr>
    </w:p>
    <w:p w:rsidR="00236E18" w:rsidRPr="00CA4E6C" w:rsidRDefault="00236E18" w:rsidP="00236E18">
      <w:pPr>
        <w:keepNext/>
        <w:keepLines/>
        <w:numPr>
          <w:ilvl w:val="0"/>
          <w:numId w:val="11"/>
        </w:numPr>
        <w:jc w:val="both"/>
        <w:rPr>
          <w:sz w:val="20"/>
        </w:rPr>
      </w:pPr>
      <w:r w:rsidRPr="00EB43D0">
        <w:rPr>
          <w:sz w:val="20"/>
          <w:lang w:val="es-ES_tradnl"/>
        </w:rPr>
        <w:t>L</w:t>
      </w:r>
      <w:r>
        <w:rPr>
          <w:sz w:val="20"/>
          <w:lang w:val="es-ES_tradnl"/>
        </w:rPr>
        <w:t>a dotación global de r</w:t>
      </w:r>
      <w:r w:rsidRPr="00EB43D0">
        <w:rPr>
          <w:sz w:val="20"/>
          <w:lang w:val="es-ES_tradnl"/>
        </w:rPr>
        <w:t>ecursos</w:t>
      </w:r>
      <w:r>
        <w:rPr>
          <w:sz w:val="20"/>
          <w:lang w:val="es-ES_tradnl"/>
        </w:rPr>
        <w:t xml:space="preserve"> para</w:t>
      </w:r>
      <w:r w:rsidRPr="00EB43D0">
        <w:rPr>
          <w:sz w:val="20"/>
          <w:lang w:val="es-ES_tradnl"/>
        </w:rPr>
        <w:t xml:space="preserve"> el programa 2 en 2016/17 registra un descenso tanto en relación con el presupuesto aprobado de 2014/15 como con el presupuesto de 2014/15 </w:t>
      </w:r>
      <w:r>
        <w:rPr>
          <w:sz w:val="20"/>
          <w:lang w:val="es-ES_tradnl"/>
        </w:rPr>
        <w:t>tras</w:t>
      </w:r>
      <w:r w:rsidRPr="00EB43D0">
        <w:rPr>
          <w:sz w:val="20"/>
          <w:lang w:val="es-ES_tradnl"/>
        </w:rPr>
        <w:t xml:space="preserve"> las trasferencias.  Esta disminución se debe a</w:t>
      </w:r>
      <w:proofErr w:type="gramStart"/>
      <w:r w:rsidRPr="00EB43D0">
        <w:rPr>
          <w:sz w:val="20"/>
          <w:lang w:val="es-ES_tradnl"/>
        </w:rPr>
        <w:t>:  i</w:t>
      </w:r>
      <w:proofErr w:type="gramEnd"/>
      <w:r w:rsidRPr="00EB43D0">
        <w:rPr>
          <w:sz w:val="20"/>
          <w:lang w:val="es-ES_tradnl"/>
        </w:rPr>
        <w:t>) una asignación presupuestara para cubrir, como máximo, tres sesiones del SCT en 2016/17, en comparación con las cuatro previstas en 2014/15 y ii) una asignación presupuestaria para la eventual celebración de una conferencia diplomática en 2016/17, que ahora está anotada en la partida de fondos "sin consignar”.  Esto se refleja en la disminución de los recursos destinados al resultado previsto I.1.</w:t>
      </w:r>
    </w:p>
    <w:p w:rsidR="00236E18" w:rsidRPr="00CA4E6C" w:rsidRDefault="00236E18" w:rsidP="00236E18">
      <w:pPr>
        <w:jc w:val="both"/>
        <w:rPr>
          <w:sz w:val="20"/>
        </w:rPr>
      </w:pPr>
    </w:p>
    <w:p w:rsidR="00236E18" w:rsidRPr="00CA4E6C" w:rsidRDefault="00236E18" w:rsidP="00236E18">
      <w:pPr>
        <w:keepNext/>
        <w:keepLines/>
        <w:numPr>
          <w:ilvl w:val="0"/>
          <w:numId w:val="11"/>
        </w:numPr>
        <w:jc w:val="both"/>
        <w:rPr>
          <w:sz w:val="20"/>
        </w:rPr>
      </w:pPr>
      <w:r w:rsidRPr="00EB43D0">
        <w:rPr>
          <w:sz w:val="20"/>
          <w:lang w:val="es-ES_tradnl"/>
        </w:rPr>
        <w:t>Los recursos respecto del resultado previsto III.4 en el presupuesto aprobado de 2014/15 reflejan la finalización del proyecto de la A.D. sobre la P.I. y la creación de diseños para fomentar las actividades comerciales en los países en desarrollo y los PMA, que está prevista para finales de 2015.  Por consiguiente, no se prevén recursos para ese resultado en el bienio 2016/17.</w:t>
      </w:r>
    </w:p>
    <w:p w:rsidR="00236E18" w:rsidRPr="00CA4E6C" w:rsidRDefault="00236E18" w:rsidP="00236E18">
      <w:pPr>
        <w:jc w:val="both"/>
        <w:rPr>
          <w:sz w:val="20"/>
        </w:rPr>
      </w:pPr>
    </w:p>
    <w:p w:rsidR="00236E18" w:rsidRPr="00C7553F" w:rsidRDefault="00236E18" w:rsidP="00236E18">
      <w:pPr>
        <w:jc w:val="both"/>
        <w:rPr>
          <w:sz w:val="20"/>
          <w:highlight w:val="lightGray"/>
        </w:rPr>
      </w:pPr>
    </w:p>
    <w:p w:rsidR="00236E18" w:rsidRPr="00CA4E6C" w:rsidRDefault="00236E18" w:rsidP="00236E18">
      <w:pPr>
        <w:keepNext/>
        <w:keepLines/>
        <w:autoSpaceDE w:val="0"/>
        <w:autoSpaceDN w:val="0"/>
        <w:jc w:val="center"/>
        <w:rPr>
          <w:b/>
          <w:sz w:val="20"/>
          <w:lang w:val="es-ES_tradnl"/>
        </w:rPr>
      </w:pPr>
      <w:r w:rsidRPr="00CA4E6C">
        <w:rPr>
          <w:b/>
          <w:sz w:val="20"/>
          <w:lang w:val="es-ES_tradnl"/>
        </w:rPr>
        <w:t>Programa 2</w:t>
      </w:r>
      <w:proofErr w:type="gramStart"/>
      <w:r w:rsidRPr="00CA4E6C">
        <w:rPr>
          <w:b/>
          <w:sz w:val="20"/>
          <w:lang w:val="es-ES_tradnl"/>
        </w:rPr>
        <w:t>:  Recursos</w:t>
      </w:r>
      <w:proofErr w:type="gramEnd"/>
      <w:r w:rsidRPr="00CA4E6C">
        <w:rPr>
          <w:b/>
          <w:sz w:val="20"/>
          <w:lang w:val="es-ES_tradnl"/>
        </w:rPr>
        <w:t xml:space="preserve"> por resultado</w:t>
      </w:r>
    </w:p>
    <w:p w:rsidR="00236E18" w:rsidRPr="00CA4E6C" w:rsidRDefault="00236E18" w:rsidP="00236E18">
      <w:pPr>
        <w:keepNext/>
        <w:keepLines/>
        <w:autoSpaceDE w:val="0"/>
        <w:autoSpaceDN w:val="0"/>
        <w:jc w:val="center"/>
        <w:rPr>
          <w:i/>
          <w:sz w:val="20"/>
          <w:highlight w:val="lightGray"/>
          <w:lang w:val="es-ES_tradnl"/>
        </w:rPr>
      </w:pPr>
      <w:r w:rsidRPr="00CA4E6C">
        <w:rPr>
          <w:i/>
          <w:sz w:val="20"/>
          <w:lang w:val="es-ES_tradnl"/>
        </w:rPr>
        <w:t>(</w:t>
      </w:r>
      <w:proofErr w:type="gramStart"/>
      <w:r w:rsidRPr="00CA4E6C">
        <w:rPr>
          <w:i/>
          <w:sz w:val="20"/>
          <w:lang w:val="es-ES_tradnl"/>
        </w:rPr>
        <w:t>en</w:t>
      </w:r>
      <w:proofErr w:type="gramEnd"/>
      <w:r w:rsidRPr="00CA4E6C">
        <w:rPr>
          <w:i/>
          <w:sz w:val="20"/>
          <w:lang w:val="es-ES_tradnl"/>
        </w:rPr>
        <w:t xml:space="preserve"> miles de francos suizos)</w:t>
      </w:r>
    </w:p>
    <w:p w:rsidR="00236E18" w:rsidRPr="00372D5D" w:rsidRDefault="00236E18" w:rsidP="00236E18">
      <w:pPr>
        <w:keepNext/>
        <w:keepLines/>
        <w:rPr>
          <w:sz w:val="20"/>
          <w:highlight w:val="lightGray"/>
          <w:lang w:val="es-ES_tradnl"/>
        </w:rPr>
      </w:pPr>
    </w:p>
    <w:p w:rsidR="00236E18" w:rsidRPr="00EE0781" w:rsidRDefault="00236E18" w:rsidP="00236E18">
      <w:pPr>
        <w:keepNext/>
        <w:keepLines/>
        <w:jc w:val="center"/>
        <w:rPr>
          <w:sz w:val="20"/>
          <w:highlight w:val="lightGray"/>
        </w:rPr>
      </w:pPr>
      <w:r w:rsidRPr="00510672">
        <w:rPr>
          <w:noProof/>
          <w:lang w:val="en-US" w:eastAsia="en-US"/>
        </w:rPr>
        <w:drawing>
          <wp:inline distT="0" distB="0" distL="0" distR="0" wp14:anchorId="60085273" wp14:editId="3A4FDCD8">
            <wp:extent cx="5676900" cy="27063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76900" cy="2706370"/>
                    </a:xfrm>
                    <a:prstGeom prst="rect">
                      <a:avLst/>
                    </a:prstGeom>
                    <a:noFill/>
                    <a:ln>
                      <a:noFill/>
                    </a:ln>
                  </pic:spPr>
                </pic:pic>
              </a:graphicData>
            </a:graphic>
          </wp:inline>
        </w:drawing>
      </w:r>
    </w:p>
    <w:p w:rsidR="00236E18" w:rsidRPr="00EE0781" w:rsidRDefault="00236E18" w:rsidP="00236E18">
      <w:pPr>
        <w:rPr>
          <w:sz w:val="20"/>
          <w:highlight w:val="lightGray"/>
        </w:rPr>
      </w:pPr>
    </w:p>
    <w:p w:rsidR="00236E18" w:rsidRPr="00EE0781" w:rsidRDefault="00236E18" w:rsidP="00236E18">
      <w:pPr>
        <w:rPr>
          <w:sz w:val="20"/>
          <w:highlight w:val="lightGray"/>
        </w:rPr>
      </w:pPr>
    </w:p>
    <w:p w:rsidR="00236E18" w:rsidRPr="003D4434" w:rsidRDefault="00236E18" w:rsidP="00236E18">
      <w:pPr>
        <w:keepNext/>
        <w:keepLines/>
        <w:autoSpaceDE w:val="0"/>
        <w:autoSpaceDN w:val="0"/>
        <w:jc w:val="center"/>
        <w:rPr>
          <w:b/>
          <w:sz w:val="20"/>
          <w:lang w:val="es-ES_tradnl"/>
        </w:rPr>
      </w:pPr>
      <w:r w:rsidRPr="003D4434">
        <w:rPr>
          <w:b/>
          <w:sz w:val="20"/>
          <w:lang w:val="es-ES_tradnl"/>
        </w:rPr>
        <w:lastRenderedPageBreak/>
        <w:t>Programa 2</w:t>
      </w:r>
      <w:proofErr w:type="gramStart"/>
      <w:r w:rsidRPr="003D4434">
        <w:rPr>
          <w:b/>
          <w:sz w:val="20"/>
          <w:lang w:val="es-ES_tradnl"/>
        </w:rPr>
        <w:t>:  Recursos</w:t>
      </w:r>
      <w:proofErr w:type="gramEnd"/>
      <w:r w:rsidRPr="003D4434">
        <w:rPr>
          <w:b/>
          <w:sz w:val="20"/>
          <w:lang w:val="es-ES_tradnl"/>
        </w:rPr>
        <w:t xml:space="preserve"> por objeto de gasto</w:t>
      </w:r>
    </w:p>
    <w:p w:rsidR="00236E18" w:rsidRDefault="00236E18" w:rsidP="00236E18">
      <w:pPr>
        <w:keepNext/>
        <w:keepLines/>
        <w:autoSpaceDE w:val="0"/>
        <w:autoSpaceDN w:val="0"/>
        <w:jc w:val="center"/>
        <w:rPr>
          <w:i/>
          <w:sz w:val="20"/>
          <w:lang w:val="es-ES_tradnl"/>
        </w:rPr>
      </w:pPr>
      <w:r w:rsidRPr="003D4434">
        <w:rPr>
          <w:i/>
          <w:sz w:val="20"/>
          <w:lang w:val="es-ES_tradnl"/>
        </w:rPr>
        <w:t>(</w:t>
      </w:r>
      <w:proofErr w:type="gramStart"/>
      <w:r w:rsidRPr="003D4434">
        <w:rPr>
          <w:i/>
          <w:sz w:val="20"/>
          <w:lang w:val="es-ES_tradnl"/>
        </w:rPr>
        <w:t>en</w:t>
      </w:r>
      <w:proofErr w:type="gramEnd"/>
      <w:r w:rsidRPr="003D4434">
        <w:rPr>
          <w:i/>
          <w:sz w:val="20"/>
          <w:lang w:val="es-ES_tradnl"/>
        </w:rPr>
        <w:t xml:space="preserve"> miles de francos suizos)</w:t>
      </w:r>
    </w:p>
    <w:p w:rsidR="00236E18" w:rsidRPr="003D4434" w:rsidRDefault="00236E18" w:rsidP="00236E18">
      <w:pPr>
        <w:keepNext/>
        <w:keepLines/>
        <w:autoSpaceDE w:val="0"/>
        <w:autoSpaceDN w:val="0"/>
        <w:jc w:val="center"/>
        <w:rPr>
          <w:i/>
          <w:sz w:val="20"/>
          <w:highlight w:val="lightGray"/>
          <w:lang w:val="es-ES_tradnl"/>
        </w:rPr>
      </w:pPr>
    </w:p>
    <w:p w:rsidR="00236E18" w:rsidRPr="00372D5D" w:rsidRDefault="00236E18" w:rsidP="00236E18">
      <w:pPr>
        <w:keepNext/>
        <w:keepLines/>
        <w:autoSpaceDE w:val="0"/>
        <w:autoSpaceDN w:val="0"/>
        <w:jc w:val="center"/>
        <w:rPr>
          <w:i/>
          <w:sz w:val="20"/>
          <w:highlight w:val="lightGray"/>
          <w:lang w:val="es-ES_tradnl"/>
        </w:rPr>
      </w:pPr>
      <w:r>
        <w:rPr>
          <w:noProof/>
          <w:lang w:val="en-US" w:eastAsia="en-US"/>
        </w:rPr>
        <w:drawing>
          <wp:inline distT="0" distB="0" distL="0" distR="0" wp14:anchorId="0C3E2916" wp14:editId="47BAEA2A">
            <wp:extent cx="5940425" cy="6156844"/>
            <wp:effectExtent l="0" t="0" r="3175" b="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0425" cy="6156844"/>
                    </a:xfrm>
                    <a:prstGeom prst="rect">
                      <a:avLst/>
                    </a:prstGeom>
                    <a:noFill/>
                    <a:ln>
                      <a:noFill/>
                    </a:ln>
                  </pic:spPr>
                </pic:pic>
              </a:graphicData>
            </a:graphic>
          </wp:inline>
        </w:drawing>
      </w:r>
    </w:p>
    <w:p w:rsidR="00236E18" w:rsidRPr="009B4A78" w:rsidRDefault="00236E18" w:rsidP="00236E18">
      <w:pPr>
        <w:keepNext/>
        <w:keepLines/>
        <w:jc w:val="center"/>
        <w:rPr>
          <w:sz w:val="20"/>
        </w:rPr>
      </w:pPr>
    </w:p>
    <w:p w:rsidR="00236E18" w:rsidRPr="009B4A78" w:rsidRDefault="00236E18" w:rsidP="00236E18">
      <w:pPr>
        <w:jc w:val="center"/>
        <w:rPr>
          <w:sz w:val="20"/>
        </w:rPr>
      </w:pPr>
    </w:p>
    <w:p w:rsidR="00236E18" w:rsidRPr="009B4A78" w:rsidRDefault="00236E18" w:rsidP="00236E18">
      <w:pPr>
        <w:jc w:val="center"/>
        <w:rPr>
          <w:sz w:val="20"/>
        </w:rPr>
      </w:pPr>
    </w:p>
    <w:p w:rsidR="00236E18" w:rsidRPr="009B4A78" w:rsidRDefault="00236E18" w:rsidP="00236E18">
      <w:pPr>
        <w:rPr>
          <w:sz w:val="20"/>
        </w:rPr>
      </w:pPr>
      <w:r w:rsidRPr="009B4A78">
        <w:rPr>
          <w:sz w:val="20"/>
        </w:rPr>
        <w:br w:type="page"/>
      </w:r>
    </w:p>
    <w:p w:rsidR="00236E18" w:rsidRPr="002976EE" w:rsidRDefault="00236E18" w:rsidP="00236E18">
      <w:pPr>
        <w:pStyle w:val="StyleHeading3ComplexItalic"/>
        <w:rPr>
          <w:rStyle w:val="StyleStyleHeading3ComplexItalicLatin12ptChar"/>
          <w:rFonts w:eastAsia="SimSun"/>
          <w:b/>
          <w:szCs w:val="24"/>
          <w:lang w:val="es-ES_tradnl"/>
        </w:rPr>
      </w:pPr>
      <w:bookmarkStart w:id="40" w:name="_Toc431573541"/>
      <w:bookmarkStart w:id="41" w:name="_Toc431573942"/>
      <w:r w:rsidRPr="002976EE">
        <w:rPr>
          <w:rStyle w:val="StyleStyleHeading3ComplexItalicLatin12ptChar"/>
          <w:rFonts w:eastAsia="SimSun"/>
          <w:b/>
          <w:szCs w:val="24"/>
          <w:lang w:val="es-ES_tradnl"/>
        </w:rPr>
        <w:lastRenderedPageBreak/>
        <w:t>PROGRAMA 3</w:t>
      </w:r>
      <w:r w:rsidRPr="002976EE">
        <w:rPr>
          <w:rStyle w:val="StyleStyleHeading3ComplexItalicLatin12ptChar"/>
          <w:rFonts w:eastAsia="SimSun"/>
          <w:b/>
          <w:szCs w:val="24"/>
          <w:lang w:val="es-ES_tradnl"/>
        </w:rPr>
        <w:tab/>
        <w:t>DERECHO DE AUTOR Y DERECHOS CONEXOS</w:t>
      </w:r>
      <w:bookmarkEnd w:id="40"/>
      <w:bookmarkEnd w:id="41"/>
    </w:p>
    <w:p w:rsidR="00236E18" w:rsidRPr="007F1C3E" w:rsidRDefault="00236E18" w:rsidP="00236E18">
      <w:pPr>
        <w:tabs>
          <w:tab w:val="left" w:pos="2268"/>
        </w:tabs>
        <w:ind w:left="2268" w:hanging="2268"/>
        <w:rPr>
          <w:bCs/>
          <w:szCs w:val="22"/>
        </w:rPr>
      </w:pPr>
    </w:p>
    <w:p w:rsidR="00236E18" w:rsidRPr="007F1C3E" w:rsidRDefault="00236E18" w:rsidP="00236E18">
      <w:pPr>
        <w:pStyle w:val="BodyTextIndent"/>
        <w:spacing w:after="0"/>
        <w:ind w:left="1985" w:hanging="1985"/>
        <w:rPr>
          <w:szCs w:val="22"/>
        </w:rPr>
      </w:pPr>
    </w:p>
    <w:p w:rsidR="00236E18" w:rsidRPr="007F1C3E" w:rsidRDefault="00236E18" w:rsidP="00236E18">
      <w:pPr>
        <w:pStyle w:val="BodyTextIndent"/>
        <w:spacing w:after="0"/>
        <w:ind w:left="1985" w:hanging="1985"/>
        <w:rPr>
          <w:szCs w:val="24"/>
        </w:rPr>
      </w:pPr>
      <w:r w:rsidRPr="007F1C3E">
        <w:rPr>
          <w:szCs w:val="24"/>
        </w:rPr>
        <w:t>CONTEXTO DE PLANIFICACIÓN</w:t>
      </w:r>
    </w:p>
    <w:p w:rsidR="00236E18" w:rsidRPr="007F1C3E" w:rsidRDefault="00236E18" w:rsidP="00236E18">
      <w:pPr>
        <w:pStyle w:val="BodyTextIndent"/>
        <w:spacing w:after="0"/>
        <w:ind w:left="1985" w:hanging="1985"/>
        <w:rPr>
          <w:sz w:val="20"/>
          <w:szCs w:val="22"/>
        </w:rPr>
      </w:pPr>
    </w:p>
    <w:p w:rsidR="00236E18" w:rsidRPr="007F1C3E" w:rsidRDefault="00236E18" w:rsidP="00236E18">
      <w:pPr>
        <w:numPr>
          <w:ilvl w:val="0"/>
          <w:numId w:val="12"/>
        </w:numPr>
        <w:autoSpaceDE w:val="0"/>
        <w:autoSpaceDN w:val="0"/>
        <w:adjustRightInd w:val="0"/>
        <w:jc w:val="both"/>
        <w:rPr>
          <w:sz w:val="20"/>
          <w:szCs w:val="22"/>
        </w:rPr>
      </w:pPr>
      <w:r w:rsidRPr="007F1C3E">
        <w:rPr>
          <w:sz w:val="20"/>
          <w:szCs w:val="22"/>
        </w:rPr>
        <w:t>En el entorno relativo a las obras creativas, se han producido cambios fundamentales a escala mundial que plantean desafíos y oportunidades a la OMPI.  Ese hecho se pone de manifiesto particularmente en la esfera del derecho de autor y los derechos conexos, en la que la tecnología digital, Internet y las aplicaciones para móviles están cambiando profundamente la cultura y las industrias creativas.</w:t>
      </w:r>
    </w:p>
    <w:p w:rsidR="00236E18" w:rsidRPr="007F1C3E" w:rsidRDefault="00236E18" w:rsidP="00236E18">
      <w:pPr>
        <w:autoSpaceDE w:val="0"/>
        <w:autoSpaceDN w:val="0"/>
        <w:adjustRightInd w:val="0"/>
        <w:jc w:val="both"/>
        <w:rPr>
          <w:sz w:val="20"/>
          <w:szCs w:val="22"/>
        </w:rPr>
      </w:pPr>
    </w:p>
    <w:p w:rsidR="00236E18" w:rsidRPr="00111CA6" w:rsidRDefault="00236E18" w:rsidP="00236E18">
      <w:pPr>
        <w:numPr>
          <w:ilvl w:val="0"/>
          <w:numId w:val="12"/>
        </w:numPr>
        <w:autoSpaceDE w:val="0"/>
        <w:autoSpaceDN w:val="0"/>
        <w:adjustRightInd w:val="0"/>
        <w:jc w:val="both"/>
        <w:rPr>
          <w:sz w:val="20"/>
          <w:szCs w:val="22"/>
        </w:rPr>
      </w:pPr>
      <w:r w:rsidRPr="00111CA6">
        <w:rPr>
          <w:sz w:val="20"/>
          <w:szCs w:val="22"/>
        </w:rPr>
        <w:t>Las cuestiones y los desafíos que se indican a continuación seguirán siendo pertinentes en el próximo bienio.</w:t>
      </w:r>
      <w:r>
        <w:rPr>
          <w:sz w:val="20"/>
          <w:szCs w:val="22"/>
        </w:rPr>
        <w:t xml:space="preserve">  </w:t>
      </w:r>
      <w:r w:rsidRPr="00111CA6">
        <w:rPr>
          <w:sz w:val="20"/>
          <w:szCs w:val="22"/>
        </w:rPr>
        <w:t>Por lo que respecta a la labor normativa y de política, quedan por resolver varias cuestiones aún pendientes en la agenda normativa del derecho de autor.  También será necesario determinar cuáles serán los temas del futuro orden del día del Comité Permanente de Derecho de Autor y Derechos Conexos (SCCR).</w:t>
      </w:r>
    </w:p>
    <w:p w:rsidR="00236E18" w:rsidRPr="007F1C3E" w:rsidRDefault="00236E18" w:rsidP="00236E18">
      <w:pPr>
        <w:autoSpaceDE w:val="0"/>
        <w:autoSpaceDN w:val="0"/>
        <w:adjustRightInd w:val="0"/>
        <w:jc w:val="both"/>
        <w:rPr>
          <w:sz w:val="20"/>
          <w:szCs w:val="22"/>
        </w:rPr>
      </w:pPr>
    </w:p>
    <w:p w:rsidR="00236E18" w:rsidRPr="007F1C3E" w:rsidRDefault="00236E18" w:rsidP="00236E18">
      <w:pPr>
        <w:numPr>
          <w:ilvl w:val="0"/>
          <w:numId w:val="12"/>
        </w:numPr>
        <w:autoSpaceDE w:val="0"/>
        <w:autoSpaceDN w:val="0"/>
        <w:adjustRightInd w:val="0"/>
        <w:jc w:val="both"/>
        <w:rPr>
          <w:sz w:val="20"/>
          <w:szCs w:val="22"/>
        </w:rPr>
      </w:pPr>
      <w:r w:rsidRPr="007F1C3E">
        <w:rPr>
          <w:sz w:val="20"/>
          <w:szCs w:val="22"/>
        </w:rPr>
        <w:t>Además, un desafío fundamental para la Secretaría será responder a las peticiones de los Estados miembros en materia de asesoramiento para compatibilizar sus legislaciones nacionales con las obligaciones internacionales</w:t>
      </w:r>
      <w:r>
        <w:rPr>
          <w:sz w:val="20"/>
          <w:szCs w:val="22"/>
        </w:rPr>
        <w:t>, teniendo presente las flexibilidades que ofrece el sistema multilateral.</w:t>
      </w:r>
    </w:p>
    <w:p w:rsidR="00236E18" w:rsidRPr="007F1C3E" w:rsidRDefault="00236E18" w:rsidP="00236E18">
      <w:pPr>
        <w:autoSpaceDE w:val="0"/>
        <w:autoSpaceDN w:val="0"/>
        <w:adjustRightInd w:val="0"/>
        <w:jc w:val="both"/>
        <w:rPr>
          <w:sz w:val="20"/>
          <w:szCs w:val="22"/>
        </w:rPr>
      </w:pPr>
    </w:p>
    <w:p w:rsidR="00236E18" w:rsidRPr="007F1C3E" w:rsidRDefault="00236E18" w:rsidP="00236E18">
      <w:pPr>
        <w:numPr>
          <w:ilvl w:val="0"/>
          <w:numId w:val="12"/>
        </w:numPr>
        <w:autoSpaceDE w:val="0"/>
        <w:autoSpaceDN w:val="0"/>
        <w:adjustRightInd w:val="0"/>
        <w:jc w:val="both"/>
        <w:rPr>
          <w:sz w:val="20"/>
          <w:szCs w:val="22"/>
        </w:rPr>
      </w:pPr>
      <w:r w:rsidRPr="007F1C3E">
        <w:rPr>
          <w:sz w:val="20"/>
          <w:szCs w:val="22"/>
        </w:rPr>
        <w:t>La rápida evolución de la tecnología y los nuevos aspectos de la interrelación de las nuevas tecnologías con los sistemas de protección del derecho de autor seguirán planteando desafíos a los países en desarrollo y países menos adelantados.  Por lo tanto, es fundamental que la OMPI ponga en marcha programas sostenibles de asistencia técnica en favor de los países que deben hacer frente a esa problemática.</w:t>
      </w:r>
    </w:p>
    <w:p w:rsidR="00236E18" w:rsidRPr="007F1C3E" w:rsidRDefault="00236E18" w:rsidP="00236E18">
      <w:pPr>
        <w:autoSpaceDE w:val="0"/>
        <w:autoSpaceDN w:val="0"/>
        <w:adjustRightInd w:val="0"/>
        <w:jc w:val="both"/>
        <w:rPr>
          <w:sz w:val="20"/>
          <w:szCs w:val="22"/>
          <w:u w:val="single"/>
        </w:rPr>
      </w:pPr>
    </w:p>
    <w:p w:rsidR="00236E18" w:rsidRPr="007F1C3E" w:rsidRDefault="00236E18" w:rsidP="00236E18">
      <w:pPr>
        <w:numPr>
          <w:ilvl w:val="0"/>
          <w:numId w:val="12"/>
        </w:numPr>
        <w:autoSpaceDE w:val="0"/>
        <w:autoSpaceDN w:val="0"/>
        <w:adjustRightInd w:val="0"/>
        <w:jc w:val="both"/>
        <w:rPr>
          <w:sz w:val="20"/>
          <w:szCs w:val="22"/>
        </w:rPr>
      </w:pPr>
      <w:r w:rsidRPr="007F1C3E">
        <w:rPr>
          <w:sz w:val="20"/>
          <w:szCs w:val="22"/>
        </w:rPr>
        <w:t>En un mundo en rápida evolución, que depende cada vez más de las tecnologías digitales, el mayor desafío en lo que atañe a la infraestructura será velar por que los titulares de derechos reciban lo que les es debido y que los usuarios de los derechos puedan acceder de manera legítima y sencilla al contenido de derecho de autor que escojan.</w:t>
      </w:r>
    </w:p>
    <w:p w:rsidR="00236E18" w:rsidRPr="007F1C3E" w:rsidRDefault="00236E18" w:rsidP="00236E18">
      <w:pPr>
        <w:autoSpaceDE w:val="0"/>
        <w:autoSpaceDN w:val="0"/>
        <w:adjustRightInd w:val="0"/>
        <w:jc w:val="both"/>
        <w:rPr>
          <w:sz w:val="20"/>
          <w:szCs w:val="22"/>
        </w:rPr>
      </w:pPr>
    </w:p>
    <w:p w:rsidR="00236E18" w:rsidRPr="007F1C3E" w:rsidRDefault="00236E18" w:rsidP="00236E18">
      <w:pPr>
        <w:autoSpaceDE w:val="0"/>
        <w:autoSpaceDN w:val="0"/>
        <w:adjustRightInd w:val="0"/>
        <w:rPr>
          <w:sz w:val="20"/>
          <w:szCs w:val="22"/>
        </w:rPr>
      </w:pPr>
    </w:p>
    <w:p w:rsidR="00236E18" w:rsidRPr="007F1C3E" w:rsidRDefault="00236E18" w:rsidP="00236E18">
      <w:pPr>
        <w:autoSpaceDE w:val="0"/>
        <w:autoSpaceDN w:val="0"/>
        <w:adjustRightInd w:val="0"/>
        <w:rPr>
          <w:szCs w:val="24"/>
        </w:rPr>
      </w:pPr>
      <w:r w:rsidRPr="007F1C3E">
        <w:rPr>
          <w:szCs w:val="24"/>
        </w:rPr>
        <w:t>ESTRATEGIAS DE EJECUCIÓN</w:t>
      </w:r>
    </w:p>
    <w:p w:rsidR="00236E18" w:rsidRPr="007F1C3E" w:rsidRDefault="00236E18" w:rsidP="00236E18">
      <w:pPr>
        <w:autoSpaceDE w:val="0"/>
        <w:autoSpaceDN w:val="0"/>
        <w:adjustRightInd w:val="0"/>
        <w:rPr>
          <w:sz w:val="18"/>
          <w:szCs w:val="22"/>
        </w:rPr>
      </w:pPr>
    </w:p>
    <w:p w:rsidR="00236E18" w:rsidRPr="007F1C3E" w:rsidRDefault="00236E18" w:rsidP="00236E18">
      <w:pPr>
        <w:numPr>
          <w:ilvl w:val="0"/>
          <w:numId w:val="12"/>
        </w:numPr>
        <w:autoSpaceDE w:val="0"/>
        <w:autoSpaceDN w:val="0"/>
        <w:adjustRightInd w:val="0"/>
        <w:jc w:val="both"/>
        <w:rPr>
          <w:sz w:val="20"/>
          <w:szCs w:val="22"/>
        </w:rPr>
      </w:pPr>
      <w:r w:rsidRPr="007F1C3E">
        <w:rPr>
          <w:bCs/>
          <w:sz w:val="20"/>
          <w:szCs w:val="22"/>
        </w:rPr>
        <w:t>A la luz de lo antedicho</w:t>
      </w:r>
      <w:r w:rsidRPr="007F1C3E">
        <w:rPr>
          <w:sz w:val="20"/>
          <w:szCs w:val="22"/>
        </w:rPr>
        <w:t>, en el próximo bienio el programa girará en torno a las prioridades siguientes, para cuya aplicación se tendrán debidamente en cuenta las recomendaciones 1, 6, 12 a 17, 19 y 20 de la Agenda para el Desarrollo.</w:t>
      </w:r>
    </w:p>
    <w:p w:rsidR="00236E18" w:rsidRPr="007F1C3E" w:rsidRDefault="00236E18" w:rsidP="00236E18">
      <w:pPr>
        <w:jc w:val="both"/>
        <w:rPr>
          <w:sz w:val="20"/>
          <w:szCs w:val="22"/>
        </w:rPr>
      </w:pPr>
    </w:p>
    <w:p w:rsidR="00236E18" w:rsidRPr="007F1C3E" w:rsidRDefault="00236E18" w:rsidP="00236E18">
      <w:pPr>
        <w:jc w:val="both"/>
        <w:rPr>
          <w:sz w:val="20"/>
          <w:szCs w:val="22"/>
          <w:u w:val="single"/>
        </w:rPr>
      </w:pPr>
      <w:r w:rsidRPr="007F1C3E">
        <w:rPr>
          <w:sz w:val="20"/>
          <w:szCs w:val="22"/>
          <w:u w:val="single"/>
        </w:rPr>
        <w:t>Labor normativa y de política</w:t>
      </w:r>
    </w:p>
    <w:p w:rsidR="00236E18" w:rsidRPr="007F1C3E" w:rsidRDefault="00236E18" w:rsidP="00236E18">
      <w:pPr>
        <w:jc w:val="both"/>
        <w:rPr>
          <w:sz w:val="20"/>
          <w:szCs w:val="22"/>
        </w:rPr>
      </w:pPr>
    </w:p>
    <w:p w:rsidR="00236E18" w:rsidRPr="007F1C3E" w:rsidRDefault="00236E18" w:rsidP="00236E18">
      <w:pPr>
        <w:numPr>
          <w:ilvl w:val="0"/>
          <w:numId w:val="12"/>
        </w:numPr>
        <w:autoSpaceDE w:val="0"/>
        <w:autoSpaceDN w:val="0"/>
        <w:adjustRightInd w:val="0"/>
        <w:jc w:val="both"/>
        <w:rPr>
          <w:sz w:val="20"/>
          <w:szCs w:val="22"/>
        </w:rPr>
      </w:pPr>
      <w:r w:rsidRPr="007F1C3E">
        <w:rPr>
          <w:sz w:val="20"/>
          <w:szCs w:val="22"/>
        </w:rPr>
        <w:t xml:space="preserve">Se prevé celebrar dos sesiones del SCCR por año.  Los avances en la agenda normativa se centrarán en facilitar las negociaciones de fondo en relación con los puntos del orden del día del SCCR y responder a las peticiones de los Estados miembros respecto de la aplicación de los tratados, nuevos y existentes.  La labor de facilitación tendrá que ver con </w:t>
      </w:r>
      <w:r>
        <w:rPr>
          <w:sz w:val="20"/>
          <w:szCs w:val="22"/>
        </w:rPr>
        <w:t xml:space="preserve">la propuesta de tratado sobre </w:t>
      </w:r>
      <w:r w:rsidRPr="007F1C3E">
        <w:rPr>
          <w:sz w:val="20"/>
          <w:szCs w:val="22"/>
        </w:rPr>
        <w:t>los organismos de radiodifusión, las excepciones y limitaciones en favor de bibliotecas, archivos</w:t>
      </w:r>
      <w:r>
        <w:rPr>
          <w:sz w:val="20"/>
          <w:szCs w:val="22"/>
        </w:rPr>
        <w:t>,</w:t>
      </w:r>
      <w:r w:rsidRPr="007F1C3E">
        <w:rPr>
          <w:sz w:val="20"/>
          <w:szCs w:val="22"/>
        </w:rPr>
        <w:t xml:space="preserve"> instituciones educativas</w:t>
      </w:r>
      <w:r>
        <w:rPr>
          <w:sz w:val="20"/>
          <w:szCs w:val="22"/>
        </w:rPr>
        <w:t xml:space="preserve"> y de investigación</w:t>
      </w:r>
      <w:r w:rsidRPr="007F1C3E">
        <w:rPr>
          <w:sz w:val="20"/>
          <w:szCs w:val="22"/>
        </w:rPr>
        <w:t>, así como de las personas con discapacidades (aparte de la dificultad para acceder al texto impreso).</w:t>
      </w:r>
    </w:p>
    <w:p w:rsidR="00236E18" w:rsidRPr="007F1C3E" w:rsidRDefault="00236E18" w:rsidP="00236E18">
      <w:pPr>
        <w:autoSpaceDE w:val="0"/>
        <w:autoSpaceDN w:val="0"/>
        <w:adjustRightInd w:val="0"/>
        <w:jc w:val="both"/>
        <w:rPr>
          <w:sz w:val="20"/>
          <w:szCs w:val="22"/>
        </w:rPr>
      </w:pPr>
    </w:p>
    <w:p w:rsidR="00236E18" w:rsidRPr="007F1C3E" w:rsidRDefault="00236E18" w:rsidP="00236E18">
      <w:pPr>
        <w:numPr>
          <w:ilvl w:val="0"/>
          <w:numId w:val="12"/>
        </w:numPr>
        <w:autoSpaceDE w:val="0"/>
        <w:autoSpaceDN w:val="0"/>
        <w:adjustRightInd w:val="0"/>
        <w:jc w:val="both"/>
        <w:rPr>
          <w:sz w:val="20"/>
          <w:szCs w:val="22"/>
        </w:rPr>
      </w:pPr>
      <w:r w:rsidRPr="007F1C3E">
        <w:rPr>
          <w:sz w:val="20"/>
          <w:szCs w:val="22"/>
        </w:rPr>
        <w:t xml:space="preserve">Los nuevos tratados que hay que aplicar son el Tratado de Beijing sobre Interpretaciones y Ejecuciones Audiovisuales y el Tratado de Marrakech para facilitar el acceso a las obras publicadas a las personas ciegas, con discapacidad visual o con otras dificultades para acceder al texto impreso.  Se procurará alentar la aplicación de esos dos Tratados, en coordinación con los </w:t>
      </w:r>
      <w:r w:rsidRPr="007F1C3E">
        <w:rPr>
          <w:bCs/>
          <w:sz w:val="20"/>
          <w:szCs w:val="22"/>
        </w:rPr>
        <w:t>representantes de los beneficiarios de esos Tratados, los intermediarios que intervienen en la aplicación y los Estados miembros.</w:t>
      </w:r>
    </w:p>
    <w:p w:rsidR="00236E18" w:rsidRPr="007F1C3E" w:rsidRDefault="00236E18" w:rsidP="00236E18">
      <w:pPr>
        <w:pStyle w:val="ListParagraph"/>
        <w:ind w:left="0"/>
        <w:jc w:val="both"/>
        <w:rPr>
          <w:rFonts w:ascii="Arial" w:hAnsi="Arial" w:cs="Arial"/>
          <w:sz w:val="20"/>
          <w:lang w:val="es-ES"/>
        </w:rPr>
      </w:pPr>
    </w:p>
    <w:p w:rsidR="00236E18" w:rsidRPr="007F1C3E" w:rsidRDefault="00236E18" w:rsidP="00236E18">
      <w:pPr>
        <w:numPr>
          <w:ilvl w:val="0"/>
          <w:numId w:val="12"/>
        </w:numPr>
        <w:autoSpaceDE w:val="0"/>
        <w:autoSpaceDN w:val="0"/>
        <w:adjustRightInd w:val="0"/>
        <w:jc w:val="both"/>
        <w:rPr>
          <w:sz w:val="20"/>
          <w:szCs w:val="22"/>
        </w:rPr>
      </w:pPr>
      <w:r w:rsidRPr="007F1C3E">
        <w:rPr>
          <w:sz w:val="20"/>
          <w:szCs w:val="22"/>
        </w:rPr>
        <w:t>Durante este bienio se realizarán varios estudios solicitados por el SCCR</w:t>
      </w:r>
      <w:r>
        <w:rPr>
          <w:sz w:val="20"/>
          <w:szCs w:val="22"/>
        </w:rPr>
        <w:t xml:space="preserve"> y se celebrarán conferencias sobre temas de actualidad</w:t>
      </w:r>
      <w:r w:rsidRPr="007F1C3E">
        <w:rPr>
          <w:sz w:val="20"/>
          <w:szCs w:val="22"/>
        </w:rPr>
        <w:t>.</w:t>
      </w:r>
    </w:p>
    <w:p w:rsidR="00236E18" w:rsidRPr="007F1C3E" w:rsidRDefault="00236E18" w:rsidP="00236E18">
      <w:pPr>
        <w:autoSpaceDE w:val="0"/>
        <w:autoSpaceDN w:val="0"/>
        <w:adjustRightInd w:val="0"/>
        <w:rPr>
          <w:sz w:val="20"/>
          <w:szCs w:val="22"/>
          <w:u w:val="single"/>
        </w:rPr>
      </w:pPr>
    </w:p>
    <w:p w:rsidR="00236E18" w:rsidRPr="007F1C3E" w:rsidRDefault="00236E18" w:rsidP="00236E18">
      <w:pPr>
        <w:keepNext/>
        <w:keepLines/>
        <w:autoSpaceDE w:val="0"/>
        <w:autoSpaceDN w:val="0"/>
        <w:adjustRightInd w:val="0"/>
        <w:rPr>
          <w:sz w:val="20"/>
          <w:szCs w:val="22"/>
          <w:u w:val="single"/>
        </w:rPr>
      </w:pPr>
      <w:r w:rsidRPr="007F1C3E">
        <w:rPr>
          <w:sz w:val="20"/>
          <w:szCs w:val="22"/>
          <w:u w:val="single"/>
        </w:rPr>
        <w:lastRenderedPageBreak/>
        <w:t>Asistencia técnica a los países en desarrollo y los PMA</w:t>
      </w:r>
    </w:p>
    <w:p w:rsidR="00236E18" w:rsidRPr="007F1C3E" w:rsidRDefault="00236E18" w:rsidP="00236E18">
      <w:pPr>
        <w:keepNext/>
        <w:keepLines/>
        <w:autoSpaceDE w:val="0"/>
        <w:autoSpaceDN w:val="0"/>
        <w:adjustRightInd w:val="0"/>
        <w:rPr>
          <w:sz w:val="20"/>
          <w:szCs w:val="22"/>
        </w:rPr>
      </w:pPr>
    </w:p>
    <w:p w:rsidR="00236E18" w:rsidRPr="007F1C3E" w:rsidRDefault="00236E18" w:rsidP="00236E18">
      <w:pPr>
        <w:pStyle w:val="ListParagraph"/>
        <w:keepNext/>
        <w:keepLines/>
        <w:numPr>
          <w:ilvl w:val="0"/>
          <w:numId w:val="12"/>
        </w:numPr>
        <w:autoSpaceDE w:val="0"/>
        <w:autoSpaceDN w:val="0"/>
        <w:adjustRightInd w:val="0"/>
        <w:jc w:val="both"/>
        <w:rPr>
          <w:rFonts w:ascii="Arial" w:hAnsi="Arial" w:cs="Arial"/>
          <w:sz w:val="20"/>
          <w:lang w:val="es-ES"/>
        </w:rPr>
      </w:pPr>
      <w:r w:rsidRPr="007F1C3E">
        <w:rPr>
          <w:rFonts w:ascii="Arial" w:hAnsi="Arial" w:cs="Arial"/>
          <w:sz w:val="20"/>
          <w:lang w:val="es-ES"/>
        </w:rPr>
        <w:t>La asistencia técnica a los países en desarrollo y países menos adelantados seguirá girando en torno al fortalecimiento de los conocimientos técnicos y las capacidades de las instituciones, por ejemplo, las oficinas nacionales de derecho de autor,</w:t>
      </w:r>
      <w:r>
        <w:rPr>
          <w:rFonts w:ascii="Arial" w:hAnsi="Arial" w:cs="Arial"/>
          <w:sz w:val="20"/>
          <w:lang w:val="es-ES"/>
        </w:rPr>
        <w:t xml:space="preserve"> así como entre las partes interesadas,</w:t>
      </w:r>
      <w:r w:rsidRPr="007F1C3E">
        <w:rPr>
          <w:rFonts w:ascii="Arial" w:hAnsi="Arial" w:cs="Arial"/>
          <w:sz w:val="20"/>
          <w:lang w:val="es-ES"/>
        </w:rPr>
        <w:t xml:space="preserve"> para facilitar la utilización eficaz del sistema de derecho de autor para el desarrollo social, cultural y económico.  Con ese fin, se consolidará la coordinación interna con otros programas que brindan asistencia técnica, y se idearán y desarrollarán</w:t>
      </w:r>
      <w:r>
        <w:rPr>
          <w:rFonts w:ascii="Arial" w:hAnsi="Arial" w:cs="Arial"/>
          <w:sz w:val="20"/>
          <w:lang w:val="es-ES"/>
        </w:rPr>
        <w:t xml:space="preserve"> programas de fortalecimiento de capacidades y de sensibilización o</w:t>
      </w:r>
      <w:r w:rsidRPr="007F1C3E">
        <w:rPr>
          <w:rFonts w:ascii="Arial" w:hAnsi="Arial" w:cs="Arial"/>
          <w:sz w:val="20"/>
          <w:lang w:val="es-ES"/>
        </w:rPr>
        <w:t xml:space="preserve"> herramientas </w:t>
      </w:r>
      <w:r>
        <w:rPr>
          <w:rFonts w:ascii="Arial" w:hAnsi="Arial" w:cs="Arial"/>
          <w:sz w:val="20"/>
          <w:lang w:val="es-ES"/>
        </w:rPr>
        <w:t xml:space="preserve">destinadas a </w:t>
      </w:r>
      <w:r w:rsidRPr="007F1C3E">
        <w:rPr>
          <w:rFonts w:ascii="Arial" w:hAnsi="Arial" w:cs="Arial"/>
          <w:sz w:val="20"/>
          <w:lang w:val="es-ES"/>
        </w:rPr>
        <w:t>las oficina</w:t>
      </w:r>
      <w:r>
        <w:rPr>
          <w:rFonts w:ascii="Arial" w:hAnsi="Arial" w:cs="Arial"/>
          <w:sz w:val="20"/>
          <w:lang w:val="es-ES"/>
        </w:rPr>
        <w:t>s nacionales de derecho de autor</w:t>
      </w:r>
      <w:r w:rsidRPr="007F1C3E">
        <w:rPr>
          <w:rFonts w:ascii="Arial" w:hAnsi="Arial" w:cs="Arial"/>
          <w:sz w:val="20"/>
          <w:lang w:val="es-ES"/>
        </w:rPr>
        <w:t>.</w:t>
      </w:r>
    </w:p>
    <w:p w:rsidR="00236E18" w:rsidRPr="007F1C3E" w:rsidRDefault="00236E18" w:rsidP="00236E18">
      <w:pPr>
        <w:pStyle w:val="ListParagraph"/>
        <w:autoSpaceDE w:val="0"/>
        <w:autoSpaceDN w:val="0"/>
        <w:adjustRightInd w:val="0"/>
        <w:ind w:left="0"/>
        <w:jc w:val="both"/>
        <w:rPr>
          <w:rFonts w:ascii="Arial" w:hAnsi="Arial" w:cs="Arial"/>
          <w:sz w:val="20"/>
          <w:lang w:val="es-ES"/>
        </w:rPr>
      </w:pPr>
    </w:p>
    <w:p w:rsidR="00236E18" w:rsidRPr="007F1C3E" w:rsidRDefault="00236E18" w:rsidP="00236E18">
      <w:pPr>
        <w:pStyle w:val="ListParagraph"/>
        <w:autoSpaceDE w:val="0"/>
        <w:autoSpaceDN w:val="0"/>
        <w:adjustRightInd w:val="0"/>
        <w:ind w:left="0"/>
        <w:jc w:val="both"/>
        <w:rPr>
          <w:rFonts w:ascii="Arial" w:hAnsi="Arial" w:cs="Arial"/>
          <w:sz w:val="20"/>
          <w:u w:val="single"/>
          <w:lang w:val="es-ES"/>
        </w:rPr>
      </w:pPr>
    </w:p>
    <w:p w:rsidR="00236E18" w:rsidRPr="007F1C3E" w:rsidRDefault="00236E18" w:rsidP="00236E18">
      <w:pPr>
        <w:pStyle w:val="ListParagraph"/>
        <w:autoSpaceDE w:val="0"/>
        <w:autoSpaceDN w:val="0"/>
        <w:adjustRightInd w:val="0"/>
        <w:ind w:left="0"/>
        <w:jc w:val="both"/>
        <w:rPr>
          <w:rFonts w:ascii="Arial" w:hAnsi="Arial" w:cs="Arial"/>
          <w:sz w:val="20"/>
          <w:u w:val="single"/>
          <w:lang w:val="es-ES"/>
        </w:rPr>
      </w:pPr>
      <w:r w:rsidRPr="007F1C3E">
        <w:rPr>
          <w:rFonts w:ascii="Arial" w:hAnsi="Arial" w:cs="Arial"/>
          <w:sz w:val="20"/>
          <w:u w:val="single"/>
          <w:lang w:val="es-ES"/>
        </w:rPr>
        <w:t>Fomentar el desarrollo de infraestructura en el ámbito del derecho de autor</w:t>
      </w:r>
    </w:p>
    <w:p w:rsidR="00236E18" w:rsidRPr="007F1C3E" w:rsidRDefault="00236E18" w:rsidP="00236E18">
      <w:pPr>
        <w:pStyle w:val="ListParagraph"/>
        <w:ind w:left="0"/>
        <w:jc w:val="both"/>
        <w:rPr>
          <w:rFonts w:ascii="Arial" w:hAnsi="Arial" w:cs="Arial"/>
          <w:sz w:val="20"/>
          <w:lang w:val="es-ES"/>
        </w:rPr>
      </w:pPr>
    </w:p>
    <w:p w:rsidR="00236E18" w:rsidRPr="007F1C3E" w:rsidRDefault="00236E18" w:rsidP="00236E18">
      <w:pPr>
        <w:pStyle w:val="ListParagraph"/>
        <w:numPr>
          <w:ilvl w:val="0"/>
          <w:numId w:val="12"/>
        </w:numPr>
        <w:autoSpaceDE w:val="0"/>
        <w:autoSpaceDN w:val="0"/>
        <w:adjustRightInd w:val="0"/>
        <w:jc w:val="both"/>
        <w:rPr>
          <w:rFonts w:ascii="Arial" w:hAnsi="Arial" w:cs="Arial"/>
          <w:sz w:val="20"/>
          <w:lang w:val="es-ES"/>
        </w:rPr>
      </w:pPr>
      <w:r w:rsidRPr="007F1C3E">
        <w:rPr>
          <w:rFonts w:ascii="Arial" w:hAnsi="Arial" w:cs="Arial"/>
          <w:sz w:val="20"/>
          <w:lang w:val="es-ES"/>
        </w:rPr>
        <w:t xml:space="preserve">La labor en la esfera de la infraestructura de derecho de autor y derechos conexos girará en torno al establecimiento de una norma internacional de garantía de calidad, </w:t>
      </w:r>
      <w:r w:rsidRPr="007F1C3E">
        <w:rPr>
          <w:rFonts w:ascii="Arial" w:hAnsi="Arial" w:cs="Arial"/>
          <w:i/>
          <w:sz w:val="20"/>
          <w:lang w:val="es-ES"/>
        </w:rPr>
        <w:t xml:space="preserve">TAG of </w:t>
      </w:r>
      <w:proofErr w:type="spellStart"/>
      <w:r w:rsidRPr="007F1C3E">
        <w:rPr>
          <w:rFonts w:ascii="Arial" w:hAnsi="Arial" w:cs="Arial"/>
          <w:i/>
          <w:sz w:val="20"/>
          <w:lang w:val="es-ES"/>
        </w:rPr>
        <w:t>Excellence</w:t>
      </w:r>
      <w:proofErr w:type="spellEnd"/>
      <w:r w:rsidRPr="007F1C3E">
        <w:rPr>
          <w:rFonts w:ascii="Arial" w:hAnsi="Arial" w:cs="Arial"/>
          <w:sz w:val="20"/>
          <w:lang w:val="es-ES"/>
        </w:rPr>
        <w:t>, para los organismos de gestión colectiva</w:t>
      </w:r>
      <w:r>
        <w:rPr>
          <w:rFonts w:ascii="Arial" w:hAnsi="Arial" w:cs="Arial"/>
          <w:sz w:val="20"/>
          <w:lang w:val="es-ES"/>
        </w:rPr>
        <w:t xml:space="preserve"> (OGC)</w:t>
      </w:r>
      <w:r w:rsidRPr="007F1C3E">
        <w:rPr>
          <w:rFonts w:ascii="Arial" w:hAnsi="Arial" w:cs="Arial"/>
          <w:sz w:val="20"/>
          <w:lang w:val="es-ES"/>
        </w:rPr>
        <w:t xml:space="preserve">, así como un programa de educación sobre transparencia, rendición de cuentas y gobernanza de los </w:t>
      </w:r>
      <w:r>
        <w:rPr>
          <w:rFonts w:ascii="Arial" w:hAnsi="Arial" w:cs="Arial"/>
          <w:sz w:val="20"/>
          <w:lang w:val="es-ES"/>
        </w:rPr>
        <w:t>OGC</w:t>
      </w:r>
      <w:r w:rsidRPr="007F1C3E">
        <w:rPr>
          <w:rFonts w:ascii="Arial" w:hAnsi="Arial" w:cs="Arial"/>
          <w:sz w:val="20"/>
          <w:lang w:val="es-ES"/>
        </w:rPr>
        <w:t>.</w:t>
      </w:r>
      <w:r>
        <w:rPr>
          <w:rFonts w:ascii="Arial" w:hAnsi="Arial" w:cs="Arial"/>
          <w:sz w:val="20"/>
          <w:lang w:val="es-ES"/>
        </w:rPr>
        <w:t xml:space="preserve">  TAG es un proyecto incluyente, con respecto al cual se realizará un proceso previo de consulta con la participación de los Estados miembros de la OMPI, las oficinas nacionales de derecho de autor y demás partes interesadas.</w:t>
      </w:r>
    </w:p>
    <w:p w:rsidR="00236E18" w:rsidRPr="007F1C3E" w:rsidRDefault="00236E18" w:rsidP="00236E18">
      <w:pPr>
        <w:pStyle w:val="ListParagraph"/>
        <w:autoSpaceDE w:val="0"/>
        <w:autoSpaceDN w:val="0"/>
        <w:adjustRightInd w:val="0"/>
        <w:ind w:left="0"/>
        <w:jc w:val="both"/>
        <w:rPr>
          <w:rFonts w:ascii="Arial" w:hAnsi="Arial" w:cs="Arial"/>
          <w:sz w:val="20"/>
          <w:lang w:val="es-ES"/>
        </w:rPr>
      </w:pPr>
    </w:p>
    <w:p w:rsidR="00236E18" w:rsidRPr="007F1C3E" w:rsidRDefault="00236E18" w:rsidP="00236E18">
      <w:pPr>
        <w:pStyle w:val="ListParagraph"/>
        <w:numPr>
          <w:ilvl w:val="0"/>
          <w:numId w:val="12"/>
        </w:numPr>
        <w:autoSpaceDE w:val="0"/>
        <w:autoSpaceDN w:val="0"/>
        <w:adjustRightInd w:val="0"/>
        <w:jc w:val="both"/>
        <w:rPr>
          <w:rFonts w:ascii="Arial" w:hAnsi="Arial" w:cs="Arial"/>
          <w:sz w:val="20"/>
          <w:lang w:val="es-ES"/>
        </w:rPr>
      </w:pPr>
      <w:r w:rsidRPr="007F1C3E">
        <w:rPr>
          <w:rFonts w:ascii="Arial" w:hAnsi="Arial" w:cs="Arial"/>
          <w:sz w:val="20"/>
          <w:lang w:val="es-ES"/>
        </w:rPr>
        <w:t xml:space="preserve">Para complementar las actividades </w:t>
      </w:r>
      <w:r>
        <w:rPr>
          <w:rFonts w:ascii="Arial" w:hAnsi="Arial" w:cs="Arial"/>
          <w:sz w:val="20"/>
          <w:lang w:val="es-ES"/>
        </w:rPr>
        <w:t>mencionadas</w:t>
      </w:r>
      <w:r w:rsidRPr="007F1C3E">
        <w:rPr>
          <w:rFonts w:ascii="Arial" w:hAnsi="Arial" w:cs="Arial"/>
          <w:sz w:val="20"/>
          <w:lang w:val="es-ES"/>
        </w:rPr>
        <w:t>, un nuevo portal</w:t>
      </w:r>
      <w:r>
        <w:rPr>
          <w:rFonts w:ascii="Arial" w:hAnsi="Arial" w:cs="Arial"/>
          <w:sz w:val="20"/>
          <w:lang w:val="es-ES"/>
        </w:rPr>
        <w:t xml:space="preserve"> será creado y desarrollado a tiempo para </w:t>
      </w:r>
      <w:r w:rsidRPr="007F1C3E">
        <w:rPr>
          <w:rFonts w:ascii="Arial" w:hAnsi="Arial" w:cs="Arial"/>
          <w:sz w:val="20"/>
          <w:lang w:val="es-ES"/>
        </w:rPr>
        <w:t>ejecutar muchos de los proyectos de la OMPI relacionados con la infraestructura de derecho de autor valiéndose de Internet y en asociación con terceros.</w:t>
      </w:r>
    </w:p>
    <w:p w:rsidR="00236E18" w:rsidRPr="007F1C3E" w:rsidRDefault="00236E18" w:rsidP="00236E18">
      <w:pPr>
        <w:pStyle w:val="ListParagraph"/>
        <w:autoSpaceDE w:val="0"/>
        <w:autoSpaceDN w:val="0"/>
        <w:adjustRightInd w:val="0"/>
        <w:ind w:left="0"/>
        <w:jc w:val="both"/>
        <w:rPr>
          <w:rFonts w:ascii="Arial" w:hAnsi="Arial" w:cs="Arial"/>
          <w:sz w:val="20"/>
          <w:lang w:val="es-ES"/>
        </w:rPr>
      </w:pPr>
    </w:p>
    <w:p w:rsidR="00236E18" w:rsidRPr="0016667F" w:rsidRDefault="00236E18" w:rsidP="00236E18">
      <w:pPr>
        <w:pStyle w:val="ListParagraph"/>
        <w:numPr>
          <w:ilvl w:val="0"/>
          <w:numId w:val="12"/>
        </w:numPr>
        <w:autoSpaceDE w:val="0"/>
        <w:autoSpaceDN w:val="0"/>
        <w:adjustRightInd w:val="0"/>
        <w:jc w:val="both"/>
        <w:rPr>
          <w:rFonts w:ascii="Arial" w:hAnsi="Arial" w:cs="Arial"/>
          <w:sz w:val="20"/>
          <w:lang w:val="es-ES"/>
        </w:rPr>
      </w:pPr>
      <w:r w:rsidRPr="0016667F">
        <w:rPr>
          <w:rFonts w:ascii="Arial" w:hAnsi="Arial" w:cs="Arial"/>
          <w:sz w:val="20"/>
          <w:lang w:val="es-ES"/>
        </w:rPr>
        <w:t>En el marco del programa 3 se ofrecerá asesoramiento especializado en derecho de autor y se contribuirá a la elaboración de estudios de investigación en estrecha colaboración con el programa 16.</w:t>
      </w:r>
    </w:p>
    <w:p w:rsidR="00236E18" w:rsidRPr="0016667F" w:rsidRDefault="00236E18" w:rsidP="00236E18">
      <w:pPr>
        <w:pStyle w:val="ListParagraph"/>
        <w:autoSpaceDE w:val="0"/>
        <w:autoSpaceDN w:val="0"/>
        <w:adjustRightInd w:val="0"/>
        <w:ind w:left="0"/>
        <w:jc w:val="both"/>
        <w:rPr>
          <w:rFonts w:ascii="Arial" w:hAnsi="Arial" w:cs="Arial"/>
          <w:sz w:val="20"/>
          <w:lang w:val="es-ES"/>
        </w:rPr>
      </w:pPr>
    </w:p>
    <w:p w:rsidR="00236E18" w:rsidRPr="0016667F" w:rsidRDefault="00236E18" w:rsidP="00236E18">
      <w:pPr>
        <w:pStyle w:val="ListParagraph"/>
        <w:numPr>
          <w:ilvl w:val="0"/>
          <w:numId w:val="12"/>
        </w:numPr>
        <w:autoSpaceDE w:val="0"/>
        <w:autoSpaceDN w:val="0"/>
        <w:adjustRightInd w:val="0"/>
        <w:jc w:val="both"/>
        <w:rPr>
          <w:rFonts w:ascii="Arial" w:hAnsi="Arial" w:cs="Arial"/>
          <w:sz w:val="20"/>
          <w:lang w:val="es-ES"/>
        </w:rPr>
      </w:pPr>
      <w:r w:rsidRPr="0016667F">
        <w:rPr>
          <w:rFonts w:ascii="Arial" w:hAnsi="Arial" w:cs="Arial"/>
          <w:sz w:val="20"/>
          <w:lang w:val="es-ES"/>
        </w:rPr>
        <w:t>El programa 3 colabora principalmente con los programas siguientes:</w:t>
      </w:r>
    </w:p>
    <w:p w:rsidR="00236E18" w:rsidRDefault="00236E18" w:rsidP="00236E18">
      <w:pPr>
        <w:autoSpaceDE w:val="0"/>
        <w:autoSpaceDN w:val="0"/>
        <w:adjustRightInd w:val="0"/>
        <w:jc w:val="both"/>
        <w:rPr>
          <w:sz w:val="20"/>
          <w:szCs w:val="22"/>
        </w:rPr>
      </w:pPr>
    </w:p>
    <w:p w:rsidR="00236E18" w:rsidRDefault="00236E18" w:rsidP="00236E18">
      <w:pPr>
        <w:autoSpaceDE w:val="0"/>
        <w:autoSpaceDN w:val="0"/>
        <w:adjustRightInd w:val="0"/>
        <w:jc w:val="both"/>
        <w:rPr>
          <w:sz w:val="20"/>
          <w:szCs w:val="22"/>
        </w:rPr>
      </w:pPr>
    </w:p>
    <w:p w:rsidR="00236E18" w:rsidRDefault="00236E18" w:rsidP="00236E18">
      <w:pPr>
        <w:autoSpaceDE w:val="0"/>
        <w:autoSpaceDN w:val="0"/>
        <w:adjustRightInd w:val="0"/>
        <w:jc w:val="both"/>
        <w:rPr>
          <w:sz w:val="20"/>
          <w:szCs w:val="22"/>
        </w:rPr>
      </w:pPr>
      <w:r w:rsidRPr="00F22DBA">
        <w:rPr>
          <w:noProof/>
          <w:lang w:val="en-US" w:eastAsia="en-US"/>
        </w:rPr>
        <w:drawing>
          <wp:inline distT="0" distB="0" distL="0" distR="0" wp14:anchorId="3ED0F073" wp14:editId="70A546AA">
            <wp:extent cx="5940425" cy="1580305"/>
            <wp:effectExtent l="57150" t="0" r="60325" b="134620"/>
            <wp:docPr id="960" name="Diagram 96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236E18" w:rsidRPr="007F1C3E" w:rsidRDefault="00236E18" w:rsidP="00236E18">
      <w:pPr>
        <w:autoSpaceDE w:val="0"/>
        <w:autoSpaceDN w:val="0"/>
        <w:adjustRightInd w:val="0"/>
        <w:jc w:val="both"/>
        <w:rPr>
          <w:sz w:val="20"/>
          <w:szCs w:val="22"/>
        </w:rPr>
      </w:pPr>
    </w:p>
    <w:p w:rsidR="00236E18" w:rsidRPr="007F1C3E" w:rsidRDefault="00236E18" w:rsidP="00236E18">
      <w:pPr>
        <w:autoSpaceDE w:val="0"/>
        <w:autoSpaceDN w:val="0"/>
        <w:adjustRightInd w:val="0"/>
        <w:rPr>
          <w:szCs w:val="22"/>
        </w:rPr>
      </w:pPr>
    </w:p>
    <w:p w:rsidR="00236E18" w:rsidRPr="007F1C3E" w:rsidRDefault="00236E18" w:rsidP="00236E18">
      <w:pPr>
        <w:autoSpaceDE w:val="0"/>
        <w:autoSpaceDN w:val="0"/>
        <w:adjustRightInd w:val="0"/>
        <w:rPr>
          <w:sz w:val="20"/>
          <w:szCs w:val="22"/>
        </w:rPr>
      </w:pPr>
      <w:r w:rsidRPr="007F1C3E">
        <w:rPr>
          <w:sz w:val="20"/>
          <w:szCs w:val="22"/>
        </w:rPr>
        <w:t>PRINCIPALES RIESGOS Y ESTRATEGIAS DE MITIGACIÓN</w:t>
      </w:r>
    </w:p>
    <w:p w:rsidR="00236E18" w:rsidRPr="007F1C3E" w:rsidRDefault="00236E18" w:rsidP="00236E18">
      <w:pPr>
        <w:rPr>
          <w:sz w:val="20"/>
          <w:szCs w:val="22"/>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236E18" w:rsidRPr="007F1C3E" w:rsidTr="00294272">
        <w:trPr>
          <w:trHeight w:val="498"/>
        </w:trPr>
        <w:tc>
          <w:tcPr>
            <w:tcW w:w="4111" w:type="dxa"/>
            <w:tcBorders>
              <w:top w:val="single" w:sz="4" w:space="0" w:color="auto"/>
              <w:bottom w:val="single" w:sz="4" w:space="0" w:color="auto"/>
            </w:tcBorders>
            <w:shd w:val="clear" w:color="auto" w:fill="C6D9F1" w:themeFill="text2" w:themeFillTint="33"/>
            <w:vAlign w:val="center"/>
          </w:tcPr>
          <w:p w:rsidR="00236E18" w:rsidRPr="007F1C3E" w:rsidRDefault="00236E18" w:rsidP="00294272">
            <w:pPr>
              <w:jc w:val="center"/>
              <w:rPr>
                <w:b/>
                <w:bCs/>
                <w:sz w:val="18"/>
                <w:szCs w:val="18"/>
              </w:rPr>
            </w:pPr>
            <w:r w:rsidRPr="007F1C3E">
              <w:rPr>
                <w:b/>
                <w:bCs/>
                <w:sz w:val="18"/>
                <w:szCs w:val="18"/>
              </w:rPr>
              <w:t>Riesgo</w:t>
            </w:r>
          </w:p>
        </w:tc>
        <w:tc>
          <w:tcPr>
            <w:tcW w:w="5103" w:type="dxa"/>
            <w:tcBorders>
              <w:top w:val="single" w:sz="4" w:space="0" w:color="auto"/>
              <w:bottom w:val="single" w:sz="4" w:space="0" w:color="auto"/>
            </w:tcBorders>
            <w:shd w:val="clear" w:color="auto" w:fill="C6D9F1" w:themeFill="text2" w:themeFillTint="33"/>
            <w:vAlign w:val="center"/>
          </w:tcPr>
          <w:p w:rsidR="00236E18" w:rsidRPr="007F1C3E" w:rsidRDefault="00236E18" w:rsidP="00294272">
            <w:pPr>
              <w:jc w:val="center"/>
              <w:rPr>
                <w:b/>
                <w:bCs/>
                <w:sz w:val="18"/>
                <w:szCs w:val="18"/>
              </w:rPr>
            </w:pPr>
            <w:r w:rsidRPr="007F1C3E">
              <w:rPr>
                <w:b/>
                <w:bCs/>
                <w:sz w:val="18"/>
                <w:szCs w:val="18"/>
              </w:rPr>
              <w:t>Mitigación</w:t>
            </w:r>
          </w:p>
        </w:tc>
      </w:tr>
      <w:tr w:rsidR="00236E18" w:rsidRPr="00427606" w:rsidTr="00294272">
        <w:trPr>
          <w:trHeight w:val="638"/>
        </w:trPr>
        <w:tc>
          <w:tcPr>
            <w:tcW w:w="4111" w:type="dxa"/>
            <w:tcBorders>
              <w:top w:val="single" w:sz="4" w:space="0" w:color="auto"/>
            </w:tcBorders>
            <w:shd w:val="clear" w:color="auto" w:fill="auto"/>
            <w:tcMar>
              <w:top w:w="113" w:type="dxa"/>
              <w:bottom w:w="113" w:type="dxa"/>
            </w:tcMar>
          </w:tcPr>
          <w:p w:rsidR="00236E18" w:rsidRPr="00987F62" w:rsidRDefault="00236E18" w:rsidP="00294272">
            <w:pPr>
              <w:rPr>
                <w:sz w:val="16"/>
                <w:szCs w:val="16"/>
              </w:rPr>
            </w:pPr>
            <w:r w:rsidRPr="00987F62">
              <w:rPr>
                <w:sz w:val="16"/>
                <w:szCs w:val="16"/>
              </w:rPr>
              <w:t>La incapacidad del sistema de derecho de autor para adaptarse a los rápidos cambios tecnológicos puede menoscabar la pertinencia del sistema de derecho de autor.</w:t>
            </w:r>
          </w:p>
        </w:tc>
        <w:tc>
          <w:tcPr>
            <w:tcW w:w="5103" w:type="dxa"/>
            <w:tcBorders>
              <w:top w:val="single" w:sz="4" w:space="0" w:color="auto"/>
            </w:tcBorders>
            <w:shd w:val="clear" w:color="auto" w:fill="auto"/>
            <w:tcMar>
              <w:top w:w="113" w:type="dxa"/>
              <w:bottom w:w="113" w:type="dxa"/>
            </w:tcMar>
          </w:tcPr>
          <w:p w:rsidR="00236E18" w:rsidRPr="007F1C3E" w:rsidRDefault="00236E18" w:rsidP="00294272">
            <w:pPr>
              <w:autoSpaceDE w:val="0"/>
              <w:autoSpaceDN w:val="0"/>
              <w:adjustRightInd w:val="0"/>
              <w:ind w:right="-59"/>
              <w:rPr>
                <w:sz w:val="16"/>
                <w:szCs w:val="16"/>
              </w:rPr>
            </w:pPr>
            <w:r w:rsidRPr="007F1C3E">
              <w:rPr>
                <w:sz w:val="16"/>
              </w:rPr>
              <w:t>Mantenimiento de las actividades e iniciativas de sensibilización para demostrar la importancia del derecho de autor</w:t>
            </w:r>
          </w:p>
        </w:tc>
      </w:tr>
    </w:tbl>
    <w:p w:rsidR="00236E18" w:rsidRPr="007F1C3E" w:rsidRDefault="00236E18" w:rsidP="00236E18">
      <w:pPr>
        <w:rPr>
          <w:szCs w:val="22"/>
        </w:rPr>
      </w:pPr>
    </w:p>
    <w:p w:rsidR="00236E18" w:rsidRPr="007F1C3E" w:rsidRDefault="00236E18" w:rsidP="00236E18">
      <w:pPr>
        <w:rPr>
          <w:szCs w:val="22"/>
        </w:rPr>
      </w:pPr>
    </w:p>
    <w:p w:rsidR="00236E18" w:rsidRPr="007F1C3E" w:rsidRDefault="00236E18" w:rsidP="00236E18">
      <w:pPr>
        <w:rPr>
          <w:szCs w:val="22"/>
        </w:rPr>
      </w:pPr>
    </w:p>
    <w:p w:rsidR="00236E18" w:rsidRPr="007F1C3E" w:rsidRDefault="00236E18" w:rsidP="00236E18">
      <w:pPr>
        <w:keepNext/>
        <w:keepLines/>
        <w:autoSpaceDE w:val="0"/>
        <w:autoSpaceDN w:val="0"/>
        <w:adjustRightInd w:val="0"/>
        <w:rPr>
          <w:szCs w:val="22"/>
        </w:rPr>
      </w:pPr>
      <w:r w:rsidRPr="007F1C3E">
        <w:rPr>
          <w:szCs w:val="22"/>
        </w:rPr>
        <w:lastRenderedPageBreak/>
        <w:t>MARCO DE RESULTADOS</w:t>
      </w:r>
    </w:p>
    <w:p w:rsidR="00236E18" w:rsidRPr="007F1C3E" w:rsidRDefault="00236E18" w:rsidP="00236E18">
      <w:pPr>
        <w:keepNext/>
        <w:keepLines/>
        <w:autoSpaceDE w:val="0"/>
        <w:autoSpaceDN w:val="0"/>
        <w:adjustRightInd w:val="0"/>
        <w:rPr>
          <w:szCs w:val="22"/>
        </w:rPr>
      </w:pPr>
    </w:p>
    <w:tbl>
      <w:tblPr>
        <w:tblW w:w="9372" w:type="dxa"/>
        <w:tblInd w:w="93" w:type="dxa"/>
        <w:tblLook w:val="04A0" w:firstRow="1" w:lastRow="0" w:firstColumn="1" w:lastColumn="0" w:noHBand="0" w:noVBand="1"/>
      </w:tblPr>
      <w:tblGrid>
        <w:gridCol w:w="2440"/>
        <w:gridCol w:w="2537"/>
        <w:gridCol w:w="2480"/>
        <w:gridCol w:w="1915"/>
      </w:tblGrid>
      <w:tr w:rsidR="00236E18" w:rsidRPr="007F1C3E" w:rsidTr="00294272">
        <w:trPr>
          <w:trHeight w:val="529"/>
          <w:tblHeader/>
        </w:trPr>
        <w:tc>
          <w:tcPr>
            <w:tcW w:w="2440" w:type="dxa"/>
            <w:tcBorders>
              <w:top w:val="single" w:sz="4" w:space="0" w:color="auto"/>
              <w:left w:val="single" w:sz="4" w:space="0" w:color="auto"/>
              <w:bottom w:val="single" w:sz="4" w:space="0" w:color="auto"/>
              <w:right w:val="nil"/>
            </w:tcBorders>
            <w:shd w:val="clear" w:color="auto" w:fill="C6D9F1" w:themeFill="text2" w:themeFillTint="33"/>
            <w:tcMar>
              <w:top w:w="85" w:type="dxa"/>
            </w:tcMar>
            <w:vAlign w:val="center"/>
            <w:hideMark/>
          </w:tcPr>
          <w:p w:rsidR="00236E18" w:rsidRPr="007F1C3E" w:rsidRDefault="00236E18" w:rsidP="00294272">
            <w:pPr>
              <w:keepNext/>
              <w:keepLines/>
              <w:jc w:val="center"/>
              <w:rPr>
                <w:b/>
                <w:bCs/>
                <w:sz w:val="18"/>
                <w:szCs w:val="18"/>
              </w:rPr>
            </w:pPr>
            <w:r w:rsidRPr="007F1C3E">
              <w:rPr>
                <w:b/>
                <w:bCs/>
                <w:sz w:val="18"/>
                <w:szCs w:val="18"/>
              </w:rPr>
              <w:t xml:space="preserve">Resultados previstos </w:t>
            </w:r>
          </w:p>
        </w:tc>
        <w:tc>
          <w:tcPr>
            <w:tcW w:w="2537"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rsidR="00236E18" w:rsidRPr="007F1C3E" w:rsidRDefault="00236E18" w:rsidP="00294272">
            <w:pPr>
              <w:keepNext/>
              <w:keepLines/>
              <w:jc w:val="center"/>
              <w:rPr>
                <w:b/>
                <w:bCs/>
                <w:sz w:val="18"/>
                <w:szCs w:val="18"/>
              </w:rPr>
            </w:pPr>
            <w:r w:rsidRPr="007F1C3E">
              <w:rPr>
                <w:b/>
                <w:bCs/>
                <w:sz w:val="18"/>
                <w:szCs w:val="18"/>
              </w:rPr>
              <w:t>Indicadores de rendimiento</w:t>
            </w:r>
          </w:p>
        </w:tc>
        <w:tc>
          <w:tcPr>
            <w:tcW w:w="248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rsidR="00236E18" w:rsidRPr="007F1C3E" w:rsidRDefault="00236E18" w:rsidP="00294272">
            <w:pPr>
              <w:keepNext/>
              <w:keepLines/>
              <w:jc w:val="center"/>
              <w:rPr>
                <w:b/>
                <w:bCs/>
                <w:sz w:val="18"/>
                <w:szCs w:val="18"/>
              </w:rPr>
            </w:pPr>
            <w:r w:rsidRPr="007F1C3E">
              <w:rPr>
                <w:b/>
                <w:bCs/>
                <w:sz w:val="18"/>
                <w:szCs w:val="18"/>
              </w:rPr>
              <w:t>Referencia</w:t>
            </w:r>
          </w:p>
        </w:tc>
        <w:tc>
          <w:tcPr>
            <w:tcW w:w="1915" w:type="dxa"/>
            <w:tcBorders>
              <w:top w:val="single" w:sz="4" w:space="0" w:color="auto"/>
              <w:left w:val="nil"/>
              <w:bottom w:val="single" w:sz="4" w:space="0" w:color="auto"/>
              <w:right w:val="single" w:sz="4" w:space="0" w:color="auto"/>
            </w:tcBorders>
            <w:shd w:val="clear" w:color="auto" w:fill="C6D9F1" w:themeFill="text2" w:themeFillTint="33"/>
            <w:tcMar>
              <w:top w:w="85" w:type="dxa"/>
            </w:tcMar>
            <w:vAlign w:val="center"/>
            <w:hideMark/>
          </w:tcPr>
          <w:p w:rsidR="00236E18" w:rsidRPr="007F1C3E" w:rsidRDefault="00236E18" w:rsidP="00294272">
            <w:pPr>
              <w:keepNext/>
              <w:keepLines/>
              <w:jc w:val="center"/>
              <w:rPr>
                <w:b/>
                <w:bCs/>
                <w:sz w:val="18"/>
                <w:szCs w:val="18"/>
              </w:rPr>
            </w:pPr>
            <w:r w:rsidRPr="007F1C3E">
              <w:rPr>
                <w:b/>
                <w:bCs/>
                <w:sz w:val="18"/>
                <w:szCs w:val="18"/>
              </w:rPr>
              <w:t>Objetivos</w:t>
            </w:r>
          </w:p>
        </w:tc>
      </w:tr>
      <w:tr w:rsidR="00236E18" w:rsidRPr="00427606" w:rsidTr="00294272">
        <w:trPr>
          <w:trHeight w:val="1469"/>
        </w:trPr>
        <w:tc>
          <w:tcPr>
            <w:tcW w:w="2440" w:type="dxa"/>
            <w:tcBorders>
              <w:top w:val="single" w:sz="4" w:space="0" w:color="auto"/>
              <w:left w:val="single" w:sz="4" w:space="0" w:color="auto"/>
              <w:right w:val="nil"/>
            </w:tcBorders>
            <w:shd w:val="clear" w:color="000000" w:fill="FFFFFF"/>
            <w:tcMar>
              <w:top w:w="85" w:type="dxa"/>
            </w:tcMar>
            <w:hideMark/>
          </w:tcPr>
          <w:p w:rsidR="00236E18" w:rsidRPr="00162F59" w:rsidRDefault="00236E18" w:rsidP="00294272">
            <w:pPr>
              <w:keepNext/>
              <w:keepLines/>
              <w:rPr>
                <w:sz w:val="16"/>
                <w:szCs w:val="16"/>
              </w:rPr>
            </w:pPr>
            <w:r w:rsidRPr="00162F59">
              <w:rPr>
                <w:sz w:val="16"/>
                <w:szCs w:val="16"/>
              </w:rPr>
              <w:t xml:space="preserve">I.1  </w:t>
            </w:r>
            <w:r w:rsidRPr="00162F59">
              <w:rPr>
                <w:sz w:val="16"/>
                <w:szCs w:val="16"/>
                <w:lang w:val="es-ES_tradnl"/>
              </w:rPr>
              <w:t>Mayor cooperación entre los Estados miembros en la elaboración de marcos normativos internacionales de P.I. equilibrados</w:t>
            </w:r>
          </w:p>
        </w:tc>
        <w:tc>
          <w:tcPr>
            <w:tcW w:w="2537" w:type="dxa"/>
            <w:tcBorders>
              <w:top w:val="single" w:sz="4" w:space="0" w:color="auto"/>
              <w:left w:val="nil"/>
              <w:right w:val="nil"/>
            </w:tcBorders>
            <w:shd w:val="clear" w:color="000000" w:fill="FFFFFF"/>
            <w:tcMar>
              <w:top w:w="85" w:type="dxa"/>
            </w:tcMar>
            <w:hideMark/>
          </w:tcPr>
          <w:p w:rsidR="00236E18" w:rsidRPr="007F1C3E" w:rsidRDefault="00236E18" w:rsidP="00294272">
            <w:pPr>
              <w:keepNext/>
              <w:keepLines/>
              <w:ind w:left="19"/>
              <w:rPr>
                <w:sz w:val="16"/>
                <w:szCs w:val="16"/>
              </w:rPr>
            </w:pPr>
            <w:r w:rsidRPr="007F1C3E">
              <w:rPr>
                <w:sz w:val="16"/>
                <w:szCs w:val="16"/>
              </w:rPr>
              <w:t>Avance en la realización del trabajo acordado con arreglo al orden del día del SCCR</w:t>
            </w:r>
          </w:p>
        </w:tc>
        <w:tc>
          <w:tcPr>
            <w:tcW w:w="2480" w:type="dxa"/>
            <w:tcBorders>
              <w:top w:val="single" w:sz="4" w:space="0" w:color="auto"/>
              <w:left w:val="nil"/>
              <w:right w:val="nil"/>
            </w:tcBorders>
            <w:shd w:val="clear" w:color="000000" w:fill="FFFFFF"/>
            <w:tcMar>
              <w:top w:w="85" w:type="dxa"/>
            </w:tcMar>
            <w:hideMark/>
          </w:tcPr>
          <w:p w:rsidR="00236E18" w:rsidRPr="007F1C3E" w:rsidRDefault="00236E18" w:rsidP="00294272">
            <w:pPr>
              <w:keepNext/>
              <w:keepLines/>
              <w:ind w:left="57"/>
              <w:rPr>
                <w:sz w:val="16"/>
                <w:szCs w:val="16"/>
              </w:rPr>
            </w:pPr>
            <w:r w:rsidRPr="007F1C3E">
              <w:rPr>
                <w:sz w:val="16"/>
                <w:szCs w:val="16"/>
              </w:rPr>
              <w:t>El SCCR y la Asamblea General de la OMPI de 2014 no alcanzaron un acuerdo sobre las medidas destinadas a convocar una conferencia diplomática respecto de un tratado para la protección de los organismos de radiodifusión (PPR 2014)</w:t>
            </w:r>
          </w:p>
        </w:tc>
        <w:tc>
          <w:tcPr>
            <w:tcW w:w="1915" w:type="dxa"/>
            <w:tcBorders>
              <w:top w:val="single" w:sz="4" w:space="0" w:color="auto"/>
              <w:left w:val="nil"/>
              <w:right w:val="single" w:sz="4" w:space="0" w:color="auto"/>
            </w:tcBorders>
            <w:shd w:val="clear" w:color="000000" w:fill="FFFFFF"/>
            <w:tcMar>
              <w:top w:w="85" w:type="dxa"/>
            </w:tcMar>
            <w:hideMark/>
          </w:tcPr>
          <w:p w:rsidR="00236E18" w:rsidRPr="007F1C3E" w:rsidRDefault="00236E18" w:rsidP="00294272">
            <w:pPr>
              <w:keepNext/>
              <w:keepLines/>
              <w:ind w:leftChars="-4" w:left="-1" w:hangingChars="5" w:hanging="8"/>
              <w:rPr>
                <w:sz w:val="16"/>
                <w:szCs w:val="16"/>
              </w:rPr>
            </w:pPr>
            <w:r w:rsidRPr="007F1C3E">
              <w:rPr>
                <w:sz w:val="16"/>
                <w:szCs w:val="16"/>
              </w:rPr>
              <w:t>Resultados concertados en el SCCR</w:t>
            </w:r>
          </w:p>
        </w:tc>
      </w:tr>
      <w:tr w:rsidR="00236E18" w:rsidRPr="007F1C3E" w:rsidTr="00294272">
        <w:trPr>
          <w:trHeight w:val="707"/>
        </w:trPr>
        <w:tc>
          <w:tcPr>
            <w:tcW w:w="2440" w:type="dxa"/>
            <w:vMerge w:val="restart"/>
            <w:tcBorders>
              <w:left w:val="single" w:sz="4" w:space="0" w:color="auto"/>
              <w:bottom w:val="nil"/>
              <w:right w:val="nil"/>
            </w:tcBorders>
            <w:shd w:val="clear" w:color="000000" w:fill="FFFFFF"/>
            <w:tcMar>
              <w:top w:w="85" w:type="dxa"/>
            </w:tcMar>
            <w:hideMark/>
          </w:tcPr>
          <w:p w:rsidR="00236E18" w:rsidRPr="00162F59" w:rsidRDefault="00236E18" w:rsidP="00294272">
            <w:pPr>
              <w:rPr>
                <w:sz w:val="16"/>
                <w:szCs w:val="16"/>
              </w:rPr>
            </w:pPr>
            <w:r w:rsidRPr="00162F59">
              <w:rPr>
                <w:sz w:val="16"/>
                <w:szCs w:val="16"/>
              </w:rPr>
              <w:t xml:space="preserve">I.2  </w:t>
            </w:r>
            <w:r w:rsidRPr="00162F59">
              <w:rPr>
                <w:sz w:val="16"/>
                <w:szCs w:val="16"/>
                <w:lang w:val="es-ES_tradnl"/>
              </w:rPr>
              <w:t>Marcos de P.I. adaptados y equilibrados en el ámbito legislativo, regulador y de política</w:t>
            </w:r>
          </w:p>
        </w:tc>
        <w:tc>
          <w:tcPr>
            <w:tcW w:w="2537" w:type="dxa"/>
            <w:tcBorders>
              <w:left w:val="nil"/>
              <w:bottom w:val="nil"/>
              <w:right w:val="nil"/>
            </w:tcBorders>
            <w:shd w:val="clear" w:color="000000" w:fill="FFFFFF"/>
            <w:tcMar>
              <w:top w:w="85" w:type="dxa"/>
            </w:tcMar>
            <w:hideMark/>
          </w:tcPr>
          <w:p w:rsidR="00236E18" w:rsidRPr="007F1C3E" w:rsidRDefault="00236E18" w:rsidP="00294272">
            <w:pPr>
              <w:keepNext/>
              <w:keepLines/>
              <w:ind w:left="19"/>
              <w:rPr>
                <w:sz w:val="16"/>
                <w:szCs w:val="16"/>
              </w:rPr>
            </w:pPr>
            <w:r w:rsidRPr="007F1C3E">
              <w:rPr>
                <w:sz w:val="16"/>
                <w:szCs w:val="16"/>
              </w:rPr>
              <w:t>N</w:t>
            </w:r>
            <w:r>
              <w:rPr>
                <w:sz w:val="16"/>
                <w:szCs w:val="16"/>
              </w:rPr>
              <w:t>º</w:t>
            </w:r>
            <w:r w:rsidRPr="007F1C3E">
              <w:rPr>
                <w:sz w:val="16"/>
                <w:szCs w:val="16"/>
              </w:rPr>
              <w:t xml:space="preserve"> de países que han ratificado el Tratado de Beijing o se han adherido a él.</w:t>
            </w:r>
          </w:p>
        </w:tc>
        <w:tc>
          <w:tcPr>
            <w:tcW w:w="2480" w:type="dxa"/>
            <w:tcBorders>
              <w:left w:val="nil"/>
              <w:bottom w:val="nil"/>
              <w:right w:val="nil"/>
            </w:tcBorders>
            <w:shd w:val="clear" w:color="000000" w:fill="FFFFFF"/>
            <w:tcMar>
              <w:top w:w="85" w:type="dxa"/>
            </w:tcMar>
            <w:hideMark/>
          </w:tcPr>
          <w:p w:rsidR="00236E18" w:rsidRPr="007F1C3E" w:rsidRDefault="00236E18" w:rsidP="00294272">
            <w:pPr>
              <w:ind w:left="57"/>
              <w:rPr>
                <w:sz w:val="16"/>
                <w:szCs w:val="16"/>
              </w:rPr>
            </w:pPr>
            <w:r w:rsidRPr="007F1C3E">
              <w:rPr>
                <w:sz w:val="16"/>
                <w:szCs w:val="16"/>
              </w:rPr>
              <w:t>6 (al final de 2014).</w:t>
            </w:r>
          </w:p>
        </w:tc>
        <w:tc>
          <w:tcPr>
            <w:tcW w:w="1915" w:type="dxa"/>
            <w:tcBorders>
              <w:left w:val="nil"/>
              <w:bottom w:val="nil"/>
              <w:right w:val="single" w:sz="4" w:space="0" w:color="auto"/>
            </w:tcBorders>
            <w:shd w:val="clear" w:color="000000" w:fill="FFFFFF"/>
            <w:tcMar>
              <w:top w:w="85" w:type="dxa"/>
            </w:tcMar>
            <w:hideMark/>
          </w:tcPr>
          <w:p w:rsidR="00236E18" w:rsidRPr="007F1C3E" w:rsidRDefault="00236E18" w:rsidP="00294272">
            <w:pPr>
              <w:ind w:left="97" w:firstLineChars="200" w:firstLine="320"/>
              <w:rPr>
                <w:sz w:val="16"/>
                <w:szCs w:val="16"/>
              </w:rPr>
            </w:pPr>
            <w:r w:rsidRPr="007F1C3E">
              <w:rPr>
                <w:sz w:val="16"/>
                <w:szCs w:val="16"/>
              </w:rPr>
              <w:t xml:space="preserve">30 </w:t>
            </w:r>
          </w:p>
        </w:tc>
      </w:tr>
      <w:tr w:rsidR="00236E18" w:rsidRPr="007F1C3E" w:rsidTr="00294272">
        <w:trPr>
          <w:trHeight w:val="725"/>
        </w:trPr>
        <w:tc>
          <w:tcPr>
            <w:tcW w:w="2440" w:type="dxa"/>
            <w:vMerge/>
            <w:tcBorders>
              <w:top w:val="nil"/>
              <w:left w:val="single" w:sz="4" w:space="0" w:color="auto"/>
              <w:bottom w:val="nil"/>
              <w:right w:val="nil"/>
            </w:tcBorders>
            <w:tcMar>
              <w:top w:w="85" w:type="dxa"/>
            </w:tcMar>
            <w:vAlign w:val="center"/>
            <w:hideMark/>
          </w:tcPr>
          <w:p w:rsidR="00236E18" w:rsidRPr="007F1C3E" w:rsidRDefault="00236E18" w:rsidP="00294272">
            <w:pPr>
              <w:rPr>
                <w:sz w:val="16"/>
                <w:szCs w:val="16"/>
              </w:rPr>
            </w:pPr>
          </w:p>
        </w:tc>
        <w:tc>
          <w:tcPr>
            <w:tcW w:w="2537" w:type="dxa"/>
            <w:tcBorders>
              <w:top w:val="nil"/>
              <w:left w:val="nil"/>
              <w:bottom w:val="nil"/>
              <w:right w:val="nil"/>
            </w:tcBorders>
            <w:shd w:val="clear" w:color="000000" w:fill="FFFFFF"/>
            <w:tcMar>
              <w:top w:w="85" w:type="dxa"/>
            </w:tcMar>
            <w:hideMark/>
          </w:tcPr>
          <w:p w:rsidR="00236E18" w:rsidRPr="007F1C3E" w:rsidRDefault="00236E18" w:rsidP="00294272">
            <w:pPr>
              <w:keepNext/>
              <w:keepLines/>
              <w:ind w:left="19"/>
              <w:rPr>
                <w:sz w:val="16"/>
                <w:szCs w:val="16"/>
              </w:rPr>
            </w:pPr>
            <w:r w:rsidRPr="007F1C3E">
              <w:rPr>
                <w:sz w:val="16"/>
                <w:szCs w:val="16"/>
              </w:rPr>
              <w:t>N</w:t>
            </w:r>
            <w:r>
              <w:rPr>
                <w:sz w:val="16"/>
                <w:szCs w:val="16"/>
              </w:rPr>
              <w:t>º</w:t>
            </w:r>
            <w:r w:rsidRPr="007F1C3E">
              <w:rPr>
                <w:sz w:val="16"/>
                <w:szCs w:val="16"/>
              </w:rPr>
              <w:t xml:space="preserve"> de países que han ratificado el Tratado de Marrakech o se han adherido a él.</w:t>
            </w:r>
          </w:p>
        </w:tc>
        <w:tc>
          <w:tcPr>
            <w:tcW w:w="2480" w:type="dxa"/>
            <w:tcBorders>
              <w:top w:val="nil"/>
              <w:left w:val="nil"/>
              <w:bottom w:val="nil"/>
              <w:right w:val="nil"/>
            </w:tcBorders>
            <w:shd w:val="clear" w:color="000000" w:fill="FFFFFF"/>
            <w:tcMar>
              <w:top w:w="85" w:type="dxa"/>
            </w:tcMar>
            <w:hideMark/>
          </w:tcPr>
          <w:p w:rsidR="00236E18" w:rsidRPr="007F1C3E" w:rsidRDefault="00236E18" w:rsidP="00294272">
            <w:pPr>
              <w:ind w:left="57"/>
              <w:rPr>
                <w:sz w:val="16"/>
                <w:szCs w:val="16"/>
              </w:rPr>
            </w:pPr>
            <w:r w:rsidRPr="007F1C3E">
              <w:rPr>
                <w:sz w:val="16"/>
                <w:szCs w:val="16"/>
              </w:rPr>
              <w:t>5 (al final de 2014).</w:t>
            </w:r>
          </w:p>
        </w:tc>
        <w:tc>
          <w:tcPr>
            <w:tcW w:w="1915" w:type="dxa"/>
            <w:tcBorders>
              <w:top w:val="nil"/>
              <w:left w:val="nil"/>
              <w:bottom w:val="nil"/>
              <w:right w:val="single" w:sz="4" w:space="0" w:color="auto"/>
            </w:tcBorders>
            <w:shd w:val="clear" w:color="000000" w:fill="FFFFFF"/>
            <w:tcMar>
              <w:top w:w="85" w:type="dxa"/>
            </w:tcMar>
            <w:hideMark/>
          </w:tcPr>
          <w:p w:rsidR="00236E18" w:rsidRPr="007F1C3E" w:rsidRDefault="00236E18" w:rsidP="00294272">
            <w:pPr>
              <w:ind w:left="97" w:firstLineChars="200" w:firstLine="320"/>
              <w:rPr>
                <w:sz w:val="16"/>
                <w:szCs w:val="16"/>
              </w:rPr>
            </w:pPr>
            <w:r w:rsidRPr="007F1C3E">
              <w:rPr>
                <w:sz w:val="16"/>
                <w:szCs w:val="16"/>
              </w:rPr>
              <w:t xml:space="preserve">20 </w:t>
            </w:r>
          </w:p>
        </w:tc>
      </w:tr>
      <w:tr w:rsidR="00236E18" w:rsidRPr="007F1C3E" w:rsidTr="00294272">
        <w:trPr>
          <w:trHeight w:val="725"/>
        </w:trPr>
        <w:tc>
          <w:tcPr>
            <w:tcW w:w="2440" w:type="dxa"/>
            <w:vMerge/>
            <w:tcBorders>
              <w:top w:val="nil"/>
              <w:left w:val="single" w:sz="4" w:space="0" w:color="auto"/>
              <w:bottom w:val="nil"/>
              <w:right w:val="nil"/>
            </w:tcBorders>
            <w:tcMar>
              <w:top w:w="85" w:type="dxa"/>
            </w:tcMar>
            <w:vAlign w:val="center"/>
            <w:hideMark/>
          </w:tcPr>
          <w:p w:rsidR="00236E18" w:rsidRPr="007F1C3E" w:rsidRDefault="00236E18" w:rsidP="00294272">
            <w:pPr>
              <w:rPr>
                <w:sz w:val="16"/>
                <w:szCs w:val="16"/>
              </w:rPr>
            </w:pPr>
          </w:p>
        </w:tc>
        <w:tc>
          <w:tcPr>
            <w:tcW w:w="2537" w:type="dxa"/>
            <w:tcBorders>
              <w:top w:val="nil"/>
              <w:left w:val="nil"/>
              <w:bottom w:val="nil"/>
              <w:right w:val="nil"/>
            </w:tcBorders>
            <w:shd w:val="clear" w:color="000000" w:fill="FFFFFF"/>
            <w:tcMar>
              <w:top w:w="85" w:type="dxa"/>
            </w:tcMar>
            <w:hideMark/>
          </w:tcPr>
          <w:p w:rsidR="00236E18" w:rsidRPr="007F1C3E" w:rsidRDefault="00236E18" w:rsidP="00294272">
            <w:pPr>
              <w:keepNext/>
              <w:keepLines/>
              <w:ind w:left="19"/>
              <w:rPr>
                <w:sz w:val="16"/>
                <w:szCs w:val="16"/>
              </w:rPr>
            </w:pPr>
            <w:r w:rsidRPr="007F1C3E">
              <w:rPr>
                <w:sz w:val="16"/>
                <w:szCs w:val="16"/>
              </w:rPr>
              <w:t>N</w:t>
            </w:r>
            <w:r>
              <w:rPr>
                <w:sz w:val="16"/>
                <w:szCs w:val="16"/>
              </w:rPr>
              <w:t>º</w:t>
            </w:r>
            <w:r w:rsidRPr="007F1C3E">
              <w:rPr>
                <w:sz w:val="16"/>
                <w:szCs w:val="16"/>
              </w:rPr>
              <w:t xml:space="preserve"> de </w:t>
            </w:r>
            <w:r>
              <w:rPr>
                <w:sz w:val="16"/>
                <w:szCs w:val="16"/>
              </w:rPr>
              <w:t xml:space="preserve">países que han </w:t>
            </w:r>
            <w:r w:rsidRPr="007F1C3E">
              <w:rPr>
                <w:sz w:val="16"/>
                <w:szCs w:val="16"/>
              </w:rPr>
              <w:t xml:space="preserve">ratificado </w:t>
            </w:r>
            <w:r>
              <w:rPr>
                <w:sz w:val="16"/>
                <w:szCs w:val="16"/>
              </w:rPr>
              <w:t>los tratados de derecho de autor en vigor, como el Convenio de Berna, la Convención de Roma y los “tratados Internet”</w:t>
            </w:r>
            <w:r w:rsidRPr="007F1C3E">
              <w:rPr>
                <w:sz w:val="16"/>
                <w:szCs w:val="16"/>
              </w:rPr>
              <w:t xml:space="preserve"> o se han adherido a </w:t>
            </w:r>
            <w:r>
              <w:rPr>
                <w:sz w:val="16"/>
                <w:szCs w:val="16"/>
              </w:rPr>
              <w:t>ellos</w:t>
            </w:r>
            <w:r w:rsidRPr="007F1C3E">
              <w:rPr>
                <w:sz w:val="16"/>
                <w:szCs w:val="16"/>
              </w:rPr>
              <w:t>.</w:t>
            </w:r>
          </w:p>
        </w:tc>
        <w:tc>
          <w:tcPr>
            <w:tcW w:w="2480" w:type="dxa"/>
            <w:tcBorders>
              <w:top w:val="nil"/>
              <w:left w:val="nil"/>
              <w:bottom w:val="nil"/>
              <w:right w:val="nil"/>
            </w:tcBorders>
            <w:shd w:val="clear" w:color="000000" w:fill="FFFFFF"/>
            <w:tcMar>
              <w:top w:w="85" w:type="dxa"/>
            </w:tcMar>
            <w:hideMark/>
          </w:tcPr>
          <w:p w:rsidR="00236E18" w:rsidRPr="007F1C3E" w:rsidRDefault="00236E18" w:rsidP="00294272">
            <w:pPr>
              <w:ind w:left="1"/>
              <w:rPr>
                <w:sz w:val="16"/>
                <w:szCs w:val="16"/>
              </w:rPr>
            </w:pPr>
            <w:proofErr w:type="spellStart"/>
            <w:r>
              <w:rPr>
                <w:sz w:val="16"/>
                <w:szCs w:val="16"/>
              </w:rPr>
              <w:t>n.d</w:t>
            </w:r>
            <w:proofErr w:type="spellEnd"/>
            <w:r>
              <w:rPr>
                <w:sz w:val="16"/>
                <w:szCs w:val="16"/>
              </w:rPr>
              <w:t>.</w:t>
            </w:r>
            <w:r w:rsidRPr="007F1C3E">
              <w:rPr>
                <w:sz w:val="16"/>
                <w:szCs w:val="16"/>
              </w:rPr>
              <w:t xml:space="preserve"> (</w:t>
            </w:r>
            <w:r>
              <w:rPr>
                <w:sz w:val="16"/>
                <w:szCs w:val="16"/>
              </w:rPr>
              <w:t>indicador revisado</w:t>
            </w:r>
            <w:r w:rsidRPr="007F1C3E">
              <w:rPr>
                <w:sz w:val="16"/>
                <w:szCs w:val="16"/>
              </w:rPr>
              <w:t>).</w:t>
            </w:r>
          </w:p>
        </w:tc>
        <w:tc>
          <w:tcPr>
            <w:tcW w:w="1915" w:type="dxa"/>
            <w:tcBorders>
              <w:top w:val="nil"/>
              <w:left w:val="nil"/>
              <w:bottom w:val="nil"/>
              <w:right w:val="single" w:sz="4" w:space="0" w:color="auto"/>
            </w:tcBorders>
            <w:shd w:val="clear" w:color="000000" w:fill="FFFFFF"/>
            <w:tcMar>
              <w:top w:w="85" w:type="dxa"/>
            </w:tcMar>
            <w:hideMark/>
          </w:tcPr>
          <w:p w:rsidR="00236E18" w:rsidRPr="007F1C3E" w:rsidRDefault="00236E18" w:rsidP="00294272">
            <w:pPr>
              <w:ind w:left="97" w:firstLineChars="200" w:firstLine="320"/>
              <w:rPr>
                <w:sz w:val="16"/>
                <w:szCs w:val="16"/>
              </w:rPr>
            </w:pPr>
            <w:r w:rsidRPr="007F1C3E">
              <w:rPr>
                <w:sz w:val="16"/>
                <w:szCs w:val="16"/>
              </w:rPr>
              <w:t>1</w:t>
            </w:r>
            <w:r>
              <w:rPr>
                <w:sz w:val="16"/>
                <w:szCs w:val="16"/>
              </w:rPr>
              <w:t>0</w:t>
            </w:r>
          </w:p>
        </w:tc>
      </w:tr>
      <w:tr w:rsidR="00236E18" w:rsidRPr="00427606" w:rsidTr="00294272">
        <w:trPr>
          <w:trHeight w:val="986"/>
        </w:trPr>
        <w:tc>
          <w:tcPr>
            <w:tcW w:w="2440" w:type="dxa"/>
            <w:vMerge/>
            <w:tcBorders>
              <w:top w:val="nil"/>
              <w:left w:val="single" w:sz="4" w:space="0" w:color="auto"/>
              <w:right w:val="nil"/>
            </w:tcBorders>
            <w:tcMar>
              <w:top w:w="85" w:type="dxa"/>
            </w:tcMar>
            <w:vAlign w:val="center"/>
            <w:hideMark/>
          </w:tcPr>
          <w:p w:rsidR="00236E18" w:rsidRPr="007F1C3E" w:rsidRDefault="00236E18" w:rsidP="00294272">
            <w:pPr>
              <w:rPr>
                <w:sz w:val="16"/>
                <w:szCs w:val="16"/>
              </w:rPr>
            </w:pPr>
          </w:p>
        </w:tc>
        <w:tc>
          <w:tcPr>
            <w:tcW w:w="2537" w:type="dxa"/>
            <w:tcBorders>
              <w:top w:val="nil"/>
              <w:left w:val="nil"/>
              <w:right w:val="nil"/>
            </w:tcBorders>
            <w:shd w:val="clear" w:color="000000" w:fill="FFFFFF"/>
            <w:tcMar>
              <w:top w:w="85" w:type="dxa"/>
            </w:tcMar>
            <w:hideMark/>
          </w:tcPr>
          <w:p w:rsidR="00236E18" w:rsidRPr="007F1C3E" w:rsidRDefault="00236E18" w:rsidP="00294272">
            <w:pPr>
              <w:keepNext/>
              <w:keepLines/>
              <w:ind w:left="19"/>
              <w:rPr>
                <w:sz w:val="16"/>
                <w:szCs w:val="16"/>
              </w:rPr>
            </w:pPr>
            <w:r w:rsidRPr="007F1C3E">
              <w:rPr>
                <w:sz w:val="16"/>
                <w:szCs w:val="16"/>
              </w:rPr>
              <w:t>N</w:t>
            </w:r>
            <w:r>
              <w:rPr>
                <w:sz w:val="16"/>
                <w:szCs w:val="16"/>
              </w:rPr>
              <w:t>º</w:t>
            </w:r>
            <w:r w:rsidRPr="007F1C3E">
              <w:rPr>
                <w:sz w:val="16"/>
                <w:szCs w:val="16"/>
              </w:rPr>
              <w:t xml:space="preserve"> y porcentaje de países que han formulado comentarios positivos sobre el asesoramiento de la OMPI en materia legislativa.</w:t>
            </w:r>
          </w:p>
        </w:tc>
        <w:tc>
          <w:tcPr>
            <w:tcW w:w="2480" w:type="dxa"/>
            <w:tcBorders>
              <w:top w:val="nil"/>
              <w:left w:val="nil"/>
              <w:right w:val="nil"/>
            </w:tcBorders>
            <w:shd w:val="clear" w:color="000000" w:fill="FFFFFF"/>
            <w:tcMar>
              <w:top w:w="85" w:type="dxa"/>
            </w:tcMar>
            <w:hideMark/>
          </w:tcPr>
          <w:p w:rsidR="00236E18" w:rsidRPr="007F1C3E" w:rsidRDefault="00236E18" w:rsidP="00294272">
            <w:pPr>
              <w:ind w:left="57"/>
              <w:rPr>
                <w:sz w:val="16"/>
                <w:szCs w:val="16"/>
              </w:rPr>
            </w:pPr>
            <w:proofErr w:type="spellStart"/>
            <w:r>
              <w:rPr>
                <w:sz w:val="16"/>
                <w:szCs w:val="16"/>
              </w:rPr>
              <w:t>n.d</w:t>
            </w:r>
            <w:proofErr w:type="spellEnd"/>
            <w:r>
              <w:rPr>
                <w:sz w:val="16"/>
                <w:szCs w:val="16"/>
              </w:rPr>
              <w:t>.</w:t>
            </w:r>
            <w:r w:rsidRPr="007F1C3E">
              <w:rPr>
                <w:sz w:val="16"/>
                <w:szCs w:val="16"/>
              </w:rPr>
              <w:t xml:space="preserve"> en 2014</w:t>
            </w:r>
          </w:p>
          <w:p w:rsidR="00236E18" w:rsidRPr="007F1C3E" w:rsidRDefault="00236E18" w:rsidP="00294272">
            <w:pPr>
              <w:ind w:left="57"/>
              <w:rPr>
                <w:sz w:val="16"/>
                <w:szCs w:val="16"/>
              </w:rPr>
            </w:pPr>
            <w:r w:rsidRPr="007F1C3E">
              <w:rPr>
                <w:sz w:val="16"/>
                <w:szCs w:val="16"/>
              </w:rPr>
              <w:t>(en 2015 se llevará a cabo una encuesta bienal)</w:t>
            </w:r>
          </w:p>
        </w:tc>
        <w:tc>
          <w:tcPr>
            <w:tcW w:w="1915" w:type="dxa"/>
            <w:tcBorders>
              <w:top w:val="nil"/>
              <w:left w:val="nil"/>
              <w:right w:val="single" w:sz="4" w:space="0" w:color="auto"/>
            </w:tcBorders>
            <w:shd w:val="clear" w:color="000000" w:fill="FFFFFF"/>
            <w:tcMar>
              <w:top w:w="85" w:type="dxa"/>
            </w:tcMar>
            <w:hideMark/>
          </w:tcPr>
          <w:p w:rsidR="00236E18" w:rsidRPr="007F1C3E" w:rsidRDefault="00236E18" w:rsidP="00294272">
            <w:pPr>
              <w:ind w:left="97"/>
              <w:rPr>
                <w:sz w:val="16"/>
                <w:szCs w:val="16"/>
              </w:rPr>
            </w:pPr>
            <w:r w:rsidRPr="007F1C3E">
              <w:rPr>
                <w:sz w:val="16"/>
                <w:szCs w:val="16"/>
              </w:rPr>
              <w:t>El </w:t>
            </w:r>
            <w:r>
              <w:rPr>
                <w:sz w:val="16"/>
                <w:szCs w:val="16"/>
              </w:rPr>
              <w:t>7</w:t>
            </w:r>
            <w:r w:rsidRPr="007F1C3E">
              <w:rPr>
                <w:sz w:val="16"/>
                <w:szCs w:val="16"/>
              </w:rPr>
              <w:t>0% de los encuestados se dijo satisfecho con el asesoramiento brindado.</w:t>
            </w:r>
          </w:p>
        </w:tc>
      </w:tr>
      <w:tr w:rsidR="00236E18" w:rsidRPr="00427606" w:rsidTr="00294272">
        <w:trPr>
          <w:trHeight w:val="545"/>
        </w:trPr>
        <w:tc>
          <w:tcPr>
            <w:tcW w:w="2440" w:type="dxa"/>
            <w:vMerge w:val="restart"/>
            <w:tcBorders>
              <w:left w:val="single" w:sz="4" w:space="0" w:color="auto"/>
              <w:bottom w:val="nil"/>
              <w:right w:val="nil"/>
            </w:tcBorders>
            <w:shd w:val="clear" w:color="000000" w:fill="FFFFFF"/>
            <w:tcMar>
              <w:top w:w="85" w:type="dxa"/>
            </w:tcMar>
            <w:hideMark/>
          </w:tcPr>
          <w:p w:rsidR="00236E18" w:rsidRPr="00705810" w:rsidRDefault="00236E18" w:rsidP="00294272">
            <w:pPr>
              <w:keepNext/>
              <w:keepLines/>
              <w:rPr>
                <w:sz w:val="16"/>
                <w:szCs w:val="16"/>
              </w:rPr>
            </w:pPr>
            <w:r w:rsidRPr="00705810">
              <w:rPr>
                <w:sz w:val="16"/>
                <w:szCs w:val="16"/>
              </w:rPr>
              <w:t>III.</w:t>
            </w:r>
            <w:r w:rsidRPr="00D455EB">
              <w:rPr>
                <w:sz w:val="16"/>
                <w:szCs w:val="16"/>
              </w:rPr>
              <w:t xml:space="preserve">2  </w:t>
            </w:r>
            <w:r w:rsidRPr="00D455EB">
              <w:rPr>
                <w:sz w:val="16"/>
                <w:szCs w:val="16"/>
                <w:lang w:val="es-ES_tradnl"/>
              </w:rPr>
              <w:t>Aumento de las capacidades en recursos humanos para hacer frente a la gran diversidad de exigencias que supone la utilización eficaz de la P.I. para fomentar el desarrollo en los países en desarrollo, PMA y países con economías en transición</w:t>
            </w: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p w:rsidR="00236E18" w:rsidRPr="007F1C3E" w:rsidRDefault="00236E18" w:rsidP="00294272">
            <w:pPr>
              <w:keepNext/>
              <w:keepLines/>
              <w:rPr>
                <w:sz w:val="16"/>
                <w:szCs w:val="16"/>
              </w:rPr>
            </w:pPr>
          </w:p>
        </w:tc>
        <w:tc>
          <w:tcPr>
            <w:tcW w:w="2537" w:type="dxa"/>
            <w:tcBorders>
              <w:left w:val="nil"/>
              <w:bottom w:val="nil"/>
              <w:right w:val="nil"/>
            </w:tcBorders>
            <w:shd w:val="clear" w:color="000000" w:fill="FFFFFF"/>
            <w:tcMar>
              <w:top w:w="85" w:type="dxa"/>
            </w:tcMar>
            <w:hideMark/>
          </w:tcPr>
          <w:p w:rsidR="00236E18" w:rsidRDefault="00236E18" w:rsidP="00294272">
            <w:pPr>
              <w:keepNext/>
              <w:keepLines/>
              <w:ind w:left="19"/>
              <w:rPr>
                <w:sz w:val="16"/>
                <w:szCs w:val="16"/>
              </w:rPr>
            </w:pPr>
            <w:r>
              <w:rPr>
                <w:sz w:val="16"/>
                <w:szCs w:val="16"/>
              </w:rPr>
              <w:t>Nº de oficinas nacionales de derecho de autor que participan activamente en el proceso consultivo sobre la norma TAG.</w:t>
            </w:r>
          </w:p>
          <w:p w:rsidR="00236E18" w:rsidRDefault="00236E18" w:rsidP="00294272">
            <w:pPr>
              <w:keepNext/>
              <w:keepLines/>
              <w:ind w:left="19"/>
              <w:rPr>
                <w:sz w:val="16"/>
                <w:szCs w:val="16"/>
              </w:rPr>
            </w:pPr>
          </w:p>
          <w:p w:rsidR="00236E18" w:rsidRPr="007F1C3E" w:rsidRDefault="00236E18" w:rsidP="00294272">
            <w:pPr>
              <w:keepNext/>
              <w:keepLines/>
              <w:ind w:left="19"/>
              <w:rPr>
                <w:sz w:val="16"/>
                <w:szCs w:val="16"/>
              </w:rPr>
            </w:pPr>
            <w:r w:rsidRPr="007F1C3E">
              <w:rPr>
                <w:sz w:val="16"/>
                <w:szCs w:val="16"/>
              </w:rPr>
              <w:t>N</w:t>
            </w:r>
            <w:r>
              <w:rPr>
                <w:sz w:val="16"/>
                <w:szCs w:val="16"/>
              </w:rPr>
              <w:t>º</w:t>
            </w:r>
            <w:r w:rsidRPr="007F1C3E">
              <w:rPr>
                <w:sz w:val="16"/>
                <w:szCs w:val="16"/>
              </w:rPr>
              <w:t xml:space="preserve"> de </w:t>
            </w:r>
            <w:r>
              <w:rPr>
                <w:sz w:val="16"/>
                <w:szCs w:val="16"/>
              </w:rPr>
              <w:t>OGC</w:t>
            </w:r>
            <w:r w:rsidRPr="007F1C3E">
              <w:rPr>
                <w:sz w:val="16"/>
                <w:szCs w:val="16"/>
              </w:rPr>
              <w:t xml:space="preserve"> que solicitan acreditación para el programa </w:t>
            </w:r>
            <w:r w:rsidRPr="007F1C3E">
              <w:rPr>
                <w:i/>
                <w:sz w:val="16"/>
                <w:szCs w:val="16"/>
              </w:rPr>
              <w:t>TAG.</w:t>
            </w:r>
          </w:p>
        </w:tc>
        <w:tc>
          <w:tcPr>
            <w:tcW w:w="2480" w:type="dxa"/>
            <w:tcBorders>
              <w:left w:val="nil"/>
              <w:bottom w:val="nil"/>
              <w:right w:val="nil"/>
            </w:tcBorders>
            <w:shd w:val="clear" w:color="000000" w:fill="FFFFFF"/>
            <w:tcMar>
              <w:top w:w="85" w:type="dxa"/>
            </w:tcMar>
            <w:hideMark/>
          </w:tcPr>
          <w:p w:rsidR="00236E18" w:rsidRDefault="00236E18" w:rsidP="00294272">
            <w:pPr>
              <w:keepNext/>
              <w:keepLines/>
              <w:ind w:left="57"/>
              <w:rPr>
                <w:sz w:val="16"/>
                <w:szCs w:val="16"/>
              </w:rPr>
            </w:pPr>
            <w:proofErr w:type="spellStart"/>
            <w:r>
              <w:rPr>
                <w:sz w:val="16"/>
                <w:szCs w:val="16"/>
              </w:rPr>
              <w:t>n.d</w:t>
            </w:r>
            <w:proofErr w:type="spellEnd"/>
            <w:r>
              <w:rPr>
                <w:sz w:val="16"/>
                <w:szCs w:val="16"/>
              </w:rPr>
              <w:t>.</w:t>
            </w:r>
          </w:p>
          <w:p w:rsidR="00236E18" w:rsidRDefault="00236E18" w:rsidP="00294272">
            <w:pPr>
              <w:keepNext/>
              <w:keepLines/>
              <w:ind w:left="57"/>
              <w:rPr>
                <w:sz w:val="16"/>
                <w:szCs w:val="16"/>
              </w:rPr>
            </w:pPr>
          </w:p>
          <w:p w:rsidR="00236E18" w:rsidRDefault="00236E18" w:rsidP="00294272">
            <w:pPr>
              <w:keepNext/>
              <w:keepLines/>
              <w:ind w:left="57"/>
              <w:rPr>
                <w:sz w:val="16"/>
                <w:szCs w:val="16"/>
              </w:rPr>
            </w:pPr>
          </w:p>
          <w:p w:rsidR="00236E18" w:rsidRDefault="00236E18" w:rsidP="00294272">
            <w:pPr>
              <w:keepNext/>
              <w:keepLines/>
              <w:ind w:left="57"/>
              <w:rPr>
                <w:sz w:val="16"/>
                <w:szCs w:val="16"/>
              </w:rPr>
            </w:pPr>
          </w:p>
          <w:p w:rsidR="00236E18" w:rsidRDefault="00236E18" w:rsidP="00294272">
            <w:pPr>
              <w:keepNext/>
              <w:keepLines/>
              <w:ind w:left="57"/>
              <w:rPr>
                <w:sz w:val="16"/>
                <w:szCs w:val="16"/>
              </w:rPr>
            </w:pPr>
          </w:p>
          <w:p w:rsidR="00236E18" w:rsidRDefault="00236E18" w:rsidP="00294272">
            <w:pPr>
              <w:keepNext/>
              <w:keepLines/>
              <w:ind w:left="57"/>
              <w:rPr>
                <w:sz w:val="16"/>
                <w:szCs w:val="16"/>
              </w:rPr>
            </w:pPr>
          </w:p>
          <w:p w:rsidR="00236E18" w:rsidRPr="007F1C3E" w:rsidRDefault="00236E18" w:rsidP="00294272">
            <w:pPr>
              <w:keepNext/>
              <w:keepLines/>
              <w:ind w:left="57"/>
              <w:rPr>
                <w:sz w:val="16"/>
                <w:szCs w:val="16"/>
              </w:rPr>
            </w:pPr>
            <w:r w:rsidRPr="007F1C3E">
              <w:rPr>
                <w:sz w:val="16"/>
                <w:szCs w:val="16"/>
              </w:rPr>
              <w:t>0 (al final de 2014).</w:t>
            </w:r>
          </w:p>
        </w:tc>
        <w:tc>
          <w:tcPr>
            <w:tcW w:w="1915" w:type="dxa"/>
            <w:tcBorders>
              <w:left w:val="nil"/>
              <w:bottom w:val="nil"/>
              <w:right w:val="single" w:sz="4" w:space="0" w:color="auto"/>
            </w:tcBorders>
            <w:shd w:val="clear" w:color="000000" w:fill="FFFFFF"/>
            <w:tcMar>
              <w:top w:w="85" w:type="dxa"/>
            </w:tcMar>
            <w:hideMark/>
          </w:tcPr>
          <w:p w:rsidR="00236E18" w:rsidRDefault="00236E18" w:rsidP="00294272">
            <w:pPr>
              <w:keepNext/>
              <w:keepLines/>
              <w:ind w:left="97"/>
              <w:rPr>
                <w:sz w:val="16"/>
                <w:szCs w:val="16"/>
              </w:rPr>
            </w:pPr>
            <w:r>
              <w:rPr>
                <w:sz w:val="16"/>
                <w:szCs w:val="16"/>
              </w:rPr>
              <w:t>25 oficinas nacionales de derecho de autor</w:t>
            </w:r>
          </w:p>
          <w:p w:rsidR="00236E18" w:rsidRDefault="00236E18" w:rsidP="00294272">
            <w:pPr>
              <w:keepNext/>
              <w:keepLines/>
              <w:ind w:left="97"/>
              <w:rPr>
                <w:sz w:val="16"/>
                <w:szCs w:val="16"/>
              </w:rPr>
            </w:pPr>
          </w:p>
          <w:p w:rsidR="00236E18" w:rsidRDefault="00236E18" w:rsidP="00294272">
            <w:pPr>
              <w:keepNext/>
              <w:keepLines/>
              <w:ind w:left="97"/>
              <w:rPr>
                <w:sz w:val="16"/>
                <w:szCs w:val="16"/>
              </w:rPr>
            </w:pPr>
          </w:p>
          <w:p w:rsidR="00236E18" w:rsidRDefault="00236E18" w:rsidP="00294272">
            <w:pPr>
              <w:keepNext/>
              <w:keepLines/>
              <w:ind w:left="97"/>
              <w:rPr>
                <w:sz w:val="16"/>
                <w:szCs w:val="16"/>
              </w:rPr>
            </w:pPr>
          </w:p>
          <w:p w:rsidR="00236E18" w:rsidRDefault="00236E18" w:rsidP="00294272">
            <w:pPr>
              <w:keepNext/>
              <w:keepLines/>
              <w:ind w:left="97"/>
              <w:rPr>
                <w:sz w:val="16"/>
                <w:szCs w:val="16"/>
              </w:rPr>
            </w:pPr>
          </w:p>
          <w:p w:rsidR="00236E18" w:rsidRDefault="00236E18" w:rsidP="00294272">
            <w:pPr>
              <w:keepNext/>
              <w:keepLines/>
              <w:ind w:left="97"/>
              <w:rPr>
                <w:sz w:val="16"/>
                <w:szCs w:val="16"/>
              </w:rPr>
            </w:pPr>
            <w:r>
              <w:rPr>
                <w:sz w:val="16"/>
                <w:szCs w:val="16"/>
              </w:rPr>
              <w:t>0 (2016)</w:t>
            </w:r>
          </w:p>
          <w:p w:rsidR="00236E18" w:rsidRPr="007F1C3E" w:rsidRDefault="00236E18" w:rsidP="00294272">
            <w:pPr>
              <w:keepNext/>
              <w:keepLines/>
              <w:ind w:left="97"/>
              <w:rPr>
                <w:sz w:val="16"/>
                <w:szCs w:val="16"/>
              </w:rPr>
            </w:pPr>
            <w:r>
              <w:rPr>
                <w:sz w:val="16"/>
                <w:szCs w:val="16"/>
              </w:rPr>
              <w:t>2</w:t>
            </w:r>
            <w:r w:rsidRPr="007F1C3E">
              <w:rPr>
                <w:sz w:val="16"/>
                <w:szCs w:val="16"/>
              </w:rPr>
              <w:t xml:space="preserve"> </w:t>
            </w:r>
            <w:r>
              <w:rPr>
                <w:sz w:val="16"/>
                <w:szCs w:val="16"/>
              </w:rPr>
              <w:t>OGC</w:t>
            </w:r>
            <w:r w:rsidRPr="007F1C3E">
              <w:rPr>
                <w:sz w:val="16"/>
                <w:szCs w:val="16"/>
              </w:rPr>
              <w:t xml:space="preserve"> solicitan acreditación</w:t>
            </w:r>
            <w:r>
              <w:rPr>
                <w:sz w:val="16"/>
                <w:szCs w:val="16"/>
              </w:rPr>
              <w:t xml:space="preserve"> (2017)</w:t>
            </w:r>
            <w:r>
              <w:rPr>
                <w:rStyle w:val="FootnoteReference"/>
                <w:sz w:val="16"/>
                <w:szCs w:val="16"/>
              </w:rPr>
              <w:footnoteReference w:id="17"/>
            </w:r>
          </w:p>
        </w:tc>
      </w:tr>
      <w:tr w:rsidR="00236E18" w:rsidRPr="00427606" w:rsidTr="00294272">
        <w:trPr>
          <w:trHeight w:val="896"/>
        </w:trPr>
        <w:tc>
          <w:tcPr>
            <w:tcW w:w="2440" w:type="dxa"/>
            <w:vMerge/>
            <w:tcBorders>
              <w:top w:val="nil"/>
              <w:left w:val="single" w:sz="4" w:space="0" w:color="auto"/>
              <w:bottom w:val="nil"/>
              <w:right w:val="nil"/>
            </w:tcBorders>
            <w:tcMar>
              <w:top w:w="85" w:type="dxa"/>
            </w:tcMar>
            <w:vAlign w:val="center"/>
          </w:tcPr>
          <w:p w:rsidR="00236E18" w:rsidRPr="007F1C3E" w:rsidRDefault="00236E18" w:rsidP="00294272">
            <w:pPr>
              <w:keepNext/>
              <w:keepLines/>
              <w:rPr>
                <w:sz w:val="16"/>
                <w:szCs w:val="16"/>
              </w:rPr>
            </w:pPr>
          </w:p>
        </w:tc>
        <w:tc>
          <w:tcPr>
            <w:tcW w:w="2537" w:type="dxa"/>
            <w:tcBorders>
              <w:top w:val="nil"/>
              <w:left w:val="nil"/>
              <w:bottom w:val="nil"/>
              <w:right w:val="nil"/>
            </w:tcBorders>
            <w:shd w:val="clear" w:color="000000" w:fill="FFFFFF"/>
            <w:tcMar>
              <w:top w:w="85" w:type="dxa"/>
            </w:tcMar>
          </w:tcPr>
          <w:p w:rsidR="00236E18" w:rsidRPr="007F1C3E" w:rsidRDefault="00236E18" w:rsidP="00294272">
            <w:pPr>
              <w:keepNext/>
              <w:keepLines/>
              <w:ind w:left="19"/>
              <w:rPr>
                <w:sz w:val="16"/>
                <w:szCs w:val="16"/>
              </w:rPr>
            </w:pPr>
            <w:r>
              <w:rPr>
                <w:sz w:val="16"/>
                <w:szCs w:val="16"/>
              </w:rPr>
              <w:t>%</w:t>
            </w:r>
            <w:r w:rsidRPr="007F1C3E">
              <w:rPr>
                <w:sz w:val="16"/>
                <w:szCs w:val="16"/>
              </w:rPr>
              <w:t xml:space="preserve"> de participantes que dan referencias positivas sobre los programas de gestión colectiva.</w:t>
            </w:r>
          </w:p>
        </w:tc>
        <w:tc>
          <w:tcPr>
            <w:tcW w:w="2480" w:type="dxa"/>
            <w:tcBorders>
              <w:top w:val="nil"/>
              <w:left w:val="nil"/>
              <w:bottom w:val="nil"/>
              <w:right w:val="nil"/>
            </w:tcBorders>
            <w:shd w:val="clear" w:color="000000" w:fill="FFFFFF"/>
            <w:tcMar>
              <w:top w:w="85" w:type="dxa"/>
            </w:tcMar>
          </w:tcPr>
          <w:p w:rsidR="00236E18" w:rsidRPr="007F1C3E" w:rsidRDefault="00236E18" w:rsidP="00294272">
            <w:pPr>
              <w:keepNext/>
              <w:keepLines/>
              <w:ind w:left="57"/>
              <w:rPr>
                <w:sz w:val="16"/>
                <w:szCs w:val="16"/>
              </w:rPr>
            </w:pPr>
            <w:r w:rsidRPr="007F1C3E">
              <w:rPr>
                <w:sz w:val="16"/>
                <w:szCs w:val="16"/>
              </w:rPr>
              <w:t xml:space="preserve">0 (al final de 2014). </w:t>
            </w:r>
          </w:p>
        </w:tc>
        <w:tc>
          <w:tcPr>
            <w:tcW w:w="1915" w:type="dxa"/>
            <w:tcBorders>
              <w:top w:val="nil"/>
              <w:left w:val="nil"/>
              <w:bottom w:val="nil"/>
              <w:right w:val="single" w:sz="4" w:space="0" w:color="auto"/>
            </w:tcBorders>
            <w:shd w:val="clear" w:color="000000" w:fill="FFFFFF"/>
            <w:tcMar>
              <w:top w:w="85" w:type="dxa"/>
            </w:tcMar>
          </w:tcPr>
          <w:p w:rsidR="00236E18" w:rsidRPr="007F1C3E" w:rsidRDefault="00236E18" w:rsidP="00294272">
            <w:pPr>
              <w:keepNext/>
              <w:keepLines/>
              <w:ind w:left="97"/>
              <w:rPr>
                <w:sz w:val="16"/>
                <w:szCs w:val="16"/>
              </w:rPr>
            </w:pPr>
            <w:r w:rsidRPr="007F1C3E">
              <w:rPr>
                <w:sz w:val="16"/>
                <w:szCs w:val="16"/>
              </w:rPr>
              <w:t>El 70% de los encuestados manifiestan aprobación o marcada aprobación.</w:t>
            </w:r>
          </w:p>
        </w:tc>
      </w:tr>
      <w:tr w:rsidR="00236E18" w:rsidRPr="007F1C3E" w:rsidTr="00294272">
        <w:trPr>
          <w:trHeight w:val="545"/>
        </w:trPr>
        <w:tc>
          <w:tcPr>
            <w:tcW w:w="2440" w:type="dxa"/>
            <w:vMerge/>
            <w:tcBorders>
              <w:top w:val="nil"/>
              <w:left w:val="single" w:sz="4" w:space="0" w:color="auto"/>
              <w:bottom w:val="nil"/>
              <w:right w:val="nil"/>
            </w:tcBorders>
            <w:tcMar>
              <w:top w:w="85" w:type="dxa"/>
            </w:tcMar>
            <w:vAlign w:val="center"/>
          </w:tcPr>
          <w:p w:rsidR="00236E18" w:rsidRPr="007F1C3E" w:rsidRDefault="00236E18" w:rsidP="00294272">
            <w:pPr>
              <w:keepNext/>
              <w:keepLines/>
              <w:rPr>
                <w:sz w:val="16"/>
                <w:szCs w:val="16"/>
              </w:rPr>
            </w:pPr>
          </w:p>
        </w:tc>
        <w:tc>
          <w:tcPr>
            <w:tcW w:w="2537" w:type="dxa"/>
            <w:tcBorders>
              <w:top w:val="nil"/>
              <w:left w:val="nil"/>
              <w:bottom w:val="nil"/>
              <w:right w:val="nil"/>
            </w:tcBorders>
            <w:shd w:val="clear" w:color="000000" w:fill="FFFFFF"/>
            <w:tcMar>
              <w:top w:w="85" w:type="dxa"/>
            </w:tcMar>
          </w:tcPr>
          <w:p w:rsidR="00236E18" w:rsidRPr="007F1C3E" w:rsidRDefault="00236E18" w:rsidP="00294272">
            <w:pPr>
              <w:keepNext/>
              <w:keepLines/>
              <w:ind w:left="19"/>
              <w:rPr>
                <w:sz w:val="16"/>
                <w:szCs w:val="16"/>
              </w:rPr>
            </w:pPr>
            <w:r w:rsidRPr="007F1C3E">
              <w:rPr>
                <w:sz w:val="16"/>
                <w:szCs w:val="16"/>
              </w:rPr>
              <w:t>N</w:t>
            </w:r>
            <w:r>
              <w:rPr>
                <w:sz w:val="16"/>
                <w:szCs w:val="16"/>
              </w:rPr>
              <w:t>º</w:t>
            </w:r>
            <w:r w:rsidRPr="007F1C3E">
              <w:rPr>
                <w:sz w:val="16"/>
                <w:szCs w:val="16"/>
              </w:rPr>
              <w:t xml:space="preserve"> de visitas al portal sobre infraestructura de derecho de autor. </w:t>
            </w:r>
          </w:p>
        </w:tc>
        <w:tc>
          <w:tcPr>
            <w:tcW w:w="2480" w:type="dxa"/>
            <w:tcBorders>
              <w:top w:val="nil"/>
              <w:left w:val="nil"/>
              <w:bottom w:val="nil"/>
              <w:right w:val="nil"/>
            </w:tcBorders>
            <w:shd w:val="clear" w:color="000000" w:fill="FFFFFF"/>
            <w:tcMar>
              <w:top w:w="85" w:type="dxa"/>
            </w:tcMar>
          </w:tcPr>
          <w:p w:rsidR="00236E18" w:rsidRPr="007F1C3E" w:rsidRDefault="00236E18" w:rsidP="00294272">
            <w:pPr>
              <w:keepNext/>
              <w:keepLines/>
              <w:ind w:left="57"/>
              <w:rPr>
                <w:sz w:val="16"/>
                <w:szCs w:val="16"/>
              </w:rPr>
            </w:pPr>
            <w:r w:rsidRPr="007F1C3E">
              <w:rPr>
                <w:sz w:val="16"/>
                <w:szCs w:val="16"/>
              </w:rPr>
              <w:t>0 (al final de 2014).</w:t>
            </w:r>
          </w:p>
        </w:tc>
        <w:tc>
          <w:tcPr>
            <w:tcW w:w="1915" w:type="dxa"/>
            <w:tcBorders>
              <w:top w:val="nil"/>
              <w:left w:val="nil"/>
              <w:bottom w:val="nil"/>
              <w:right w:val="single" w:sz="4" w:space="0" w:color="auto"/>
            </w:tcBorders>
            <w:shd w:val="clear" w:color="000000" w:fill="FFFFFF"/>
            <w:tcMar>
              <w:top w:w="85" w:type="dxa"/>
            </w:tcMar>
          </w:tcPr>
          <w:p w:rsidR="00236E18" w:rsidRPr="007F1C3E" w:rsidRDefault="00236E18" w:rsidP="00294272">
            <w:pPr>
              <w:keepNext/>
              <w:keepLines/>
              <w:ind w:left="97"/>
              <w:rPr>
                <w:sz w:val="16"/>
                <w:szCs w:val="16"/>
              </w:rPr>
            </w:pPr>
            <w:r w:rsidRPr="007F1C3E">
              <w:rPr>
                <w:sz w:val="16"/>
                <w:szCs w:val="16"/>
              </w:rPr>
              <w:t>500 visitas al portal.</w:t>
            </w:r>
          </w:p>
        </w:tc>
      </w:tr>
      <w:tr w:rsidR="00236E18" w:rsidRPr="00427606" w:rsidTr="00294272">
        <w:trPr>
          <w:trHeight w:val="896"/>
        </w:trPr>
        <w:tc>
          <w:tcPr>
            <w:tcW w:w="2440" w:type="dxa"/>
            <w:vMerge/>
            <w:tcBorders>
              <w:top w:val="nil"/>
              <w:left w:val="single" w:sz="4" w:space="0" w:color="auto"/>
              <w:bottom w:val="nil"/>
              <w:right w:val="nil"/>
            </w:tcBorders>
            <w:tcMar>
              <w:top w:w="85" w:type="dxa"/>
            </w:tcMar>
            <w:vAlign w:val="center"/>
          </w:tcPr>
          <w:p w:rsidR="00236E18" w:rsidRPr="007F1C3E" w:rsidRDefault="00236E18" w:rsidP="00294272">
            <w:pPr>
              <w:rPr>
                <w:sz w:val="16"/>
                <w:szCs w:val="16"/>
              </w:rPr>
            </w:pPr>
          </w:p>
        </w:tc>
        <w:tc>
          <w:tcPr>
            <w:tcW w:w="2537" w:type="dxa"/>
            <w:tcBorders>
              <w:top w:val="nil"/>
              <w:left w:val="nil"/>
              <w:right w:val="nil"/>
            </w:tcBorders>
            <w:shd w:val="clear" w:color="000000" w:fill="FFFFFF"/>
            <w:tcMar>
              <w:top w:w="85" w:type="dxa"/>
            </w:tcMar>
          </w:tcPr>
          <w:p w:rsidR="00236E18" w:rsidRPr="007F1C3E" w:rsidRDefault="00236E18" w:rsidP="00294272">
            <w:pPr>
              <w:keepNext/>
              <w:keepLines/>
              <w:ind w:left="19"/>
              <w:rPr>
                <w:sz w:val="16"/>
                <w:szCs w:val="16"/>
              </w:rPr>
            </w:pPr>
            <w:r w:rsidRPr="007F1C3E">
              <w:rPr>
                <w:sz w:val="16"/>
                <w:szCs w:val="16"/>
              </w:rPr>
              <w:t>N</w:t>
            </w:r>
            <w:r>
              <w:rPr>
                <w:sz w:val="16"/>
                <w:szCs w:val="16"/>
              </w:rPr>
              <w:t>º</w:t>
            </w:r>
            <w:r w:rsidRPr="007F1C3E">
              <w:rPr>
                <w:sz w:val="16"/>
                <w:szCs w:val="16"/>
              </w:rPr>
              <w:t xml:space="preserve"> de editoriales que firman la Carta de la edición accesible (“la Carta”) del ABC.</w:t>
            </w:r>
            <w:r>
              <w:rPr>
                <w:sz w:val="16"/>
                <w:szCs w:val="16"/>
              </w:rPr>
              <w:br/>
            </w:r>
          </w:p>
          <w:p w:rsidR="00236E18" w:rsidRPr="007F1C3E" w:rsidRDefault="00236E18" w:rsidP="00294272">
            <w:pPr>
              <w:keepNext/>
              <w:keepLines/>
              <w:ind w:left="19"/>
              <w:rPr>
                <w:sz w:val="16"/>
                <w:szCs w:val="16"/>
              </w:rPr>
            </w:pPr>
            <w:r w:rsidRPr="007F1C3E">
              <w:rPr>
                <w:sz w:val="16"/>
                <w:szCs w:val="16"/>
              </w:rPr>
              <w:t>N</w:t>
            </w:r>
            <w:r>
              <w:rPr>
                <w:sz w:val="16"/>
                <w:szCs w:val="16"/>
              </w:rPr>
              <w:t>º</w:t>
            </w:r>
            <w:r w:rsidRPr="007F1C3E">
              <w:rPr>
                <w:sz w:val="16"/>
                <w:szCs w:val="16"/>
              </w:rPr>
              <w:t xml:space="preserve"> de libros en formatos accesibles prestados a personas con dificultad para acceder al texto impreso.</w:t>
            </w:r>
          </w:p>
        </w:tc>
        <w:tc>
          <w:tcPr>
            <w:tcW w:w="2480" w:type="dxa"/>
            <w:tcBorders>
              <w:top w:val="nil"/>
              <w:left w:val="nil"/>
              <w:right w:val="nil"/>
            </w:tcBorders>
            <w:shd w:val="clear" w:color="000000" w:fill="FFFFFF"/>
            <w:tcMar>
              <w:top w:w="85" w:type="dxa"/>
            </w:tcMar>
          </w:tcPr>
          <w:p w:rsidR="00236E18" w:rsidRPr="007F1C3E" w:rsidRDefault="00236E18" w:rsidP="00294272">
            <w:pPr>
              <w:ind w:left="57"/>
              <w:rPr>
                <w:sz w:val="16"/>
                <w:szCs w:val="16"/>
              </w:rPr>
            </w:pPr>
            <w:r w:rsidRPr="007F1C3E">
              <w:rPr>
                <w:sz w:val="16"/>
                <w:szCs w:val="16"/>
              </w:rPr>
              <w:t>Nueve editoriales firmaron la Carta del ABC.</w:t>
            </w:r>
          </w:p>
          <w:p w:rsidR="00236E18" w:rsidRPr="007F1C3E" w:rsidRDefault="00236E18" w:rsidP="00294272">
            <w:pPr>
              <w:ind w:left="57"/>
              <w:rPr>
                <w:sz w:val="16"/>
                <w:szCs w:val="16"/>
              </w:rPr>
            </w:pPr>
          </w:p>
          <w:p w:rsidR="00236E18" w:rsidRPr="007F1C3E" w:rsidRDefault="00236E18" w:rsidP="00294272">
            <w:pPr>
              <w:ind w:left="57"/>
              <w:rPr>
                <w:sz w:val="16"/>
                <w:szCs w:val="16"/>
              </w:rPr>
            </w:pPr>
          </w:p>
          <w:p w:rsidR="00236E18" w:rsidRPr="007F1C3E" w:rsidRDefault="00236E18" w:rsidP="00294272">
            <w:pPr>
              <w:ind w:left="57"/>
              <w:rPr>
                <w:sz w:val="16"/>
                <w:szCs w:val="16"/>
              </w:rPr>
            </w:pPr>
          </w:p>
          <w:p w:rsidR="00236E18" w:rsidRPr="007F1C3E" w:rsidRDefault="00236E18" w:rsidP="00294272">
            <w:pPr>
              <w:ind w:left="57"/>
              <w:rPr>
                <w:sz w:val="16"/>
                <w:szCs w:val="16"/>
              </w:rPr>
            </w:pPr>
            <w:r w:rsidRPr="007F1C3E">
              <w:rPr>
                <w:sz w:val="16"/>
                <w:szCs w:val="16"/>
              </w:rPr>
              <w:t>16.000 préstamos a personas con dificultad para acceder al texto impreso.</w:t>
            </w:r>
          </w:p>
        </w:tc>
        <w:tc>
          <w:tcPr>
            <w:tcW w:w="1915" w:type="dxa"/>
            <w:tcBorders>
              <w:top w:val="nil"/>
              <w:left w:val="nil"/>
              <w:right w:val="single" w:sz="4" w:space="0" w:color="auto"/>
            </w:tcBorders>
            <w:shd w:val="clear" w:color="000000" w:fill="FFFFFF"/>
            <w:tcMar>
              <w:top w:w="85" w:type="dxa"/>
            </w:tcMar>
          </w:tcPr>
          <w:p w:rsidR="00236E18" w:rsidRPr="007F1C3E" w:rsidRDefault="00236E18" w:rsidP="00294272">
            <w:pPr>
              <w:ind w:left="97"/>
              <w:rPr>
                <w:sz w:val="16"/>
                <w:szCs w:val="16"/>
              </w:rPr>
            </w:pPr>
            <w:r w:rsidRPr="007F1C3E">
              <w:rPr>
                <w:sz w:val="16"/>
                <w:szCs w:val="16"/>
              </w:rPr>
              <w:t>15 editoriales firman (</w:t>
            </w:r>
            <w:r>
              <w:rPr>
                <w:sz w:val="16"/>
                <w:szCs w:val="16"/>
              </w:rPr>
              <w:t>en total</w:t>
            </w:r>
            <w:r w:rsidRPr="007F1C3E">
              <w:rPr>
                <w:sz w:val="16"/>
                <w:szCs w:val="16"/>
              </w:rPr>
              <w:t>).</w:t>
            </w:r>
          </w:p>
          <w:p w:rsidR="00236E18" w:rsidRPr="007F1C3E" w:rsidRDefault="00236E18" w:rsidP="00294272">
            <w:pPr>
              <w:ind w:left="97"/>
              <w:rPr>
                <w:sz w:val="16"/>
                <w:szCs w:val="16"/>
              </w:rPr>
            </w:pPr>
          </w:p>
          <w:p w:rsidR="00236E18" w:rsidRPr="007F1C3E" w:rsidRDefault="00236E18" w:rsidP="00294272">
            <w:pPr>
              <w:ind w:left="97"/>
              <w:rPr>
                <w:sz w:val="16"/>
                <w:szCs w:val="16"/>
              </w:rPr>
            </w:pPr>
          </w:p>
          <w:p w:rsidR="00236E18" w:rsidRPr="007F1C3E" w:rsidRDefault="00236E18" w:rsidP="00294272">
            <w:pPr>
              <w:ind w:left="97"/>
              <w:rPr>
                <w:sz w:val="16"/>
                <w:szCs w:val="16"/>
              </w:rPr>
            </w:pPr>
          </w:p>
          <w:p w:rsidR="00236E18" w:rsidRPr="007F1C3E" w:rsidRDefault="00236E18" w:rsidP="00294272">
            <w:pPr>
              <w:ind w:left="97"/>
              <w:rPr>
                <w:sz w:val="16"/>
                <w:szCs w:val="16"/>
              </w:rPr>
            </w:pPr>
            <w:r w:rsidRPr="007F1C3E">
              <w:rPr>
                <w:sz w:val="16"/>
                <w:szCs w:val="16"/>
              </w:rPr>
              <w:t>20.000 préstamos (</w:t>
            </w:r>
            <w:r>
              <w:rPr>
                <w:sz w:val="16"/>
                <w:szCs w:val="16"/>
              </w:rPr>
              <w:t>en total</w:t>
            </w:r>
            <w:r w:rsidRPr="007F1C3E">
              <w:rPr>
                <w:sz w:val="16"/>
                <w:szCs w:val="16"/>
              </w:rPr>
              <w:t>).</w:t>
            </w:r>
          </w:p>
        </w:tc>
      </w:tr>
      <w:tr w:rsidR="00236E18" w:rsidRPr="00427606" w:rsidTr="00294272">
        <w:trPr>
          <w:trHeight w:val="896"/>
        </w:trPr>
        <w:tc>
          <w:tcPr>
            <w:tcW w:w="2440" w:type="dxa"/>
            <w:vMerge/>
            <w:tcBorders>
              <w:top w:val="nil"/>
              <w:left w:val="single" w:sz="4" w:space="0" w:color="auto"/>
              <w:bottom w:val="single" w:sz="4" w:space="0" w:color="auto"/>
              <w:right w:val="nil"/>
            </w:tcBorders>
            <w:tcMar>
              <w:top w:w="85" w:type="dxa"/>
            </w:tcMar>
            <w:vAlign w:val="center"/>
            <w:hideMark/>
          </w:tcPr>
          <w:p w:rsidR="00236E18" w:rsidRPr="007F1C3E" w:rsidRDefault="00236E18" w:rsidP="00294272">
            <w:pPr>
              <w:rPr>
                <w:sz w:val="16"/>
                <w:szCs w:val="16"/>
              </w:rPr>
            </w:pPr>
          </w:p>
        </w:tc>
        <w:tc>
          <w:tcPr>
            <w:tcW w:w="2537" w:type="dxa"/>
            <w:tcBorders>
              <w:top w:val="nil"/>
              <w:left w:val="nil"/>
              <w:bottom w:val="single" w:sz="4" w:space="0" w:color="auto"/>
              <w:right w:val="nil"/>
            </w:tcBorders>
            <w:shd w:val="clear" w:color="000000" w:fill="FFFFFF"/>
            <w:tcMar>
              <w:top w:w="85" w:type="dxa"/>
            </w:tcMar>
            <w:hideMark/>
          </w:tcPr>
          <w:p w:rsidR="00236E18" w:rsidRPr="007F1C3E" w:rsidRDefault="00236E18" w:rsidP="00294272">
            <w:pPr>
              <w:keepNext/>
              <w:keepLines/>
              <w:ind w:left="19"/>
              <w:rPr>
                <w:sz w:val="16"/>
                <w:szCs w:val="16"/>
              </w:rPr>
            </w:pPr>
            <w:r>
              <w:rPr>
                <w:sz w:val="16"/>
                <w:szCs w:val="16"/>
              </w:rPr>
              <w:t>%</w:t>
            </w:r>
            <w:r w:rsidRPr="007F1C3E">
              <w:rPr>
                <w:sz w:val="16"/>
                <w:szCs w:val="16"/>
              </w:rPr>
              <w:t xml:space="preserve"> de participantes en reuniones y talleres de fortalecimiento de capacidades sobre cuestiones de derecho de autor y derechos conexos que expresaron satisfacción al respecto.</w:t>
            </w:r>
            <w:r>
              <w:rPr>
                <w:sz w:val="16"/>
                <w:szCs w:val="16"/>
              </w:rPr>
              <w:br/>
            </w:r>
          </w:p>
        </w:tc>
        <w:tc>
          <w:tcPr>
            <w:tcW w:w="2480" w:type="dxa"/>
            <w:tcBorders>
              <w:top w:val="nil"/>
              <w:left w:val="nil"/>
              <w:bottom w:val="single" w:sz="4" w:space="0" w:color="auto"/>
              <w:right w:val="nil"/>
            </w:tcBorders>
            <w:shd w:val="clear" w:color="000000" w:fill="FFFFFF"/>
            <w:tcMar>
              <w:top w:w="85" w:type="dxa"/>
            </w:tcMar>
            <w:hideMark/>
          </w:tcPr>
          <w:p w:rsidR="00236E18" w:rsidRPr="007F1C3E" w:rsidRDefault="00236E18" w:rsidP="00294272">
            <w:pPr>
              <w:rPr>
                <w:sz w:val="16"/>
                <w:szCs w:val="16"/>
              </w:rPr>
            </w:pPr>
            <w:r w:rsidRPr="007F1C3E">
              <w:rPr>
                <w:sz w:val="16"/>
                <w:szCs w:val="16"/>
              </w:rPr>
              <w:t>El 70%.</w:t>
            </w:r>
          </w:p>
        </w:tc>
        <w:tc>
          <w:tcPr>
            <w:tcW w:w="1915" w:type="dxa"/>
            <w:tcBorders>
              <w:top w:val="nil"/>
              <w:left w:val="nil"/>
              <w:bottom w:val="single" w:sz="4" w:space="0" w:color="auto"/>
              <w:right w:val="single" w:sz="4" w:space="0" w:color="auto"/>
            </w:tcBorders>
            <w:shd w:val="clear" w:color="000000" w:fill="FFFFFF"/>
            <w:tcMar>
              <w:top w:w="85" w:type="dxa"/>
            </w:tcMar>
            <w:hideMark/>
          </w:tcPr>
          <w:p w:rsidR="00236E18" w:rsidRPr="007F1C3E" w:rsidRDefault="00236E18" w:rsidP="00294272">
            <w:pPr>
              <w:ind w:left="97"/>
              <w:rPr>
                <w:sz w:val="16"/>
                <w:szCs w:val="16"/>
              </w:rPr>
            </w:pPr>
            <w:r w:rsidRPr="007F1C3E">
              <w:rPr>
                <w:sz w:val="16"/>
                <w:szCs w:val="16"/>
              </w:rPr>
              <w:t>El 70% de los participantes está de acuerdo o marcadamente de acuerdo.</w:t>
            </w:r>
          </w:p>
        </w:tc>
      </w:tr>
      <w:tr w:rsidR="00236E18" w:rsidRPr="00427606" w:rsidTr="00294272">
        <w:trPr>
          <w:trHeight w:val="1265"/>
        </w:trPr>
        <w:tc>
          <w:tcPr>
            <w:tcW w:w="2440" w:type="dxa"/>
            <w:vMerge/>
            <w:tcBorders>
              <w:top w:val="single" w:sz="4" w:space="0" w:color="auto"/>
              <w:left w:val="single" w:sz="4" w:space="0" w:color="auto"/>
              <w:bottom w:val="single" w:sz="4" w:space="0" w:color="auto"/>
              <w:right w:val="nil"/>
            </w:tcBorders>
            <w:tcMar>
              <w:top w:w="85" w:type="dxa"/>
            </w:tcMar>
            <w:vAlign w:val="center"/>
            <w:hideMark/>
          </w:tcPr>
          <w:p w:rsidR="00236E18" w:rsidRPr="007F1C3E" w:rsidRDefault="00236E18" w:rsidP="00294272">
            <w:pPr>
              <w:rPr>
                <w:sz w:val="16"/>
                <w:szCs w:val="16"/>
              </w:rPr>
            </w:pPr>
          </w:p>
        </w:tc>
        <w:tc>
          <w:tcPr>
            <w:tcW w:w="2537" w:type="dxa"/>
            <w:tcBorders>
              <w:top w:val="single" w:sz="4" w:space="0" w:color="auto"/>
              <w:left w:val="nil"/>
              <w:right w:val="nil"/>
            </w:tcBorders>
            <w:shd w:val="clear" w:color="000000" w:fill="FFFFFF"/>
            <w:tcMar>
              <w:top w:w="85" w:type="dxa"/>
            </w:tcMar>
            <w:hideMark/>
          </w:tcPr>
          <w:p w:rsidR="00236E18" w:rsidRPr="007F1C3E" w:rsidRDefault="00236E18" w:rsidP="00294272">
            <w:pPr>
              <w:keepNext/>
              <w:keepLines/>
              <w:ind w:left="19"/>
              <w:rPr>
                <w:sz w:val="16"/>
                <w:szCs w:val="16"/>
              </w:rPr>
            </w:pPr>
            <w:r>
              <w:rPr>
                <w:sz w:val="16"/>
                <w:szCs w:val="16"/>
              </w:rPr>
              <w:t>%</w:t>
            </w:r>
            <w:r w:rsidRPr="007F1C3E">
              <w:rPr>
                <w:sz w:val="16"/>
                <w:szCs w:val="16"/>
              </w:rPr>
              <w:t xml:space="preserve"> de participantes en talleres de fortalecimiento de capacidades relacionadas con el derecho de autor que informan haber aplicado en la práctica los conocimientos en los </w:t>
            </w:r>
            <w:r>
              <w:rPr>
                <w:sz w:val="16"/>
                <w:szCs w:val="16"/>
              </w:rPr>
              <w:t>9</w:t>
            </w:r>
            <w:r w:rsidRPr="007F1C3E">
              <w:rPr>
                <w:sz w:val="16"/>
                <w:szCs w:val="16"/>
              </w:rPr>
              <w:t xml:space="preserve"> meses posteriores al taller en cuestión.</w:t>
            </w:r>
          </w:p>
        </w:tc>
        <w:tc>
          <w:tcPr>
            <w:tcW w:w="2480" w:type="dxa"/>
            <w:tcBorders>
              <w:top w:val="single" w:sz="4" w:space="0" w:color="auto"/>
              <w:left w:val="nil"/>
              <w:right w:val="nil"/>
            </w:tcBorders>
            <w:shd w:val="clear" w:color="000000" w:fill="FFFFFF"/>
            <w:tcMar>
              <w:top w:w="85" w:type="dxa"/>
            </w:tcMar>
            <w:hideMark/>
          </w:tcPr>
          <w:p w:rsidR="00236E18" w:rsidRPr="007F1C3E" w:rsidRDefault="00236E18" w:rsidP="00294272">
            <w:pPr>
              <w:rPr>
                <w:sz w:val="16"/>
                <w:szCs w:val="16"/>
              </w:rPr>
            </w:pPr>
            <w:r w:rsidRPr="007F1C3E">
              <w:rPr>
                <w:sz w:val="16"/>
                <w:szCs w:val="16"/>
              </w:rPr>
              <w:t>Aproximadamente el 70%.</w:t>
            </w:r>
          </w:p>
        </w:tc>
        <w:tc>
          <w:tcPr>
            <w:tcW w:w="1915" w:type="dxa"/>
            <w:tcBorders>
              <w:top w:val="single" w:sz="4" w:space="0" w:color="auto"/>
              <w:left w:val="nil"/>
              <w:right w:val="single" w:sz="4" w:space="0" w:color="auto"/>
            </w:tcBorders>
            <w:shd w:val="clear" w:color="000000" w:fill="FFFFFF"/>
            <w:tcMar>
              <w:top w:w="85" w:type="dxa"/>
            </w:tcMar>
            <w:hideMark/>
          </w:tcPr>
          <w:p w:rsidR="00236E18" w:rsidRPr="007F1C3E" w:rsidRDefault="00236E18" w:rsidP="00294272">
            <w:pPr>
              <w:ind w:left="97"/>
              <w:rPr>
                <w:sz w:val="16"/>
                <w:szCs w:val="16"/>
              </w:rPr>
            </w:pPr>
            <w:r w:rsidRPr="007F1C3E">
              <w:rPr>
                <w:sz w:val="16"/>
                <w:szCs w:val="16"/>
              </w:rPr>
              <w:t>Aproximadamente el 80% de los participantes.</w:t>
            </w:r>
          </w:p>
        </w:tc>
      </w:tr>
      <w:tr w:rsidR="00236E18" w:rsidRPr="00427606" w:rsidTr="00294272">
        <w:trPr>
          <w:trHeight w:val="1043"/>
        </w:trPr>
        <w:tc>
          <w:tcPr>
            <w:tcW w:w="2440" w:type="dxa"/>
            <w:vMerge/>
            <w:tcBorders>
              <w:top w:val="single" w:sz="4" w:space="0" w:color="auto"/>
              <w:left w:val="single" w:sz="4" w:space="0" w:color="auto"/>
              <w:right w:val="nil"/>
            </w:tcBorders>
            <w:tcMar>
              <w:top w:w="85" w:type="dxa"/>
            </w:tcMar>
            <w:vAlign w:val="center"/>
            <w:hideMark/>
          </w:tcPr>
          <w:p w:rsidR="00236E18" w:rsidRPr="007F1C3E" w:rsidRDefault="00236E18" w:rsidP="00294272">
            <w:pPr>
              <w:rPr>
                <w:sz w:val="16"/>
                <w:szCs w:val="16"/>
              </w:rPr>
            </w:pPr>
          </w:p>
        </w:tc>
        <w:tc>
          <w:tcPr>
            <w:tcW w:w="2537" w:type="dxa"/>
            <w:tcBorders>
              <w:left w:val="nil"/>
              <w:bottom w:val="nil"/>
              <w:right w:val="nil"/>
            </w:tcBorders>
            <w:shd w:val="clear" w:color="000000" w:fill="FFFFFF"/>
            <w:tcMar>
              <w:top w:w="85" w:type="dxa"/>
            </w:tcMar>
            <w:hideMark/>
          </w:tcPr>
          <w:p w:rsidR="00236E18" w:rsidRPr="007F1C3E" w:rsidRDefault="00236E18" w:rsidP="00294272">
            <w:pPr>
              <w:keepNext/>
              <w:keepLines/>
              <w:ind w:left="19"/>
              <w:rPr>
                <w:sz w:val="16"/>
                <w:szCs w:val="16"/>
              </w:rPr>
            </w:pPr>
            <w:r w:rsidRPr="007F1C3E">
              <w:rPr>
                <w:sz w:val="16"/>
                <w:szCs w:val="16"/>
              </w:rPr>
              <w:t xml:space="preserve">Porcentaje de </w:t>
            </w:r>
            <w:r>
              <w:rPr>
                <w:sz w:val="16"/>
                <w:szCs w:val="16"/>
              </w:rPr>
              <w:t>participantes</w:t>
            </w:r>
            <w:r w:rsidRPr="007F1C3E">
              <w:rPr>
                <w:sz w:val="16"/>
                <w:szCs w:val="16"/>
              </w:rPr>
              <w:t xml:space="preserve"> que han mejorado sus conocimientos y aptitudes para realizar </w:t>
            </w:r>
            <w:r>
              <w:rPr>
                <w:sz w:val="16"/>
                <w:szCs w:val="16"/>
              </w:rPr>
              <w:t>actividades de formación</w:t>
            </w:r>
            <w:r w:rsidRPr="007F1C3E">
              <w:rPr>
                <w:sz w:val="16"/>
                <w:szCs w:val="16"/>
              </w:rPr>
              <w:t xml:space="preserve"> en sus países.</w:t>
            </w:r>
          </w:p>
        </w:tc>
        <w:tc>
          <w:tcPr>
            <w:tcW w:w="2480" w:type="dxa"/>
            <w:tcBorders>
              <w:left w:val="nil"/>
              <w:bottom w:val="nil"/>
              <w:right w:val="nil"/>
            </w:tcBorders>
            <w:shd w:val="clear" w:color="000000" w:fill="FFFFFF"/>
            <w:tcMar>
              <w:top w:w="85" w:type="dxa"/>
            </w:tcMar>
            <w:hideMark/>
          </w:tcPr>
          <w:p w:rsidR="00236E18" w:rsidRPr="007F1C3E" w:rsidRDefault="00236E18" w:rsidP="00294272">
            <w:pPr>
              <w:ind w:left="57"/>
              <w:rPr>
                <w:sz w:val="16"/>
                <w:szCs w:val="16"/>
              </w:rPr>
            </w:pPr>
            <w:proofErr w:type="spellStart"/>
            <w:r>
              <w:rPr>
                <w:sz w:val="16"/>
                <w:szCs w:val="16"/>
              </w:rPr>
              <w:t>n.d</w:t>
            </w:r>
            <w:proofErr w:type="spellEnd"/>
            <w:r>
              <w:rPr>
                <w:sz w:val="16"/>
                <w:szCs w:val="16"/>
              </w:rPr>
              <w:t>.</w:t>
            </w:r>
            <w:r w:rsidRPr="007F1C3E">
              <w:rPr>
                <w:sz w:val="16"/>
                <w:szCs w:val="16"/>
              </w:rPr>
              <w:t xml:space="preserve"> (nuevo indicador).</w:t>
            </w:r>
          </w:p>
        </w:tc>
        <w:tc>
          <w:tcPr>
            <w:tcW w:w="1915" w:type="dxa"/>
            <w:tcBorders>
              <w:left w:val="nil"/>
              <w:bottom w:val="nil"/>
              <w:right w:val="single" w:sz="4" w:space="0" w:color="auto"/>
            </w:tcBorders>
            <w:shd w:val="clear" w:color="000000" w:fill="FFFFFF"/>
            <w:tcMar>
              <w:top w:w="85" w:type="dxa"/>
            </w:tcMar>
            <w:hideMark/>
          </w:tcPr>
          <w:p w:rsidR="00236E18" w:rsidRPr="007F1C3E" w:rsidRDefault="00236E18" w:rsidP="00294272">
            <w:pPr>
              <w:ind w:left="97"/>
              <w:rPr>
                <w:sz w:val="16"/>
                <w:szCs w:val="16"/>
              </w:rPr>
            </w:pPr>
            <w:r w:rsidRPr="007F1C3E">
              <w:rPr>
                <w:sz w:val="16"/>
                <w:szCs w:val="16"/>
              </w:rPr>
              <w:t>El 70% de los participantes que recibieron capacitación.</w:t>
            </w:r>
          </w:p>
        </w:tc>
      </w:tr>
      <w:tr w:rsidR="00236E18" w:rsidRPr="00427606" w:rsidTr="00294272">
        <w:trPr>
          <w:trHeight w:val="1346"/>
        </w:trPr>
        <w:tc>
          <w:tcPr>
            <w:tcW w:w="2440" w:type="dxa"/>
            <w:vMerge w:val="restart"/>
            <w:tcBorders>
              <w:top w:val="nil"/>
              <w:left w:val="single" w:sz="4" w:space="0" w:color="auto"/>
              <w:bottom w:val="single" w:sz="4" w:space="0" w:color="auto"/>
              <w:right w:val="nil"/>
            </w:tcBorders>
            <w:shd w:val="clear" w:color="000000" w:fill="FFFFFF"/>
            <w:tcMar>
              <w:top w:w="85" w:type="dxa"/>
            </w:tcMar>
            <w:hideMark/>
          </w:tcPr>
          <w:p w:rsidR="00236E18" w:rsidRPr="007F1C3E" w:rsidRDefault="00236E18" w:rsidP="00294272">
            <w:pPr>
              <w:rPr>
                <w:sz w:val="16"/>
                <w:szCs w:val="16"/>
              </w:rPr>
            </w:pPr>
            <w:r w:rsidRPr="007F1C3E">
              <w:rPr>
                <w:sz w:val="16"/>
                <w:szCs w:val="16"/>
              </w:rPr>
              <w:t xml:space="preserve">IV.2.  </w:t>
            </w:r>
            <w:r w:rsidRPr="00D455EB">
              <w:rPr>
                <w:sz w:val="16"/>
                <w:szCs w:val="16"/>
                <w:lang w:val="es-ES_tradnl"/>
              </w:rPr>
              <w:t>Mejora del acceso y uso de información de P.I. por parte de instituciones de P.I. y el público para fomentar la innovación y la creatividad</w:t>
            </w:r>
          </w:p>
        </w:tc>
        <w:tc>
          <w:tcPr>
            <w:tcW w:w="2537" w:type="dxa"/>
            <w:tcBorders>
              <w:top w:val="nil"/>
              <w:left w:val="nil"/>
              <w:bottom w:val="nil"/>
              <w:right w:val="nil"/>
            </w:tcBorders>
            <w:shd w:val="clear" w:color="000000" w:fill="FFFFFF"/>
            <w:tcMar>
              <w:top w:w="85" w:type="dxa"/>
            </w:tcMar>
            <w:hideMark/>
          </w:tcPr>
          <w:p w:rsidR="00236E18" w:rsidRPr="007F1C3E" w:rsidRDefault="00236E18" w:rsidP="00294272">
            <w:pPr>
              <w:keepNext/>
              <w:keepLines/>
              <w:ind w:left="19"/>
              <w:rPr>
                <w:sz w:val="16"/>
                <w:szCs w:val="16"/>
              </w:rPr>
            </w:pPr>
            <w:r w:rsidRPr="007F1C3E">
              <w:rPr>
                <w:sz w:val="16"/>
                <w:szCs w:val="16"/>
              </w:rPr>
              <w:t>N</w:t>
            </w:r>
            <w:r>
              <w:rPr>
                <w:sz w:val="16"/>
                <w:szCs w:val="16"/>
              </w:rPr>
              <w:t>º</w:t>
            </w:r>
            <w:r w:rsidRPr="007F1C3E">
              <w:rPr>
                <w:sz w:val="16"/>
                <w:szCs w:val="16"/>
              </w:rPr>
              <w:t xml:space="preserve"> de miembros constitutivos del ABC.</w:t>
            </w:r>
          </w:p>
          <w:p w:rsidR="00236E18" w:rsidRPr="007F1C3E" w:rsidRDefault="00236E18" w:rsidP="00294272">
            <w:pPr>
              <w:ind w:left="77"/>
              <w:rPr>
                <w:sz w:val="16"/>
                <w:szCs w:val="16"/>
              </w:rPr>
            </w:pPr>
          </w:p>
          <w:p w:rsidR="00236E18" w:rsidRPr="007F1C3E" w:rsidRDefault="00236E18" w:rsidP="00294272">
            <w:pPr>
              <w:ind w:left="77"/>
              <w:rPr>
                <w:sz w:val="16"/>
                <w:szCs w:val="16"/>
              </w:rPr>
            </w:pPr>
          </w:p>
          <w:p w:rsidR="00236E18" w:rsidRPr="007F1C3E" w:rsidRDefault="00236E18" w:rsidP="00294272">
            <w:pPr>
              <w:ind w:left="77"/>
              <w:rPr>
                <w:sz w:val="16"/>
                <w:szCs w:val="16"/>
              </w:rPr>
            </w:pPr>
          </w:p>
          <w:p w:rsidR="00236E18" w:rsidRPr="007F1C3E" w:rsidRDefault="00236E18" w:rsidP="00294272">
            <w:pPr>
              <w:keepNext/>
              <w:keepLines/>
              <w:ind w:left="19"/>
              <w:rPr>
                <w:sz w:val="16"/>
                <w:szCs w:val="16"/>
              </w:rPr>
            </w:pPr>
            <w:r w:rsidRPr="007F1C3E">
              <w:rPr>
                <w:sz w:val="16"/>
                <w:szCs w:val="16"/>
              </w:rPr>
              <w:t>Número de donantes.</w:t>
            </w:r>
          </w:p>
        </w:tc>
        <w:tc>
          <w:tcPr>
            <w:tcW w:w="2480" w:type="dxa"/>
            <w:tcBorders>
              <w:top w:val="nil"/>
              <w:left w:val="nil"/>
              <w:bottom w:val="nil"/>
              <w:right w:val="nil"/>
            </w:tcBorders>
            <w:shd w:val="clear" w:color="000000" w:fill="FFFFFF"/>
            <w:tcMar>
              <w:top w:w="85" w:type="dxa"/>
            </w:tcMar>
            <w:hideMark/>
          </w:tcPr>
          <w:p w:rsidR="00236E18" w:rsidRPr="007F1C3E" w:rsidRDefault="00236E18" w:rsidP="00294272">
            <w:pPr>
              <w:ind w:left="57"/>
              <w:rPr>
                <w:sz w:val="16"/>
                <w:szCs w:val="16"/>
              </w:rPr>
            </w:pPr>
            <w:r w:rsidRPr="007F1C3E">
              <w:rPr>
                <w:sz w:val="16"/>
                <w:szCs w:val="16"/>
              </w:rPr>
              <w:t>10 miembros constitutivos del ABC.</w:t>
            </w:r>
          </w:p>
          <w:p w:rsidR="00236E18" w:rsidRPr="007F1C3E" w:rsidRDefault="00236E18" w:rsidP="00294272">
            <w:pPr>
              <w:ind w:left="57"/>
              <w:rPr>
                <w:sz w:val="16"/>
                <w:szCs w:val="16"/>
              </w:rPr>
            </w:pPr>
          </w:p>
          <w:p w:rsidR="00236E18" w:rsidRPr="007F1C3E" w:rsidRDefault="00236E18" w:rsidP="00294272">
            <w:pPr>
              <w:ind w:left="57"/>
              <w:rPr>
                <w:sz w:val="16"/>
                <w:szCs w:val="16"/>
              </w:rPr>
            </w:pPr>
          </w:p>
          <w:p w:rsidR="00236E18" w:rsidRPr="007F1C3E" w:rsidRDefault="00236E18" w:rsidP="00294272">
            <w:pPr>
              <w:ind w:left="57"/>
              <w:rPr>
                <w:sz w:val="16"/>
                <w:szCs w:val="16"/>
              </w:rPr>
            </w:pPr>
          </w:p>
          <w:p w:rsidR="00236E18" w:rsidRPr="007F1C3E" w:rsidRDefault="00236E18" w:rsidP="00294272">
            <w:pPr>
              <w:ind w:left="57"/>
              <w:rPr>
                <w:sz w:val="16"/>
                <w:szCs w:val="16"/>
              </w:rPr>
            </w:pPr>
            <w:r w:rsidRPr="007F1C3E">
              <w:rPr>
                <w:sz w:val="16"/>
                <w:szCs w:val="16"/>
              </w:rPr>
              <w:t>Dos donantes que contribuyen con financiación.</w:t>
            </w:r>
          </w:p>
        </w:tc>
        <w:tc>
          <w:tcPr>
            <w:tcW w:w="1915" w:type="dxa"/>
            <w:tcBorders>
              <w:top w:val="nil"/>
              <w:left w:val="nil"/>
              <w:bottom w:val="nil"/>
              <w:right w:val="single" w:sz="4" w:space="0" w:color="auto"/>
            </w:tcBorders>
            <w:shd w:val="clear" w:color="000000" w:fill="FFFFFF"/>
            <w:tcMar>
              <w:top w:w="85" w:type="dxa"/>
            </w:tcMar>
            <w:hideMark/>
          </w:tcPr>
          <w:p w:rsidR="00236E18" w:rsidRPr="007F1C3E" w:rsidRDefault="00236E18" w:rsidP="00294272">
            <w:pPr>
              <w:ind w:left="97"/>
              <w:rPr>
                <w:sz w:val="16"/>
                <w:szCs w:val="16"/>
              </w:rPr>
            </w:pPr>
            <w:r w:rsidRPr="007F1C3E">
              <w:rPr>
                <w:sz w:val="16"/>
                <w:szCs w:val="16"/>
              </w:rPr>
              <w:t>15 miembros constitutivos del ABC inscritos (</w:t>
            </w:r>
            <w:r>
              <w:rPr>
                <w:sz w:val="16"/>
                <w:szCs w:val="16"/>
              </w:rPr>
              <w:t>en total</w:t>
            </w:r>
            <w:r w:rsidRPr="007F1C3E">
              <w:rPr>
                <w:sz w:val="16"/>
                <w:szCs w:val="16"/>
              </w:rPr>
              <w:t>).</w:t>
            </w:r>
          </w:p>
          <w:p w:rsidR="00236E18" w:rsidRDefault="00236E18" w:rsidP="00294272">
            <w:pPr>
              <w:ind w:left="97"/>
              <w:rPr>
                <w:sz w:val="16"/>
                <w:szCs w:val="16"/>
              </w:rPr>
            </w:pPr>
          </w:p>
          <w:p w:rsidR="00236E18" w:rsidRPr="007F1C3E" w:rsidRDefault="00236E18" w:rsidP="00294272">
            <w:pPr>
              <w:ind w:left="97"/>
              <w:rPr>
                <w:sz w:val="16"/>
                <w:szCs w:val="16"/>
              </w:rPr>
            </w:pPr>
          </w:p>
          <w:p w:rsidR="00236E18" w:rsidRPr="007F1C3E" w:rsidRDefault="00236E18" w:rsidP="00294272">
            <w:pPr>
              <w:ind w:left="97"/>
              <w:rPr>
                <w:sz w:val="16"/>
                <w:szCs w:val="16"/>
              </w:rPr>
            </w:pPr>
            <w:r w:rsidRPr="007F1C3E">
              <w:rPr>
                <w:sz w:val="16"/>
                <w:szCs w:val="16"/>
              </w:rPr>
              <w:t>Cuatro donantes contribuyen con financiación (</w:t>
            </w:r>
            <w:r>
              <w:rPr>
                <w:sz w:val="16"/>
                <w:szCs w:val="16"/>
              </w:rPr>
              <w:t>en total</w:t>
            </w:r>
            <w:r w:rsidRPr="007F1C3E">
              <w:rPr>
                <w:sz w:val="16"/>
                <w:szCs w:val="16"/>
              </w:rPr>
              <w:t>).</w:t>
            </w:r>
          </w:p>
        </w:tc>
      </w:tr>
      <w:tr w:rsidR="00236E18" w:rsidRPr="007F1C3E" w:rsidTr="00294272">
        <w:trPr>
          <w:trHeight w:val="1876"/>
        </w:trPr>
        <w:tc>
          <w:tcPr>
            <w:tcW w:w="2440" w:type="dxa"/>
            <w:vMerge/>
            <w:tcBorders>
              <w:top w:val="nil"/>
              <w:left w:val="single" w:sz="4" w:space="0" w:color="auto"/>
              <w:bottom w:val="single" w:sz="4" w:space="0" w:color="auto"/>
              <w:right w:val="nil"/>
            </w:tcBorders>
            <w:tcMar>
              <w:top w:w="85" w:type="dxa"/>
            </w:tcMar>
            <w:vAlign w:val="center"/>
            <w:hideMark/>
          </w:tcPr>
          <w:p w:rsidR="00236E18" w:rsidRPr="007F1C3E" w:rsidRDefault="00236E18" w:rsidP="00294272">
            <w:pPr>
              <w:rPr>
                <w:sz w:val="16"/>
                <w:szCs w:val="16"/>
              </w:rPr>
            </w:pPr>
          </w:p>
        </w:tc>
        <w:tc>
          <w:tcPr>
            <w:tcW w:w="2537" w:type="dxa"/>
            <w:tcBorders>
              <w:top w:val="nil"/>
              <w:left w:val="nil"/>
              <w:right w:val="nil"/>
            </w:tcBorders>
            <w:shd w:val="clear" w:color="000000" w:fill="FFFFFF"/>
            <w:tcMar>
              <w:top w:w="85" w:type="dxa"/>
            </w:tcMar>
            <w:hideMark/>
          </w:tcPr>
          <w:p w:rsidR="00236E18" w:rsidRPr="007F1C3E" w:rsidRDefault="00236E18" w:rsidP="00294272">
            <w:pPr>
              <w:keepNext/>
              <w:keepLines/>
              <w:ind w:left="19"/>
              <w:rPr>
                <w:sz w:val="16"/>
                <w:szCs w:val="16"/>
              </w:rPr>
            </w:pPr>
            <w:r w:rsidRPr="007F1C3E">
              <w:rPr>
                <w:sz w:val="16"/>
                <w:szCs w:val="16"/>
              </w:rPr>
              <w:t>N</w:t>
            </w:r>
            <w:r>
              <w:rPr>
                <w:sz w:val="16"/>
                <w:szCs w:val="16"/>
              </w:rPr>
              <w:t>º</w:t>
            </w:r>
            <w:r w:rsidRPr="007F1C3E">
              <w:rPr>
                <w:sz w:val="16"/>
                <w:szCs w:val="16"/>
              </w:rPr>
              <w:t xml:space="preserve"> de instrumentos jurídicos, directrices y declaraciones de principios, aparte de los instrumentos vinculantes, con la participación de las partes interesadas en cuestión, en ámbitos como los nuevos tratados de derecho de autor y el derecho de autor en el entorno digital.</w:t>
            </w:r>
          </w:p>
        </w:tc>
        <w:tc>
          <w:tcPr>
            <w:tcW w:w="2480" w:type="dxa"/>
            <w:tcBorders>
              <w:top w:val="nil"/>
              <w:left w:val="nil"/>
              <w:right w:val="nil"/>
            </w:tcBorders>
            <w:shd w:val="clear" w:color="000000" w:fill="FFFFFF"/>
            <w:tcMar>
              <w:top w:w="85" w:type="dxa"/>
            </w:tcMar>
            <w:hideMark/>
          </w:tcPr>
          <w:p w:rsidR="00236E18" w:rsidRPr="007F1C3E" w:rsidRDefault="00236E18" w:rsidP="00294272">
            <w:pPr>
              <w:ind w:left="57"/>
              <w:rPr>
                <w:sz w:val="16"/>
                <w:szCs w:val="16"/>
              </w:rPr>
            </w:pPr>
            <w:r w:rsidRPr="007F1C3E">
              <w:rPr>
                <w:sz w:val="16"/>
                <w:szCs w:val="16"/>
              </w:rPr>
              <w:t>Uno (Directrices sobre la P.I. y el deporte).</w:t>
            </w:r>
          </w:p>
        </w:tc>
        <w:tc>
          <w:tcPr>
            <w:tcW w:w="1915" w:type="dxa"/>
            <w:tcBorders>
              <w:top w:val="nil"/>
              <w:left w:val="nil"/>
              <w:right w:val="single" w:sz="4" w:space="0" w:color="auto"/>
            </w:tcBorders>
            <w:shd w:val="clear" w:color="000000" w:fill="FFFFFF"/>
            <w:tcMar>
              <w:top w:w="85" w:type="dxa"/>
            </w:tcMar>
            <w:hideMark/>
          </w:tcPr>
          <w:p w:rsidR="00236E18" w:rsidRPr="007F1C3E" w:rsidRDefault="00236E18" w:rsidP="00294272">
            <w:pPr>
              <w:ind w:left="97"/>
              <w:rPr>
                <w:sz w:val="16"/>
                <w:szCs w:val="16"/>
              </w:rPr>
            </w:pPr>
            <w:r w:rsidRPr="007F1C3E">
              <w:rPr>
                <w:sz w:val="16"/>
                <w:szCs w:val="16"/>
              </w:rPr>
              <w:t>Uno.</w:t>
            </w:r>
          </w:p>
        </w:tc>
      </w:tr>
      <w:tr w:rsidR="00236E18" w:rsidRPr="007F1C3E" w:rsidTr="00294272">
        <w:trPr>
          <w:trHeight w:val="224"/>
        </w:trPr>
        <w:tc>
          <w:tcPr>
            <w:tcW w:w="2440" w:type="dxa"/>
            <w:vMerge/>
            <w:tcBorders>
              <w:top w:val="nil"/>
              <w:left w:val="single" w:sz="4" w:space="0" w:color="auto"/>
              <w:bottom w:val="single" w:sz="4" w:space="0" w:color="auto"/>
              <w:right w:val="nil"/>
            </w:tcBorders>
            <w:tcMar>
              <w:top w:w="85" w:type="dxa"/>
            </w:tcMar>
            <w:vAlign w:val="center"/>
            <w:hideMark/>
          </w:tcPr>
          <w:p w:rsidR="00236E18" w:rsidRPr="007F1C3E" w:rsidRDefault="00236E18" w:rsidP="00294272">
            <w:pPr>
              <w:rPr>
                <w:sz w:val="16"/>
                <w:szCs w:val="16"/>
              </w:rPr>
            </w:pPr>
          </w:p>
        </w:tc>
        <w:tc>
          <w:tcPr>
            <w:tcW w:w="2537" w:type="dxa"/>
            <w:tcBorders>
              <w:top w:val="nil"/>
              <w:left w:val="nil"/>
              <w:bottom w:val="single" w:sz="4" w:space="0" w:color="auto"/>
              <w:right w:val="nil"/>
            </w:tcBorders>
            <w:shd w:val="clear" w:color="000000" w:fill="FFFFFF"/>
            <w:tcMar>
              <w:top w:w="85" w:type="dxa"/>
            </w:tcMar>
            <w:hideMark/>
          </w:tcPr>
          <w:p w:rsidR="00236E18" w:rsidRPr="007F1C3E" w:rsidRDefault="00236E18" w:rsidP="00294272">
            <w:pPr>
              <w:ind w:left="77"/>
              <w:rPr>
                <w:sz w:val="16"/>
                <w:szCs w:val="16"/>
              </w:rPr>
            </w:pPr>
          </w:p>
        </w:tc>
        <w:tc>
          <w:tcPr>
            <w:tcW w:w="2480" w:type="dxa"/>
            <w:tcBorders>
              <w:top w:val="nil"/>
              <w:left w:val="nil"/>
              <w:bottom w:val="single" w:sz="4" w:space="0" w:color="auto"/>
              <w:right w:val="nil"/>
            </w:tcBorders>
            <w:shd w:val="clear" w:color="000000" w:fill="FFFFFF"/>
            <w:tcMar>
              <w:top w:w="85" w:type="dxa"/>
            </w:tcMar>
            <w:hideMark/>
          </w:tcPr>
          <w:p w:rsidR="00236E18" w:rsidRPr="007F1C3E" w:rsidRDefault="00236E18" w:rsidP="00294272">
            <w:pPr>
              <w:ind w:left="57"/>
              <w:rPr>
                <w:sz w:val="16"/>
                <w:szCs w:val="16"/>
              </w:rPr>
            </w:pPr>
          </w:p>
        </w:tc>
        <w:tc>
          <w:tcPr>
            <w:tcW w:w="1915" w:type="dxa"/>
            <w:tcBorders>
              <w:top w:val="nil"/>
              <w:left w:val="nil"/>
              <w:bottom w:val="single" w:sz="4" w:space="0" w:color="auto"/>
              <w:right w:val="single" w:sz="4" w:space="0" w:color="auto"/>
            </w:tcBorders>
            <w:shd w:val="clear" w:color="000000" w:fill="FFFFFF"/>
            <w:tcMar>
              <w:top w:w="85" w:type="dxa"/>
            </w:tcMar>
            <w:hideMark/>
          </w:tcPr>
          <w:p w:rsidR="00236E18" w:rsidRPr="007F1C3E" w:rsidRDefault="00236E18" w:rsidP="00294272">
            <w:pPr>
              <w:ind w:left="97" w:firstLineChars="26" w:firstLine="42"/>
              <w:rPr>
                <w:sz w:val="16"/>
                <w:szCs w:val="16"/>
              </w:rPr>
            </w:pPr>
          </w:p>
        </w:tc>
      </w:tr>
    </w:tbl>
    <w:p w:rsidR="00236E18" w:rsidRPr="007F1C3E" w:rsidRDefault="00236E18" w:rsidP="00236E18">
      <w:pPr>
        <w:autoSpaceDE w:val="0"/>
        <w:autoSpaceDN w:val="0"/>
        <w:adjustRightInd w:val="0"/>
        <w:rPr>
          <w:szCs w:val="22"/>
        </w:rPr>
      </w:pPr>
    </w:p>
    <w:p w:rsidR="00236E18" w:rsidRPr="007F1C3E" w:rsidRDefault="00236E18" w:rsidP="00236E18">
      <w:pPr>
        <w:rPr>
          <w:sz w:val="20"/>
          <w:szCs w:val="22"/>
        </w:rPr>
      </w:pPr>
    </w:p>
    <w:p w:rsidR="00236E18" w:rsidRPr="00AB2407" w:rsidRDefault="00236E18" w:rsidP="00236E18">
      <w:pPr>
        <w:autoSpaceDE w:val="0"/>
        <w:autoSpaceDN w:val="0"/>
        <w:adjustRightInd w:val="0"/>
        <w:rPr>
          <w:szCs w:val="22"/>
        </w:rPr>
      </w:pPr>
      <w:r w:rsidRPr="00AB2407">
        <w:rPr>
          <w:szCs w:val="22"/>
        </w:rPr>
        <w:t>RECURSOS PARA EL PROGRAMA 3</w:t>
      </w:r>
    </w:p>
    <w:p w:rsidR="00236E18" w:rsidRPr="007F1C3E" w:rsidRDefault="00236E18" w:rsidP="00236E18">
      <w:pPr>
        <w:rPr>
          <w:sz w:val="20"/>
          <w:szCs w:val="22"/>
        </w:rPr>
      </w:pPr>
    </w:p>
    <w:p w:rsidR="00236E18" w:rsidRPr="003D4434" w:rsidRDefault="00236E18" w:rsidP="00236E18">
      <w:pPr>
        <w:pStyle w:val="Salutation"/>
        <w:numPr>
          <w:ilvl w:val="0"/>
          <w:numId w:val="12"/>
        </w:numPr>
        <w:autoSpaceDE w:val="0"/>
        <w:autoSpaceDN w:val="0"/>
        <w:adjustRightInd w:val="0"/>
        <w:contextualSpacing/>
        <w:jc w:val="both"/>
        <w:rPr>
          <w:sz w:val="20"/>
        </w:rPr>
      </w:pPr>
      <w:r w:rsidRPr="00EB43D0">
        <w:rPr>
          <w:sz w:val="20"/>
          <w:lang w:val="es-ES_tradnl"/>
        </w:rPr>
        <w:t>L</w:t>
      </w:r>
      <w:r>
        <w:rPr>
          <w:sz w:val="20"/>
          <w:lang w:val="es-ES_tradnl"/>
        </w:rPr>
        <w:t>a dotación global de</w:t>
      </w:r>
      <w:r w:rsidRPr="00EB43D0">
        <w:rPr>
          <w:sz w:val="20"/>
          <w:lang w:val="es-ES_tradnl"/>
        </w:rPr>
        <w:t xml:space="preserve"> recursos para el programa 3 en 2016/17 se mantiene </w:t>
      </w:r>
      <w:r>
        <w:rPr>
          <w:sz w:val="20"/>
          <w:lang w:val="es-ES_tradnl"/>
        </w:rPr>
        <w:t>al mismo nivel que en el bienio </w:t>
      </w:r>
      <w:r w:rsidRPr="00EB43D0">
        <w:rPr>
          <w:sz w:val="20"/>
          <w:lang w:val="es-ES_tradnl"/>
        </w:rPr>
        <w:t xml:space="preserve">2014/15.  Se observa una leve disminución en los recursos de personal a resultas de la transferencia de las responsabilidades relativas al Sistema WCC (siglas en inglés de </w:t>
      </w:r>
      <w:r w:rsidRPr="00EB43D0">
        <w:rPr>
          <w:i/>
          <w:sz w:val="20"/>
          <w:lang w:val="es-ES_tradnl"/>
        </w:rPr>
        <w:t xml:space="preserve">WIPO Copyright </w:t>
      </w:r>
      <w:proofErr w:type="spellStart"/>
      <w:r w:rsidRPr="00EB43D0">
        <w:rPr>
          <w:i/>
          <w:sz w:val="20"/>
          <w:lang w:val="es-ES_tradnl"/>
        </w:rPr>
        <w:t>Connection</w:t>
      </w:r>
      <w:proofErr w:type="spellEnd"/>
      <w:r w:rsidRPr="00EB43D0">
        <w:rPr>
          <w:sz w:val="20"/>
          <w:lang w:val="es-ES_tradnl"/>
        </w:rPr>
        <w:t xml:space="preserve">, plataforma informática para la gestión de los derechos de autor) al programa 15 (Soluciones operativas para las oficinas de P.I.), que se compensa con un aumento neto de los recursos </w:t>
      </w:r>
      <w:r>
        <w:rPr>
          <w:sz w:val="20"/>
          <w:lang w:val="es-ES_tradnl"/>
        </w:rPr>
        <w:t>no relativos a personal</w:t>
      </w:r>
      <w:r w:rsidRPr="00EB43D0">
        <w:rPr>
          <w:sz w:val="20"/>
          <w:lang w:val="es-ES_tradnl"/>
        </w:rPr>
        <w:t>, lo que pone de manifiesto:  a) la transferencia de las responsabilidades relativas a los estudios económicos sobre el derecho de autor al programa 16 (Economía y estadística), y b) la mayor importancia que ha cobrado la TAG (norma internacional para el aseguramiento de la calidad para los organismos de gestión colectiva), el nuevo portal sobre infraestructura de derecho de autor y el Consorcio de Libros Accesibles (ABC).  Los cambios se reflejan en las diferencias en los recursos destinados a los resultados IV.2, V.2 y III.2 entre los dos bienios.</w:t>
      </w:r>
    </w:p>
    <w:p w:rsidR="00236E18" w:rsidRPr="003D4434" w:rsidRDefault="00236E18" w:rsidP="00236E18">
      <w:pPr>
        <w:autoSpaceDE w:val="0"/>
        <w:autoSpaceDN w:val="0"/>
        <w:rPr>
          <w:b/>
          <w:sz w:val="20"/>
        </w:rPr>
      </w:pPr>
    </w:p>
    <w:p w:rsidR="00236E18" w:rsidRPr="003D4434" w:rsidRDefault="00236E18" w:rsidP="00236E18">
      <w:pPr>
        <w:autoSpaceDE w:val="0"/>
        <w:autoSpaceDN w:val="0"/>
        <w:rPr>
          <w:rFonts w:eastAsiaTheme="minorEastAsia"/>
          <w:b/>
          <w:sz w:val="20"/>
          <w:szCs w:val="22"/>
          <w:lang w:eastAsia="ja-JP"/>
        </w:rPr>
      </w:pPr>
    </w:p>
    <w:p w:rsidR="00236E18" w:rsidRPr="007F1C3E" w:rsidRDefault="00236E18" w:rsidP="00236E18">
      <w:pPr>
        <w:keepNext/>
        <w:keepLines/>
        <w:autoSpaceDE w:val="0"/>
        <w:autoSpaceDN w:val="0"/>
        <w:jc w:val="center"/>
        <w:rPr>
          <w:rFonts w:eastAsiaTheme="minorEastAsia"/>
          <w:b/>
          <w:sz w:val="20"/>
          <w:szCs w:val="22"/>
          <w:lang w:eastAsia="ja-JP"/>
        </w:rPr>
      </w:pPr>
      <w:r>
        <w:rPr>
          <w:rFonts w:eastAsiaTheme="minorEastAsia"/>
          <w:b/>
          <w:sz w:val="20"/>
          <w:szCs w:val="22"/>
          <w:lang w:eastAsia="ja-JP"/>
        </w:rPr>
        <w:lastRenderedPageBreak/>
        <w:t xml:space="preserve">Programa </w:t>
      </w:r>
      <w:r w:rsidRPr="007F1C3E">
        <w:rPr>
          <w:rFonts w:eastAsiaTheme="minorEastAsia"/>
          <w:b/>
          <w:sz w:val="20"/>
          <w:szCs w:val="22"/>
          <w:lang w:eastAsia="ja-JP"/>
        </w:rPr>
        <w:t>3</w:t>
      </w:r>
      <w:proofErr w:type="gramStart"/>
      <w:r w:rsidRPr="007F1C3E">
        <w:rPr>
          <w:rFonts w:eastAsiaTheme="minorEastAsia"/>
          <w:b/>
          <w:sz w:val="20"/>
          <w:szCs w:val="22"/>
          <w:lang w:eastAsia="ja-JP"/>
        </w:rPr>
        <w:t>:  Recursos</w:t>
      </w:r>
      <w:proofErr w:type="gramEnd"/>
      <w:r w:rsidRPr="007F1C3E">
        <w:rPr>
          <w:rFonts w:eastAsiaTheme="minorEastAsia"/>
          <w:b/>
          <w:sz w:val="20"/>
          <w:szCs w:val="22"/>
          <w:lang w:eastAsia="ja-JP"/>
        </w:rPr>
        <w:t xml:space="preserve"> por resultado</w:t>
      </w:r>
    </w:p>
    <w:p w:rsidR="00236E18" w:rsidRPr="007F1C3E" w:rsidRDefault="00236E18" w:rsidP="00236E18">
      <w:pPr>
        <w:keepNext/>
        <w:keepLines/>
        <w:autoSpaceDE w:val="0"/>
        <w:autoSpaceDN w:val="0"/>
        <w:jc w:val="center"/>
        <w:rPr>
          <w:rFonts w:eastAsiaTheme="minorEastAsia"/>
          <w:i/>
          <w:sz w:val="20"/>
          <w:szCs w:val="22"/>
          <w:lang w:eastAsia="ja-JP"/>
        </w:rPr>
      </w:pPr>
      <w:r w:rsidRPr="007F1C3E">
        <w:rPr>
          <w:rFonts w:eastAsiaTheme="minorEastAsia"/>
          <w:i/>
          <w:sz w:val="20"/>
          <w:szCs w:val="22"/>
          <w:lang w:eastAsia="ja-JP"/>
        </w:rPr>
        <w:t>(</w:t>
      </w:r>
      <w:proofErr w:type="gramStart"/>
      <w:r w:rsidRPr="007F1C3E">
        <w:rPr>
          <w:rFonts w:eastAsiaTheme="minorEastAsia"/>
          <w:i/>
          <w:sz w:val="20"/>
          <w:szCs w:val="22"/>
          <w:lang w:eastAsia="ja-JP"/>
        </w:rPr>
        <w:t>en</w:t>
      </w:r>
      <w:proofErr w:type="gramEnd"/>
      <w:r w:rsidRPr="007F1C3E">
        <w:rPr>
          <w:rFonts w:eastAsiaTheme="minorEastAsia"/>
          <w:i/>
          <w:sz w:val="20"/>
          <w:szCs w:val="22"/>
          <w:lang w:eastAsia="ja-JP"/>
        </w:rPr>
        <w:t xml:space="preserve"> miles de francos suizos)</w:t>
      </w:r>
    </w:p>
    <w:p w:rsidR="00236E18" w:rsidRPr="007F1C3E" w:rsidRDefault="00236E18" w:rsidP="00236E18">
      <w:pPr>
        <w:keepNext/>
        <w:keepLines/>
        <w:autoSpaceDE w:val="0"/>
        <w:autoSpaceDN w:val="0"/>
        <w:adjustRightInd w:val="0"/>
        <w:rPr>
          <w:szCs w:val="22"/>
        </w:rPr>
      </w:pPr>
    </w:p>
    <w:p w:rsidR="00236E18" w:rsidRPr="007F1C3E" w:rsidRDefault="00236E18" w:rsidP="00236E18">
      <w:pPr>
        <w:autoSpaceDE w:val="0"/>
        <w:autoSpaceDN w:val="0"/>
        <w:adjustRightInd w:val="0"/>
        <w:jc w:val="center"/>
        <w:rPr>
          <w:szCs w:val="22"/>
        </w:rPr>
      </w:pPr>
      <w:r w:rsidRPr="00510672">
        <w:rPr>
          <w:noProof/>
          <w:lang w:val="en-US" w:eastAsia="en-US"/>
        </w:rPr>
        <w:drawing>
          <wp:inline distT="0" distB="0" distL="0" distR="0" wp14:anchorId="65C6C421" wp14:editId="155F14A9">
            <wp:extent cx="5676900" cy="450596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76900" cy="4505960"/>
                    </a:xfrm>
                    <a:prstGeom prst="rect">
                      <a:avLst/>
                    </a:prstGeom>
                    <a:noFill/>
                    <a:ln>
                      <a:noFill/>
                    </a:ln>
                  </pic:spPr>
                </pic:pic>
              </a:graphicData>
            </a:graphic>
          </wp:inline>
        </w:drawing>
      </w:r>
    </w:p>
    <w:p w:rsidR="00236E18" w:rsidRPr="007F1C3E" w:rsidRDefault="00236E18" w:rsidP="00236E18">
      <w:pPr>
        <w:autoSpaceDE w:val="0"/>
        <w:autoSpaceDN w:val="0"/>
        <w:adjustRightInd w:val="0"/>
        <w:rPr>
          <w:sz w:val="20"/>
          <w:szCs w:val="22"/>
        </w:rPr>
      </w:pPr>
    </w:p>
    <w:p w:rsidR="00236E18" w:rsidRPr="007F1C3E" w:rsidRDefault="00236E18" w:rsidP="00236E18">
      <w:pPr>
        <w:autoSpaceDE w:val="0"/>
        <w:autoSpaceDN w:val="0"/>
        <w:adjustRightInd w:val="0"/>
        <w:rPr>
          <w:sz w:val="20"/>
          <w:szCs w:val="22"/>
        </w:rPr>
      </w:pPr>
    </w:p>
    <w:p w:rsidR="00236E18" w:rsidRPr="007F1C3E" w:rsidRDefault="00236E18" w:rsidP="00236E18">
      <w:pPr>
        <w:autoSpaceDE w:val="0"/>
        <w:autoSpaceDN w:val="0"/>
        <w:adjustRightInd w:val="0"/>
        <w:rPr>
          <w:sz w:val="20"/>
          <w:szCs w:val="22"/>
        </w:rPr>
      </w:pPr>
    </w:p>
    <w:p w:rsidR="00236E18" w:rsidRPr="007F1C3E" w:rsidRDefault="00236E18" w:rsidP="00236E18">
      <w:pPr>
        <w:keepNext/>
        <w:keepLines/>
        <w:autoSpaceDE w:val="0"/>
        <w:autoSpaceDN w:val="0"/>
        <w:jc w:val="center"/>
        <w:rPr>
          <w:rFonts w:eastAsiaTheme="minorEastAsia"/>
          <w:b/>
          <w:sz w:val="20"/>
          <w:szCs w:val="22"/>
          <w:lang w:eastAsia="ja-JP"/>
        </w:rPr>
      </w:pPr>
      <w:r>
        <w:rPr>
          <w:rFonts w:eastAsiaTheme="minorEastAsia"/>
          <w:b/>
          <w:sz w:val="20"/>
          <w:szCs w:val="22"/>
          <w:lang w:eastAsia="ja-JP"/>
        </w:rPr>
        <w:lastRenderedPageBreak/>
        <w:t xml:space="preserve">Programa </w:t>
      </w:r>
      <w:r w:rsidRPr="007F1C3E">
        <w:rPr>
          <w:rFonts w:eastAsiaTheme="minorEastAsia"/>
          <w:b/>
          <w:sz w:val="20"/>
          <w:szCs w:val="22"/>
          <w:lang w:eastAsia="ja-JP"/>
        </w:rPr>
        <w:t>3</w:t>
      </w:r>
      <w:proofErr w:type="gramStart"/>
      <w:r w:rsidRPr="007F1C3E">
        <w:rPr>
          <w:rFonts w:eastAsiaTheme="minorEastAsia"/>
          <w:b/>
          <w:sz w:val="20"/>
          <w:szCs w:val="22"/>
          <w:lang w:eastAsia="ja-JP"/>
        </w:rPr>
        <w:t>:  Recursos</w:t>
      </w:r>
      <w:proofErr w:type="gramEnd"/>
      <w:r w:rsidRPr="007F1C3E">
        <w:rPr>
          <w:rFonts w:eastAsiaTheme="minorEastAsia"/>
          <w:b/>
          <w:sz w:val="20"/>
          <w:szCs w:val="22"/>
          <w:lang w:eastAsia="ja-JP"/>
        </w:rPr>
        <w:t xml:space="preserve"> por objeto de gasto</w:t>
      </w:r>
    </w:p>
    <w:p w:rsidR="00236E18" w:rsidRDefault="00236E18" w:rsidP="00236E18">
      <w:pPr>
        <w:keepNext/>
        <w:keepLines/>
        <w:autoSpaceDE w:val="0"/>
        <w:autoSpaceDN w:val="0"/>
        <w:jc w:val="center"/>
        <w:rPr>
          <w:rFonts w:eastAsiaTheme="minorEastAsia"/>
          <w:i/>
          <w:sz w:val="20"/>
          <w:szCs w:val="22"/>
          <w:lang w:eastAsia="ja-JP"/>
        </w:rPr>
      </w:pPr>
      <w:r w:rsidRPr="007F1C3E">
        <w:rPr>
          <w:rFonts w:eastAsiaTheme="minorEastAsia"/>
          <w:i/>
          <w:sz w:val="20"/>
          <w:szCs w:val="22"/>
          <w:lang w:eastAsia="ja-JP"/>
        </w:rPr>
        <w:t>(</w:t>
      </w:r>
      <w:proofErr w:type="gramStart"/>
      <w:r w:rsidRPr="007F1C3E">
        <w:rPr>
          <w:rFonts w:eastAsiaTheme="minorEastAsia"/>
          <w:i/>
          <w:sz w:val="20"/>
          <w:szCs w:val="22"/>
          <w:lang w:eastAsia="ja-JP"/>
        </w:rPr>
        <w:t>en</w:t>
      </w:r>
      <w:proofErr w:type="gramEnd"/>
      <w:r w:rsidRPr="007F1C3E">
        <w:rPr>
          <w:rFonts w:eastAsiaTheme="minorEastAsia"/>
          <w:i/>
          <w:sz w:val="20"/>
          <w:szCs w:val="22"/>
          <w:lang w:eastAsia="ja-JP"/>
        </w:rPr>
        <w:t xml:space="preserve"> miles de francos suizos)</w:t>
      </w:r>
    </w:p>
    <w:p w:rsidR="00236E18" w:rsidRPr="007F1C3E" w:rsidRDefault="00236E18" w:rsidP="00236E18">
      <w:pPr>
        <w:keepNext/>
        <w:keepLines/>
        <w:autoSpaceDE w:val="0"/>
        <w:autoSpaceDN w:val="0"/>
        <w:jc w:val="center"/>
        <w:rPr>
          <w:rFonts w:eastAsiaTheme="minorEastAsia"/>
          <w:i/>
          <w:sz w:val="20"/>
          <w:szCs w:val="22"/>
          <w:lang w:eastAsia="ja-JP"/>
        </w:rPr>
      </w:pPr>
    </w:p>
    <w:p w:rsidR="00236E18" w:rsidRPr="007F1C3E" w:rsidRDefault="00236E18" w:rsidP="00236E18">
      <w:pPr>
        <w:keepNext/>
        <w:keepLines/>
        <w:autoSpaceDE w:val="0"/>
        <w:autoSpaceDN w:val="0"/>
        <w:adjustRightInd w:val="0"/>
        <w:rPr>
          <w:szCs w:val="22"/>
        </w:rPr>
      </w:pPr>
      <w:r>
        <w:rPr>
          <w:noProof/>
          <w:lang w:val="en-US" w:eastAsia="en-US"/>
        </w:rPr>
        <w:drawing>
          <wp:inline distT="0" distB="0" distL="0" distR="0" wp14:anchorId="60A05787" wp14:editId="024ACB62">
            <wp:extent cx="5940425" cy="6615704"/>
            <wp:effectExtent l="0" t="0" r="3175" b="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0425" cy="6615704"/>
                    </a:xfrm>
                    <a:prstGeom prst="rect">
                      <a:avLst/>
                    </a:prstGeom>
                    <a:noFill/>
                    <a:ln>
                      <a:noFill/>
                    </a:ln>
                  </pic:spPr>
                </pic:pic>
              </a:graphicData>
            </a:graphic>
          </wp:inline>
        </w:drawing>
      </w:r>
    </w:p>
    <w:p w:rsidR="00236E18" w:rsidRPr="006818B2" w:rsidRDefault="00236E18" w:rsidP="00236E18">
      <w:pPr>
        <w:keepNext/>
        <w:keepLines/>
        <w:autoSpaceDE w:val="0"/>
        <w:autoSpaceDN w:val="0"/>
        <w:adjustRightInd w:val="0"/>
        <w:jc w:val="center"/>
        <w:rPr>
          <w:szCs w:val="22"/>
        </w:rPr>
      </w:pPr>
    </w:p>
    <w:p w:rsidR="00236E18" w:rsidRPr="006818B2" w:rsidRDefault="00236E18" w:rsidP="00236E18">
      <w:pPr>
        <w:autoSpaceDE w:val="0"/>
        <w:autoSpaceDN w:val="0"/>
        <w:adjustRightInd w:val="0"/>
        <w:rPr>
          <w:szCs w:val="22"/>
        </w:rPr>
      </w:pPr>
    </w:p>
    <w:p w:rsidR="00236E18" w:rsidRPr="006818B2" w:rsidRDefault="00236E18" w:rsidP="00236E18">
      <w:pPr>
        <w:keepNext/>
        <w:keepLines/>
        <w:autoSpaceDE w:val="0"/>
        <w:autoSpaceDN w:val="0"/>
        <w:adjustRightInd w:val="0"/>
        <w:rPr>
          <w:szCs w:val="22"/>
        </w:rPr>
      </w:pPr>
    </w:p>
    <w:p w:rsidR="00236E18" w:rsidRPr="00F67793" w:rsidRDefault="00236E18" w:rsidP="00236E18">
      <w:pPr>
        <w:keepNext/>
        <w:keepLines/>
        <w:jc w:val="center"/>
        <w:rPr>
          <w:b/>
          <w:sz w:val="20"/>
        </w:rPr>
      </w:pPr>
      <w:r w:rsidRPr="00F67793">
        <w:rPr>
          <w:b/>
          <w:sz w:val="20"/>
        </w:rPr>
        <w:t>Recursos de fondos fiduciarios disponibles potencialmente para su utilización 2016/17</w:t>
      </w:r>
      <w:r w:rsidRPr="00F67793">
        <w:rPr>
          <w:b/>
          <w:sz w:val="20"/>
        </w:rPr>
        <w:br/>
        <w:t>(POR PROGRAMA)</w:t>
      </w:r>
      <w:r w:rsidRPr="00F67793">
        <w:rPr>
          <w:sz w:val="20"/>
          <w:vertAlign w:val="superscript"/>
        </w:rPr>
        <w:t>1</w:t>
      </w:r>
    </w:p>
    <w:p w:rsidR="00236E18" w:rsidRPr="00F67793" w:rsidRDefault="00236E18" w:rsidP="00236E18">
      <w:pPr>
        <w:keepNext/>
        <w:keepLines/>
        <w:jc w:val="center"/>
        <w:rPr>
          <w:i/>
          <w:sz w:val="20"/>
          <w:lang w:val="es-ES_tradnl"/>
        </w:rPr>
      </w:pPr>
      <w:r w:rsidRPr="00F67793">
        <w:rPr>
          <w:i/>
          <w:sz w:val="20"/>
          <w:lang w:val="es-ES_tradnl"/>
        </w:rPr>
        <w:t>(</w:t>
      </w:r>
      <w:proofErr w:type="gramStart"/>
      <w:r w:rsidRPr="00F67793">
        <w:rPr>
          <w:i/>
          <w:sz w:val="20"/>
          <w:lang w:val="es-ES_tradnl"/>
        </w:rPr>
        <w:t>en</w:t>
      </w:r>
      <w:proofErr w:type="gramEnd"/>
      <w:r w:rsidRPr="00F67793">
        <w:rPr>
          <w:i/>
          <w:sz w:val="20"/>
          <w:lang w:val="es-ES_tradnl"/>
        </w:rPr>
        <w:t xml:space="preserve"> miles de francos suizos)</w:t>
      </w:r>
    </w:p>
    <w:p w:rsidR="00236E18" w:rsidRPr="00F67793" w:rsidRDefault="00236E18" w:rsidP="00236E18">
      <w:pPr>
        <w:keepNext/>
        <w:keepLines/>
        <w:autoSpaceDE w:val="0"/>
        <w:autoSpaceDN w:val="0"/>
        <w:adjustRightInd w:val="0"/>
        <w:rPr>
          <w:sz w:val="16"/>
          <w:lang w:val="es-ES_tradnl"/>
        </w:rPr>
      </w:pPr>
    </w:p>
    <w:p w:rsidR="00236E18" w:rsidRPr="00F67793" w:rsidRDefault="00236E18" w:rsidP="00236E18">
      <w:pPr>
        <w:keepNext/>
        <w:keepLines/>
        <w:autoSpaceDE w:val="0"/>
        <w:autoSpaceDN w:val="0"/>
        <w:adjustRightInd w:val="0"/>
      </w:pPr>
      <w:r w:rsidRPr="00530FE6">
        <w:rPr>
          <w:noProof/>
          <w:lang w:val="en-US" w:eastAsia="en-US"/>
        </w:rPr>
        <w:drawing>
          <wp:inline distT="0" distB="0" distL="0" distR="0" wp14:anchorId="45C9D9A3" wp14:editId="6BAF0D11">
            <wp:extent cx="5940425" cy="1019633"/>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0425" cy="1019633"/>
                    </a:xfrm>
                    <a:prstGeom prst="rect">
                      <a:avLst/>
                    </a:prstGeom>
                    <a:noFill/>
                    <a:ln>
                      <a:noFill/>
                    </a:ln>
                  </pic:spPr>
                </pic:pic>
              </a:graphicData>
            </a:graphic>
          </wp:inline>
        </w:drawing>
      </w:r>
    </w:p>
    <w:p w:rsidR="00236E18" w:rsidRPr="00F67793" w:rsidRDefault="00236E18" w:rsidP="00236E18">
      <w:pPr>
        <w:keepNext/>
        <w:keepLines/>
        <w:jc w:val="both"/>
        <w:rPr>
          <w:bCs/>
          <w:sz w:val="20"/>
        </w:rPr>
      </w:pPr>
    </w:p>
    <w:p w:rsidR="00236E18" w:rsidRPr="0080389A" w:rsidRDefault="00236E18" w:rsidP="00236E18">
      <w:pPr>
        <w:keepNext/>
        <w:keepLines/>
        <w:spacing w:after="60"/>
        <w:rPr>
          <w:i/>
          <w:sz w:val="16"/>
          <w:szCs w:val="14"/>
        </w:rPr>
      </w:pPr>
      <w:r w:rsidRPr="00F67793">
        <w:rPr>
          <w:i/>
          <w:sz w:val="16"/>
          <w:szCs w:val="14"/>
          <w:vertAlign w:val="superscript"/>
        </w:rPr>
        <w:t>1</w:t>
      </w:r>
      <w:r>
        <w:rPr>
          <w:i/>
          <w:sz w:val="16"/>
          <w:szCs w:val="14"/>
          <w:vertAlign w:val="superscript"/>
        </w:rPr>
        <w:t xml:space="preserve">  </w:t>
      </w:r>
      <w:r w:rsidRPr="00F67793">
        <w:rPr>
          <w:i/>
          <w:sz w:val="16"/>
          <w:szCs w:val="14"/>
        </w:rPr>
        <w:t>En las cifras no se han incluido los intereses ni los ajustes cambiarios.  Cabe observar asimismo que estos fondos se destinan generalmente a actividades que cubren un período que va más allá de un solo bienio, a medida que se reciben los ingresos y se incurre en</w:t>
      </w:r>
      <w:r>
        <w:rPr>
          <w:i/>
          <w:sz w:val="16"/>
          <w:szCs w:val="14"/>
        </w:rPr>
        <w:t xml:space="preserve"> </w:t>
      </w:r>
      <w:r w:rsidRPr="00F67793">
        <w:rPr>
          <w:i/>
          <w:sz w:val="16"/>
          <w:szCs w:val="14"/>
        </w:rPr>
        <w:t>gastos</w:t>
      </w:r>
      <w:r w:rsidRPr="0080389A">
        <w:rPr>
          <w:i/>
          <w:sz w:val="16"/>
          <w:szCs w:val="14"/>
        </w:rPr>
        <w:t>.</w:t>
      </w:r>
    </w:p>
    <w:p w:rsidR="00236E18" w:rsidRDefault="00236E18" w:rsidP="00236E18">
      <w:pPr>
        <w:keepNext/>
        <w:widowControl w:val="0"/>
        <w:rPr>
          <w:i/>
          <w:sz w:val="16"/>
          <w:szCs w:val="14"/>
        </w:rPr>
      </w:pPr>
      <w:r w:rsidRPr="0080389A">
        <w:rPr>
          <w:i/>
          <w:sz w:val="16"/>
          <w:szCs w:val="14"/>
          <w:vertAlign w:val="superscript"/>
        </w:rPr>
        <w:t>2</w:t>
      </w:r>
      <w:r>
        <w:rPr>
          <w:i/>
          <w:sz w:val="16"/>
          <w:szCs w:val="14"/>
          <w:vertAlign w:val="superscript"/>
        </w:rPr>
        <w:t xml:space="preserve">  </w:t>
      </w:r>
      <w:r w:rsidRPr="0080389A">
        <w:rPr>
          <w:i/>
          <w:sz w:val="16"/>
          <w:szCs w:val="14"/>
        </w:rPr>
        <w:t xml:space="preserve">Estas cifras son puramente indicativas y se basan en patrones </w:t>
      </w:r>
      <w:r>
        <w:rPr>
          <w:i/>
          <w:sz w:val="16"/>
          <w:szCs w:val="14"/>
        </w:rPr>
        <w:t>de financiación anteriores</w:t>
      </w:r>
      <w:r w:rsidRPr="00ED4DE9">
        <w:rPr>
          <w:i/>
          <w:sz w:val="16"/>
          <w:szCs w:val="14"/>
        </w:rPr>
        <w:t xml:space="preserve">.  </w:t>
      </w:r>
      <w:r>
        <w:rPr>
          <w:i/>
          <w:sz w:val="16"/>
          <w:szCs w:val="14"/>
        </w:rPr>
        <w:t>No representan los compromisos de los Estados miembros salvo cuando quedan incluidos en el acuerdo de fondos fiduciarios</w:t>
      </w:r>
      <w:r w:rsidRPr="00ED4DE9">
        <w:rPr>
          <w:i/>
          <w:sz w:val="16"/>
          <w:szCs w:val="14"/>
        </w:rPr>
        <w:t>.</w:t>
      </w:r>
    </w:p>
    <w:p w:rsidR="00236E18" w:rsidRDefault="00236E18" w:rsidP="00236E18">
      <w:pPr>
        <w:keepNext/>
        <w:widowControl w:val="0"/>
        <w:rPr>
          <w:i/>
          <w:sz w:val="16"/>
          <w:szCs w:val="14"/>
        </w:rPr>
      </w:pPr>
    </w:p>
    <w:p w:rsidR="00236E18" w:rsidRPr="0051240D" w:rsidRDefault="00236E18" w:rsidP="00236E18">
      <w:pPr>
        <w:rPr>
          <w:i/>
          <w:sz w:val="16"/>
          <w:szCs w:val="14"/>
        </w:rPr>
      </w:pPr>
      <w:r w:rsidRPr="0051240D">
        <w:rPr>
          <w:i/>
          <w:sz w:val="16"/>
          <w:szCs w:val="14"/>
          <w:vertAlign w:val="superscript"/>
        </w:rPr>
        <w:t>3</w:t>
      </w:r>
      <w:r>
        <w:rPr>
          <w:i/>
          <w:sz w:val="16"/>
          <w:szCs w:val="14"/>
          <w:vertAlign w:val="superscript"/>
        </w:rPr>
        <w:t xml:space="preserve">  </w:t>
      </w:r>
      <w:r w:rsidRPr="0051240D">
        <w:rPr>
          <w:i/>
          <w:sz w:val="16"/>
          <w:szCs w:val="14"/>
        </w:rPr>
        <w:t>Las contribuciones anuales varían y se han observado fluctuaciones de un año a otro.</w:t>
      </w:r>
    </w:p>
    <w:p w:rsidR="00236E18" w:rsidRPr="0080389A" w:rsidRDefault="00236E18" w:rsidP="00236E18">
      <w:pPr>
        <w:rPr>
          <w:szCs w:val="22"/>
        </w:rPr>
      </w:pPr>
      <w:r w:rsidRPr="0080389A">
        <w:rPr>
          <w:szCs w:val="22"/>
        </w:rPr>
        <w:br w:type="page"/>
      </w:r>
    </w:p>
    <w:p w:rsidR="00236E18" w:rsidRPr="002976EE" w:rsidRDefault="00236E18" w:rsidP="00236E18">
      <w:pPr>
        <w:pStyle w:val="StyleHeading3ComplexItalic"/>
        <w:ind w:left="1985" w:hanging="1985"/>
        <w:rPr>
          <w:rStyle w:val="StyleStyleHeading3ComplexItalicLatin12ptChar"/>
          <w:rFonts w:eastAsia="SimSun"/>
          <w:b/>
          <w:lang w:val="es-ES_tradnl"/>
        </w:rPr>
      </w:pPr>
      <w:bookmarkStart w:id="42" w:name="_Toc431573542"/>
      <w:bookmarkStart w:id="43" w:name="_Toc431573943"/>
      <w:r w:rsidRPr="002976EE">
        <w:rPr>
          <w:rStyle w:val="StyleStyleHeading3ComplexItalicLatin12ptChar"/>
          <w:rFonts w:eastAsia="SimSun"/>
          <w:b/>
          <w:lang w:val="es-ES_tradnl"/>
        </w:rPr>
        <w:lastRenderedPageBreak/>
        <w:t>PROGRAMA 4</w:t>
      </w:r>
      <w:r w:rsidRPr="002976EE">
        <w:rPr>
          <w:rStyle w:val="StyleStyleHeading3ComplexItalicLatin12ptChar"/>
          <w:rFonts w:eastAsia="SimSun"/>
          <w:b/>
          <w:lang w:val="es-ES_tradnl"/>
        </w:rPr>
        <w:tab/>
        <w:t>CONOCIMIENTOS TRADICIONALES, EXPRESIONES CULTURALES TRADICIONALES Y RECURSOS GENÉTICOS</w:t>
      </w:r>
      <w:bookmarkEnd w:id="42"/>
      <w:bookmarkEnd w:id="43"/>
    </w:p>
    <w:p w:rsidR="00236E18" w:rsidRPr="00D33788" w:rsidRDefault="00236E18" w:rsidP="00236E18">
      <w:pPr>
        <w:jc w:val="both"/>
        <w:rPr>
          <w:bCs/>
          <w:i/>
          <w:szCs w:val="22"/>
        </w:rPr>
      </w:pPr>
    </w:p>
    <w:p w:rsidR="00236E18" w:rsidRPr="00D33788" w:rsidRDefault="00236E18" w:rsidP="00236E18">
      <w:pPr>
        <w:jc w:val="both"/>
        <w:rPr>
          <w:bCs/>
          <w:szCs w:val="22"/>
        </w:rPr>
      </w:pPr>
      <w:r w:rsidRPr="00D33788">
        <w:rPr>
          <w:bCs/>
          <w:szCs w:val="22"/>
          <w:lang w:val="es-ES_tradnl"/>
        </w:rPr>
        <w:t>CONTEXTO DE PLANIFICACIÓN</w:t>
      </w:r>
    </w:p>
    <w:p w:rsidR="00236E18" w:rsidRPr="00D33788" w:rsidRDefault="00236E18" w:rsidP="00236E18">
      <w:pPr>
        <w:tabs>
          <w:tab w:val="num" w:pos="709"/>
        </w:tabs>
        <w:rPr>
          <w:bCs/>
          <w:sz w:val="20"/>
        </w:rPr>
      </w:pPr>
    </w:p>
    <w:p w:rsidR="00236E18" w:rsidRPr="00D33788" w:rsidRDefault="00236E18" w:rsidP="00236E18">
      <w:pPr>
        <w:numPr>
          <w:ilvl w:val="0"/>
          <w:numId w:val="13"/>
        </w:numPr>
        <w:jc w:val="both"/>
        <w:rPr>
          <w:sz w:val="20"/>
        </w:rPr>
      </w:pPr>
      <w:r w:rsidRPr="00D33788">
        <w:rPr>
          <w:sz w:val="20"/>
        </w:rPr>
        <w:t>El objetivo de este programa es aumentar la eficacia en la utilización de los principios, sistemas e instrumentos de P.I. actuales y nuevos destinados a proteger los conocimientos tradicionales (CC.TT.) y las expresiones culturales tradicionales (ECT) contra la apropiación y la utilización indebidas y a tratar las cuestiones de P.I. relacionadas con los recursos genéticos (RR.GG.), incluidas las que se plantean con respecto al acceso a los RR.GG. y la participación equitativa en los beneficios que se derivan de ellos.</w:t>
      </w:r>
    </w:p>
    <w:p w:rsidR="00236E18" w:rsidRPr="00D33788" w:rsidRDefault="00236E18" w:rsidP="00236E18">
      <w:pPr>
        <w:tabs>
          <w:tab w:val="num" w:pos="709"/>
        </w:tabs>
        <w:jc w:val="both"/>
        <w:rPr>
          <w:sz w:val="20"/>
        </w:rPr>
      </w:pPr>
    </w:p>
    <w:p w:rsidR="00236E18" w:rsidRPr="00D33788" w:rsidRDefault="00236E18" w:rsidP="00236E18">
      <w:pPr>
        <w:numPr>
          <w:ilvl w:val="0"/>
          <w:numId w:val="13"/>
        </w:numPr>
        <w:jc w:val="both"/>
        <w:rPr>
          <w:bCs/>
          <w:sz w:val="20"/>
        </w:rPr>
      </w:pPr>
      <w:r w:rsidRPr="00D33788">
        <w:rPr>
          <w:bCs/>
          <w:sz w:val="20"/>
        </w:rPr>
        <w:t>En este contexto, el programa 4 facilita las reuniones de los Estados miembros acerca de las actividades normativas sobre P.I., CC.TT., ECT y RR.GG.  En el Comité Intergubernamental sobre Propiedad Intelectual y Recursos Genéticos, Conocimientos Tradicionales y Folclore (el CIG) se han mantenido las negociaciones internacionales sobre el texto o textos de uno o varios instrumentos jurídicos internacionales que aseguren la protección efectiva de los CC.TT., las ECT y los RR.GG.  Se invitará a la Asamblea General a decidir acerca de la renovación del mandato del CIG y sus condiciones.</w:t>
      </w:r>
    </w:p>
    <w:p w:rsidR="00236E18" w:rsidRPr="00D33788" w:rsidRDefault="00236E18" w:rsidP="00236E18">
      <w:pPr>
        <w:tabs>
          <w:tab w:val="num" w:pos="709"/>
        </w:tabs>
        <w:jc w:val="both"/>
        <w:rPr>
          <w:bCs/>
          <w:sz w:val="20"/>
        </w:rPr>
      </w:pPr>
    </w:p>
    <w:p w:rsidR="00236E18" w:rsidRPr="00D33788" w:rsidRDefault="00236E18" w:rsidP="00236E18">
      <w:pPr>
        <w:numPr>
          <w:ilvl w:val="0"/>
          <w:numId w:val="13"/>
        </w:numPr>
        <w:jc w:val="both"/>
        <w:rPr>
          <w:bCs/>
          <w:sz w:val="20"/>
        </w:rPr>
      </w:pPr>
      <w:r w:rsidRPr="00D33788">
        <w:rPr>
          <w:bCs/>
          <w:sz w:val="20"/>
        </w:rPr>
        <w:t>Se seguirá prestando asistencia práctica a los Estados miembros, las organizaciones regionales, los pueblos indígenas y las comunidades locales y otros sectores interesados mediante actividades de sensibilización, fortalecimiento de capacidades, formación y asistencia jurídica y técnica.  El programa pone a disposición diversas herramientas prácticas, cursos de formación, publicaciones y otros recursos de información.</w:t>
      </w:r>
    </w:p>
    <w:p w:rsidR="00236E18" w:rsidRPr="00D33788" w:rsidRDefault="00236E18" w:rsidP="00236E18">
      <w:pPr>
        <w:tabs>
          <w:tab w:val="num" w:pos="709"/>
        </w:tabs>
        <w:jc w:val="both"/>
        <w:rPr>
          <w:bCs/>
          <w:sz w:val="20"/>
        </w:rPr>
      </w:pPr>
    </w:p>
    <w:p w:rsidR="00236E18" w:rsidRPr="00D33788" w:rsidRDefault="00236E18" w:rsidP="00236E18">
      <w:pPr>
        <w:numPr>
          <w:ilvl w:val="0"/>
          <w:numId w:val="13"/>
        </w:numPr>
        <w:jc w:val="both"/>
        <w:rPr>
          <w:bCs/>
          <w:sz w:val="20"/>
        </w:rPr>
      </w:pPr>
      <w:r w:rsidRPr="00D33788">
        <w:rPr>
          <w:bCs/>
          <w:sz w:val="20"/>
        </w:rPr>
        <w:t>Los pilares normativos y prácticos del programa están interrelacionados y son complementarios.</w:t>
      </w:r>
    </w:p>
    <w:p w:rsidR="00236E18" w:rsidRPr="00D33788" w:rsidRDefault="00236E18" w:rsidP="00236E18">
      <w:pPr>
        <w:tabs>
          <w:tab w:val="num" w:pos="709"/>
        </w:tabs>
        <w:jc w:val="both"/>
        <w:rPr>
          <w:bCs/>
          <w:szCs w:val="22"/>
        </w:rPr>
      </w:pPr>
    </w:p>
    <w:p w:rsidR="00236E18" w:rsidRPr="00D33788" w:rsidRDefault="00236E18" w:rsidP="00236E18">
      <w:pPr>
        <w:tabs>
          <w:tab w:val="num" w:pos="709"/>
        </w:tabs>
        <w:jc w:val="both"/>
        <w:rPr>
          <w:bCs/>
          <w:szCs w:val="22"/>
        </w:rPr>
      </w:pPr>
    </w:p>
    <w:p w:rsidR="00236E18" w:rsidRPr="00D33788" w:rsidRDefault="00236E18" w:rsidP="00236E18">
      <w:pPr>
        <w:tabs>
          <w:tab w:val="num" w:pos="709"/>
        </w:tabs>
        <w:jc w:val="both"/>
        <w:rPr>
          <w:bCs/>
          <w:szCs w:val="22"/>
        </w:rPr>
      </w:pPr>
      <w:r w:rsidRPr="00D33788">
        <w:rPr>
          <w:bCs/>
          <w:szCs w:val="22"/>
          <w:lang w:val="es-ES_tradnl"/>
        </w:rPr>
        <w:t>ESTRATEGIAS DE EJECUCIÓN</w:t>
      </w:r>
    </w:p>
    <w:p w:rsidR="00236E18" w:rsidRPr="00D33788" w:rsidRDefault="00236E18" w:rsidP="00236E18">
      <w:pPr>
        <w:tabs>
          <w:tab w:val="left" w:pos="0"/>
          <w:tab w:val="left" w:pos="1985"/>
        </w:tabs>
        <w:jc w:val="both"/>
        <w:rPr>
          <w:sz w:val="20"/>
        </w:rPr>
      </w:pPr>
    </w:p>
    <w:p w:rsidR="00236E18" w:rsidRPr="00D33788" w:rsidRDefault="00236E18" w:rsidP="00236E18">
      <w:pPr>
        <w:numPr>
          <w:ilvl w:val="0"/>
          <w:numId w:val="13"/>
        </w:numPr>
        <w:jc w:val="both"/>
        <w:rPr>
          <w:sz w:val="20"/>
        </w:rPr>
      </w:pPr>
      <w:r w:rsidRPr="00D33788">
        <w:rPr>
          <w:sz w:val="20"/>
          <w:lang w:val="es-ES_tradnl"/>
        </w:rPr>
        <w:t>Por tratarse de un proceso impulsado por los Estados miembros, la consecución de resultados en el ámbito internacional depende en gran medida de las decisiones de los Estados miembros.</w:t>
      </w:r>
      <w:r w:rsidRPr="00D33788">
        <w:rPr>
          <w:sz w:val="20"/>
        </w:rPr>
        <w:t xml:space="preserve">  Por ello, los resultados del programa deberían comprender, en primer lugar, un entorno propicio a actividades normativas correctamente orientadas, según lo decida la Asamblea General, que den lugar a interpretaciones comunes y a la convergencia de opiniones y, en última instancia, a decisiones adoptadas por los Estados miembros.</w:t>
      </w:r>
    </w:p>
    <w:p w:rsidR="00236E18" w:rsidRPr="00D33788" w:rsidRDefault="00236E18" w:rsidP="00236E18">
      <w:pPr>
        <w:tabs>
          <w:tab w:val="left" w:pos="0"/>
          <w:tab w:val="left" w:pos="1985"/>
        </w:tabs>
        <w:jc w:val="both"/>
        <w:rPr>
          <w:sz w:val="20"/>
        </w:rPr>
      </w:pPr>
    </w:p>
    <w:p w:rsidR="00236E18" w:rsidRPr="00D33788" w:rsidRDefault="00236E18" w:rsidP="00236E18">
      <w:pPr>
        <w:numPr>
          <w:ilvl w:val="0"/>
          <w:numId w:val="13"/>
        </w:numPr>
        <w:jc w:val="both"/>
        <w:rPr>
          <w:sz w:val="20"/>
          <w:lang w:val="es-ES_tradnl"/>
        </w:rPr>
      </w:pPr>
      <w:r w:rsidRPr="00D33788">
        <w:rPr>
          <w:sz w:val="20"/>
          <w:lang w:val="es-ES_tradnl"/>
        </w:rPr>
        <w:t>Un segundo resultado sería lograr una mayor sensibilización entre los Estados, los pueblos indígenas y las comunidades locales (incluidas las mujeres) y demás partes interesadas respecto de la gran importancia que tiene la relación que existe entre la P.I. y los CC.TT., las ECT y los RR.GG. para las estrategias de desarrollo y las políticas culturales y de innovación nacionales, entre otras, y más concretamente para aumentar la capacidad (conforme a la A.D.) de aplicar los principios, sistemas y herramientas de P.I. a fin de proteger los CC.TT. y las ECT de manera eficaz, y gestionar el nexo que existe entre la P.I. y los RR.GG. en pos del desarrollo económico, social y cultural.</w:t>
      </w:r>
    </w:p>
    <w:p w:rsidR="00236E18" w:rsidRPr="00D33788" w:rsidRDefault="00236E18" w:rsidP="00236E18">
      <w:pPr>
        <w:jc w:val="both"/>
        <w:rPr>
          <w:bCs/>
          <w:sz w:val="20"/>
        </w:rPr>
      </w:pPr>
    </w:p>
    <w:p w:rsidR="00236E18" w:rsidRPr="00D33788" w:rsidRDefault="00236E18" w:rsidP="00236E18">
      <w:pPr>
        <w:numPr>
          <w:ilvl w:val="0"/>
          <w:numId w:val="13"/>
        </w:numPr>
        <w:jc w:val="both"/>
        <w:rPr>
          <w:bCs/>
          <w:sz w:val="20"/>
        </w:rPr>
      </w:pPr>
      <w:r w:rsidRPr="00D33788">
        <w:rPr>
          <w:sz w:val="20"/>
        </w:rPr>
        <w:t>A fin de lograr los resultados previstos, en el marco del programa tratarán de ejecutarse las tres estrategias siguientes, interrelacionadas y complementarias:</w:t>
      </w:r>
    </w:p>
    <w:p w:rsidR="00236E18" w:rsidRPr="00D33788" w:rsidRDefault="00236E18" w:rsidP="00236E18">
      <w:pPr>
        <w:jc w:val="both"/>
        <w:rPr>
          <w:bCs/>
          <w:sz w:val="20"/>
        </w:rPr>
      </w:pPr>
    </w:p>
    <w:p w:rsidR="00236E18" w:rsidRPr="00D33788" w:rsidRDefault="00236E18" w:rsidP="00236E18">
      <w:pPr>
        <w:pStyle w:val="ListParagraph"/>
        <w:numPr>
          <w:ilvl w:val="1"/>
          <w:numId w:val="10"/>
        </w:numPr>
        <w:tabs>
          <w:tab w:val="left" w:pos="1134"/>
        </w:tabs>
        <w:ind w:left="1134" w:hanging="567"/>
        <w:jc w:val="both"/>
        <w:rPr>
          <w:rFonts w:ascii="Arial" w:hAnsi="Arial" w:cs="Arial"/>
          <w:sz w:val="20"/>
          <w:lang w:val="es-ES"/>
        </w:rPr>
      </w:pPr>
      <w:r w:rsidRPr="00D33788">
        <w:rPr>
          <w:rFonts w:ascii="Arial" w:hAnsi="Arial" w:cs="Arial"/>
          <w:sz w:val="20"/>
          <w:lang w:val="es-ES"/>
        </w:rPr>
        <w:t>prestar apoyo profesional y neutral de carácter logístico, técnico y sustantivo en las reuniones y conferencias sobre actividades normativas, según lo decidido por la Asamblea General;  prestar apoyo administrativo a iniciativas encaminadas a fomentar la participación efectiva de los representantes de los pueblos indígenas y las comunidades locales en la labor de la OMPI, lo que incluye la gestión práctica del Fondo de la OMPI de Contribuciones Voluntarias para las Comunidades Indígenas y Locales Acreditadas;  y mantener una estrecha coordinación y cooperación con otras organizaciones y foros intergubernamentales, según proceda;</w:t>
      </w:r>
    </w:p>
    <w:p w:rsidR="00236E18" w:rsidRPr="00D33788" w:rsidRDefault="00236E18" w:rsidP="00236E18">
      <w:pPr>
        <w:pStyle w:val="ListParagraph"/>
        <w:tabs>
          <w:tab w:val="left" w:pos="1134"/>
        </w:tabs>
        <w:ind w:left="1134"/>
        <w:jc w:val="both"/>
        <w:rPr>
          <w:rFonts w:ascii="Arial" w:hAnsi="Arial" w:cs="Arial"/>
          <w:sz w:val="20"/>
          <w:lang w:val="es-ES"/>
        </w:rPr>
      </w:pPr>
    </w:p>
    <w:p w:rsidR="00236E18" w:rsidRPr="00D33788" w:rsidRDefault="00236E18" w:rsidP="00236E18">
      <w:pPr>
        <w:pStyle w:val="ListParagraph"/>
        <w:numPr>
          <w:ilvl w:val="1"/>
          <w:numId w:val="10"/>
        </w:numPr>
        <w:tabs>
          <w:tab w:val="left" w:pos="1134"/>
        </w:tabs>
        <w:ind w:left="1134" w:hanging="567"/>
        <w:jc w:val="both"/>
        <w:rPr>
          <w:rFonts w:ascii="Arial" w:hAnsi="Arial" w:cs="Arial"/>
          <w:sz w:val="20"/>
          <w:lang w:val="es-ES"/>
        </w:rPr>
      </w:pPr>
      <w:r w:rsidRPr="00D33788">
        <w:rPr>
          <w:rFonts w:ascii="Arial" w:hAnsi="Arial" w:cs="Arial"/>
          <w:sz w:val="20"/>
          <w:lang w:val="es-ES"/>
        </w:rPr>
        <w:t>elaborar y facilitar un repertorio racionalizado e integrado de recursos, programas, cursos y herramientas prácticas y pertinentes para que el fortalecimiento de las capacidades y la asistencia técnica y jurídica sean eficaces, de conformidad con las estrategias de desarrollo y las políticas culturales y de innovación nacionales;  y</w:t>
      </w:r>
    </w:p>
    <w:p w:rsidR="00236E18" w:rsidRPr="00D33788" w:rsidRDefault="00236E18" w:rsidP="00236E18">
      <w:pPr>
        <w:pStyle w:val="ListParagraph"/>
        <w:tabs>
          <w:tab w:val="left" w:pos="1134"/>
        </w:tabs>
        <w:ind w:left="1134" w:hanging="567"/>
        <w:jc w:val="both"/>
        <w:rPr>
          <w:rFonts w:ascii="Arial" w:hAnsi="Arial" w:cs="Arial"/>
          <w:sz w:val="20"/>
          <w:lang w:val="es-ES"/>
        </w:rPr>
      </w:pPr>
    </w:p>
    <w:p w:rsidR="00236E18" w:rsidRPr="00D33788" w:rsidRDefault="00236E18" w:rsidP="00236E18">
      <w:pPr>
        <w:pStyle w:val="ListParagraph"/>
        <w:numPr>
          <w:ilvl w:val="1"/>
          <w:numId w:val="10"/>
        </w:numPr>
        <w:tabs>
          <w:tab w:val="left" w:pos="1134"/>
        </w:tabs>
        <w:ind w:left="1134" w:hanging="567"/>
        <w:jc w:val="both"/>
        <w:rPr>
          <w:rFonts w:ascii="Arial" w:hAnsi="Arial" w:cs="Arial"/>
          <w:sz w:val="20"/>
          <w:lang w:val="es-ES"/>
        </w:rPr>
      </w:pPr>
      <w:r w:rsidRPr="00D33788">
        <w:rPr>
          <w:rFonts w:ascii="Arial" w:hAnsi="Arial" w:cs="Arial"/>
          <w:sz w:val="20"/>
          <w:lang w:val="es-ES"/>
        </w:rPr>
        <w:lastRenderedPageBreak/>
        <w:t>prestar asesoramiento sobre los aspectos y las implicaciones relacionados con la P.I. de las bases de datos, inventarios, registros y otras plataformas, así como instituciones, administraciones y organismos, para complementar y poner en práctica los marcos políticos y jurídicos que los Estados, las organizaciones y las comunidades puedan crear.</w:t>
      </w:r>
    </w:p>
    <w:p w:rsidR="00236E18" w:rsidRPr="00D33788" w:rsidRDefault="00236E18" w:rsidP="00236E18">
      <w:pPr>
        <w:tabs>
          <w:tab w:val="left" w:pos="567"/>
          <w:tab w:val="left" w:pos="1985"/>
        </w:tabs>
        <w:ind w:left="360"/>
        <w:jc w:val="both"/>
        <w:rPr>
          <w:sz w:val="20"/>
        </w:rPr>
      </w:pPr>
    </w:p>
    <w:p w:rsidR="00236E18" w:rsidRPr="00D33788" w:rsidRDefault="00236E18" w:rsidP="00236E18">
      <w:pPr>
        <w:numPr>
          <w:ilvl w:val="0"/>
          <w:numId w:val="13"/>
        </w:numPr>
        <w:tabs>
          <w:tab w:val="left" w:pos="567"/>
        </w:tabs>
        <w:jc w:val="both"/>
        <w:rPr>
          <w:sz w:val="20"/>
          <w:lang w:val="es-ES_tradnl"/>
        </w:rPr>
      </w:pPr>
      <w:r w:rsidRPr="00D33788">
        <w:rPr>
          <w:sz w:val="20"/>
          <w:lang w:val="es-ES_tradnl"/>
        </w:rPr>
        <w:t>La recomendación 18 de la A.D. hace referencia expresa al CIG.  Las actividades normativas del CIG son impulsadas por los Estados miembros, tienen carácter participativo y se basan en consultas abiertas y equilibradas (recomendaciones 15, 21 y 42), tienen en cuenta el dominio público (recomendaciones 16 y 20) y las flexibilidades establecidas en los acuerdos de P.I. (recomendaciones 12, 14 y 17), y contribuyen a los objetivos de desarrollo de las Naciones Unidas (recomendación 22).</w:t>
      </w:r>
      <w:r w:rsidRPr="00D33788">
        <w:rPr>
          <w:sz w:val="20"/>
        </w:rPr>
        <w:t xml:space="preserve">  Por lo tanto, este</w:t>
      </w:r>
      <w:r w:rsidRPr="00D33788">
        <w:rPr>
          <w:sz w:val="20"/>
          <w:lang w:val="es-ES_tradnl"/>
        </w:rPr>
        <w:t xml:space="preserve"> programa contribuye de manera directa y expresa al desarrollo y a la consecución de otras recomendaciones de la A.D., en particular velando por que la asistencia técnica esté orientada a potenciar el desarrollo y obedezca a una demanda (recomendaciones 1 y 12), prestando asistencia a los grupos regionales para formular o aplicar políticas y marcos regionales (recomendaciones 10, 11, 13 y 14), prestando asistencia legislativa y política en materia de legislación nacional a los Estados miembros (recomendaciones 11, 13 y 14), sensibilizando en relación con las cuestiones de la P.I. que están relacionadas con los CC.TT., las ECT, y los RR.GG. (recomendación 3) y cooperando en cuestiones relacionadas con la P.I. con los organismos de las Naciones Unidas (recomendación 40).</w:t>
      </w:r>
    </w:p>
    <w:p w:rsidR="00236E18" w:rsidRPr="00D33788" w:rsidRDefault="00236E18" w:rsidP="00236E18">
      <w:pPr>
        <w:jc w:val="both"/>
        <w:rPr>
          <w:sz w:val="20"/>
        </w:rPr>
      </w:pPr>
    </w:p>
    <w:p w:rsidR="00236E18" w:rsidRPr="00D33788" w:rsidRDefault="00236E18" w:rsidP="00236E18">
      <w:pPr>
        <w:numPr>
          <w:ilvl w:val="0"/>
          <w:numId w:val="13"/>
        </w:numPr>
        <w:tabs>
          <w:tab w:val="clear" w:pos="680"/>
          <w:tab w:val="num" w:pos="567"/>
        </w:tabs>
        <w:jc w:val="both"/>
        <w:rPr>
          <w:sz w:val="20"/>
        </w:rPr>
      </w:pPr>
      <w:r w:rsidRPr="00D33788">
        <w:rPr>
          <w:sz w:val="20"/>
        </w:rPr>
        <w:t>Los resultados previstos en el marco del programa 4 se alcanzarán también mediante la cooperación y la coordinación, cuando proceda, con otros programas de la OMPI, como se ilustra a continuación:</w:t>
      </w:r>
    </w:p>
    <w:p w:rsidR="00236E18" w:rsidRPr="00D33788" w:rsidRDefault="00236E18" w:rsidP="00236E18">
      <w:pPr>
        <w:jc w:val="both"/>
        <w:rPr>
          <w:szCs w:val="22"/>
        </w:rPr>
      </w:pPr>
    </w:p>
    <w:p w:rsidR="00236E18" w:rsidRPr="00D33788" w:rsidRDefault="00236E18" w:rsidP="00236E18">
      <w:pPr>
        <w:jc w:val="both"/>
        <w:rPr>
          <w:szCs w:val="22"/>
        </w:rPr>
      </w:pPr>
      <w:r w:rsidRPr="00D33788">
        <w:rPr>
          <w:noProof/>
          <w:lang w:val="en-US" w:eastAsia="en-US"/>
        </w:rPr>
        <w:drawing>
          <wp:inline distT="0" distB="0" distL="0" distR="0" wp14:anchorId="236E473D" wp14:editId="58AFB538">
            <wp:extent cx="6120765" cy="2021874"/>
            <wp:effectExtent l="0" t="57150" r="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236E18" w:rsidRPr="00D33788" w:rsidRDefault="00236E18" w:rsidP="00236E18">
      <w:pPr>
        <w:tabs>
          <w:tab w:val="num" w:pos="709"/>
        </w:tabs>
        <w:jc w:val="both"/>
        <w:rPr>
          <w:bCs/>
          <w:szCs w:val="22"/>
        </w:rPr>
      </w:pPr>
    </w:p>
    <w:p w:rsidR="00236E18" w:rsidRPr="00D33788" w:rsidRDefault="00236E18" w:rsidP="00236E18">
      <w:pPr>
        <w:tabs>
          <w:tab w:val="num" w:pos="709"/>
        </w:tabs>
        <w:jc w:val="both"/>
        <w:rPr>
          <w:b/>
          <w:bCs/>
          <w:szCs w:val="22"/>
        </w:rPr>
      </w:pPr>
    </w:p>
    <w:p w:rsidR="00236E18" w:rsidRPr="00D33788" w:rsidRDefault="00236E18" w:rsidP="00236E18">
      <w:pPr>
        <w:tabs>
          <w:tab w:val="num" w:pos="709"/>
        </w:tabs>
        <w:jc w:val="both"/>
        <w:rPr>
          <w:szCs w:val="22"/>
        </w:rPr>
      </w:pPr>
      <w:r w:rsidRPr="00D33788">
        <w:rPr>
          <w:szCs w:val="22"/>
          <w:lang w:val="es-ES_tradnl"/>
        </w:rPr>
        <w:t>PRINCIPALES RIESGOS Y ESTRATEGIAS DE MITIGACIÓN</w:t>
      </w:r>
    </w:p>
    <w:p w:rsidR="00236E18" w:rsidRPr="00D33788" w:rsidRDefault="00236E18" w:rsidP="00236E18">
      <w:pPr>
        <w:keepNext/>
        <w:keepLines/>
        <w:rPr>
          <w:szCs w:val="22"/>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236E18" w:rsidRPr="00D33788" w:rsidTr="00294272">
        <w:trPr>
          <w:trHeight w:val="474"/>
        </w:trPr>
        <w:tc>
          <w:tcPr>
            <w:tcW w:w="4111" w:type="dxa"/>
            <w:tcBorders>
              <w:top w:val="single" w:sz="4" w:space="0" w:color="auto"/>
              <w:bottom w:val="single" w:sz="4" w:space="0" w:color="auto"/>
            </w:tcBorders>
            <w:shd w:val="clear" w:color="auto" w:fill="C6D9F1"/>
            <w:vAlign w:val="center"/>
          </w:tcPr>
          <w:p w:rsidR="00236E18" w:rsidRPr="00D33788" w:rsidRDefault="00236E18" w:rsidP="00294272">
            <w:pPr>
              <w:keepNext/>
              <w:keepLines/>
              <w:jc w:val="center"/>
              <w:rPr>
                <w:b/>
                <w:bCs/>
                <w:sz w:val="18"/>
                <w:szCs w:val="18"/>
              </w:rPr>
            </w:pPr>
            <w:r w:rsidRPr="00D33788">
              <w:rPr>
                <w:b/>
                <w:bCs/>
                <w:sz w:val="18"/>
                <w:szCs w:val="18"/>
                <w:lang w:val="es-ES_tradnl"/>
              </w:rPr>
              <w:t>Riesgo</w:t>
            </w:r>
          </w:p>
        </w:tc>
        <w:tc>
          <w:tcPr>
            <w:tcW w:w="5103" w:type="dxa"/>
            <w:tcBorders>
              <w:top w:val="single" w:sz="4" w:space="0" w:color="auto"/>
              <w:bottom w:val="single" w:sz="4" w:space="0" w:color="auto"/>
            </w:tcBorders>
            <w:shd w:val="clear" w:color="auto" w:fill="C6D9F1"/>
            <w:vAlign w:val="center"/>
          </w:tcPr>
          <w:p w:rsidR="00236E18" w:rsidRPr="00D33788" w:rsidRDefault="00236E18" w:rsidP="00294272">
            <w:pPr>
              <w:keepNext/>
              <w:keepLines/>
              <w:jc w:val="center"/>
              <w:rPr>
                <w:b/>
                <w:bCs/>
                <w:sz w:val="18"/>
                <w:szCs w:val="18"/>
              </w:rPr>
            </w:pPr>
            <w:r w:rsidRPr="00D33788">
              <w:rPr>
                <w:b/>
                <w:bCs/>
                <w:sz w:val="18"/>
                <w:szCs w:val="18"/>
              </w:rPr>
              <w:t>Mitigación</w:t>
            </w:r>
          </w:p>
        </w:tc>
      </w:tr>
      <w:tr w:rsidR="00236E18" w:rsidRPr="00D33788" w:rsidTr="00294272">
        <w:trPr>
          <w:trHeight w:val="696"/>
        </w:trPr>
        <w:tc>
          <w:tcPr>
            <w:tcW w:w="4111" w:type="dxa"/>
            <w:tcBorders>
              <w:top w:val="single" w:sz="4" w:space="0" w:color="auto"/>
            </w:tcBorders>
            <w:shd w:val="clear" w:color="auto" w:fill="auto"/>
            <w:tcMar>
              <w:top w:w="113" w:type="dxa"/>
              <w:bottom w:w="113" w:type="dxa"/>
            </w:tcMar>
          </w:tcPr>
          <w:p w:rsidR="00236E18" w:rsidRPr="00D33788" w:rsidRDefault="00236E18" w:rsidP="00294272">
            <w:pPr>
              <w:rPr>
                <w:b/>
                <w:i/>
                <w:sz w:val="16"/>
                <w:szCs w:val="16"/>
              </w:rPr>
            </w:pPr>
            <w:r w:rsidRPr="00D33788">
              <w:rPr>
                <w:sz w:val="16"/>
                <w:szCs w:val="16"/>
              </w:rPr>
              <w:t>Incapacidad de los Estados miembros de aplicar el mandato relacionado con las actividades normativas, según lo decidido por la Asamblea General.</w:t>
            </w:r>
          </w:p>
        </w:tc>
        <w:tc>
          <w:tcPr>
            <w:tcW w:w="5103" w:type="dxa"/>
            <w:tcBorders>
              <w:top w:val="single" w:sz="4" w:space="0" w:color="auto"/>
            </w:tcBorders>
            <w:shd w:val="clear" w:color="auto" w:fill="auto"/>
            <w:tcMar>
              <w:top w:w="113" w:type="dxa"/>
              <w:bottom w:w="113" w:type="dxa"/>
            </w:tcMar>
          </w:tcPr>
          <w:p w:rsidR="00236E18" w:rsidRPr="00D33788" w:rsidRDefault="00236E18" w:rsidP="00294272">
            <w:pPr>
              <w:rPr>
                <w:sz w:val="16"/>
                <w:szCs w:val="16"/>
              </w:rPr>
            </w:pPr>
            <w:r w:rsidRPr="00D33788">
              <w:rPr>
                <w:sz w:val="16"/>
                <w:szCs w:val="16"/>
              </w:rPr>
              <w:t>La Secretaría hace todo lo posible para facilitar y crear un clima favorable a las actividades normativas, por ejemplo, facilitando información objetiva y precisa sobre las cuestiones que se están examinando y prestando servicios administrativos eficientes y neutrales.</w:t>
            </w:r>
          </w:p>
        </w:tc>
      </w:tr>
      <w:tr w:rsidR="00236E18" w:rsidRPr="00D33788" w:rsidTr="00294272">
        <w:trPr>
          <w:trHeight w:val="873"/>
        </w:trPr>
        <w:tc>
          <w:tcPr>
            <w:tcW w:w="4111" w:type="dxa"/>
            <w:shd w:val="clear" w:color="auto" w:fill="auto"/>
            <w:tcMar>
              <w:top w:w="113" w:type="dxa"/>
              <w:bottom w:w="113" w:type="dxa"/>
            </w:tcMar>
          </w:tcPr>
          <w:p w:rsidR="00236E18" w:rsidRPr="00D33788" w:rsidRDefault="00236E18" w:rsidP="00294272">
            <w:pPr>
              <w:rPr>
                <w:sz w:val="16"/>
                <w:szCs w:val="16"/>
              </w:rPr>
            </w:pPr>
            <w:r w:rsidRPr="00D33788">
              <w:rPr>
                <w:sz w:val="16"/>
                <w:szCs w:val="16"/>
                <w:lang w:val="es-ES_tradnl"/>
              </w:rPr>
              <w:t>Pérdida de pertinencia si los Estados miembros dejan de considerar como cuestiones de P.I. prioritarias los CC.TT., las ECT y los RR.GG. o si estiman que es más probable lograr resultados favorables en otros foros.</w:t>
            </w:r>
          </w:p>
        </w:tc>
        <w:tc>
          <w:tcPr>
            <w:tcW w:w="5103" w:type="dxa"/>
            <w:shd w:val="clear" w:color="auto" w:fill="auto"/>
            <w:tcMar>
              <w:top w:w="113" w:type="dxa"/>
              <w:bottom w:w="113" w:type="dxa"/>
            </w:tcMar>
          </w:tcPr>
          <w:p w:rsidR="00236E18" w:rsidRDefault="00236E18" w:rsidP="00294272">
            <w:pPr>
              <w:rPr>
                <w:sz w:val="16"/>
                <w:szCs w:val="16"/>
                <w:lang w:val="es-ES_tradnl"/>
              </w:rPr>
            </w:pPr>
            <w:r w:rsidRPr="00D33788">
              <w:rPr>
                <w:sz w:val="16"/>
                <w:szCs w:val="16"/>
                <w:lang w:val="es-ES_tradnl"/>
              </w:rPr>
              <w:t>La Secretaría lleva a cabo iniciativas de sensibilización sobre la importancia de los CC.TT., las ECT y los RR.GG. para las políticas de P.I.</w:t>
            </w:r>
            <w:r w:rsidRPr="00D33788">
              <w:rPr>
                <w:sz w:val="16"/>
                <w:szCs w:val="16"/>
              </w:rPr>
              <w:t>  Sigue</w:t>
            </w:r>
            <w:r w:rsidRPr="00D33788">
              <w:rPr>
                <w:sz w:val="16"/>
                <w:szCs w:val="16"/>
                <w:lang w:val="es-ES_tradnl"/>
              </w:rPr>
              <w:t xml:space="preserve"> de cerca las negociaciones que se celebran en otras instancias para poder facilitar a los Estados miembros información neutral sobre las cuestiones manejadas en dichas instancias, y coordina con otras Secretarías para evitar la duplicación de tareas y, así, la confusión que podría causar entre los Estados miembros.</w:t>
            </w:r>
          </w:p>
          <w:p w:rsidR="00236E18" w:rsidRPr="00D33788" w:rsidRDefault="00236E18" w:rsidP="00294272">
            <w:pPr>
              <w:rPr>
                <w:sz w:val="16"/>
                <w:szCs w:val="16"/>
              </w:rPr>
            </w:pPr>
          </w:p>
        </w:tc>
      </w:tr>
    </w:tbl>
    <w:p w:rsidR="00236E18" w:rsidRPr="00D33788" w:rsidRDefault="00236E18" w:rsidP="00236E18">
      <w:pPr>
        <w:rPr>
          <w:szCs w:val="22"/>
        </w:rPr>
      </w:pPr>
    </w:p>
    <w:p w:rsidR="00236E18" w:rsidRPr="00D33788" w:rsidRDefault="00236E18" w:rsidP="00236E18">
      <w:pPr>
        <w:keepNext/>
        <w:keepLines/>
        <w:jc w:val="both"/>
        <w:rPr>
          <w:b/>
          <w:bCs/>
          <w:szCs w:val="22"/>
        </w:rPr>
      </w:pPr>
    </w:p>
    <w:p w:rsidR="00236E18" w:rsidRPr="00D33788" w:rsidRDefault="00236E18" w:rsidP="00236E18">
      <w:pPr>
        <w:keepNext/>
        <w:keepLines/>
        <w:jc w:val="both"/>
        <w:rPr>
          <w:bCs/>
          <w:szCs w:val="22"/>
        </w:rPr>
      </w:pPr>
      <w:r w:rsidRPr="00D33788">
        <w:rPr>
          <w:bCs/>
          <w:szCs w:val="22"/>
          <w:lang w:val="es-ES_tradnl"/>
        </w:rPr>
        <w:t>MARCO DE RESULTADOS</w:t>
      </w:r>
      <w:r w:rsidRPr="00D33788">
        <w:rPr>
          <w:bCs/>
          <w:szCs w:val="22"/>
        </w:rPr>
        <w:t xml:space="preserve"> </w:t>
      </w:r>
    </w:p>
    <w:p w:rsidR="00236E18" w:rsidRPr="00D33788" w:rsidRDefault="00236E18" w:rsidP="00236E18">
      <w:pPr>
        <w:keepNext/>
        <w:keepLines/>
        <w:jc w:val="both"/>
        <w:rPr>
          <w:bCs/>
          <w:szCs w:val="22"/>
        </w:rPr>
      </w:pPr>
    </w:p>
    <w:tbl>
      <w:tblPr>
        <w:tblW w:w="9229" w:type="dxa"/>
        <w:tblInd w:w="93" w:type="dxa"/>
        <w:tblLook w:val="04A0" w:firstRow="1" w:lastRow="0" w:firstColumn="1" w:lastColumn="0" w:noHBand="0" w:noVBand="1"/>
      </w:tblPr>
      <w:tblGrid>
        <w:gridCol w:w="2400"/>
        <w:gridCol w:w="2600"/>
        <w:gridCol w:w="2520"/>
        <w:gridCol w:w="1709"/>
      </w:tblGrid>
      <w:tr w:rsidR="00236E18" w:rsidRPr="00D33788" w:rsidTr="00294272">
        <w:trPr>
          <w:trHeight w:val="555"/>
        </w:trPr>
        <w:tc>
          <w:tcPr>
            <w:tcW w:w="2400" w:type="dxa"/>
            <w:tcBorders>
              <w:top w:val="single" w:sz="4" w:space="0" w:color="auto"/>
              <w:left w:val="single" w:sz="4" w:space="0" w:color="auto"/>
              <w:bottom w:val="single" w:sz="4" w:space="0" w:color="auto"/>
              <w:right w:val="nil"/>
            </w:tcBorders>
            <w:shd w:val="clear" w:color="auto" w:fill="C6D9F1"/>
            <w:noWrap/>
            <w:vAlign w:val="center"/>
            <w:hideMark/>
          </w:tcPr>
          <w:p w:rsidR="00236E18" w:rsidRPr="00D33788" w:rsidRDefault="00236E18" w:rsidP="00294272">
            <w:pPr>
              <w:keepNext/>
              <w:keepLines/>
              <w:rPr>
                <w:b/>
                <w:bCs/>
                <w:sz w:val="18"/>
              </w:rPr>
            </w:pPr>
            <w:r w:rsidRPr="00D33788">
              <w:rPr>
                <w:b/>
                <w:bCs/>
                <w:sz w:val="18"/>
                <w:lang w:val="es-ES_tradnl"/>
              </w:rPr>
              <w:t>Resultados previstos</w:t>
            </w:r>
          </w:p>
        </w:tc>
        <w:tc>
          <w:tcPr>
            <w:tcW w:w="2600" w:type="dxa"/>
            <w:tcBorders>
              <w:top w:val="single" w:sz="4" w:space="0" w:color="auto"/>
              <w:left w:val="nil"/>
              <w:bottom w:val="single" w:sz="4" w:space="0" w:color="auto"/>
              <w:right w:val="nil"/>
            </w:tcBorders>
            <w:shd w:val="clear" w:color="auto" w:fill="C6D9F1"/>
            <w:noWrap/>
            <w:vAlign w:val="center"/>
            <w:hideMark/>
          </w:tcPr>
          <w:p w:rsidR="00236E18" w:rsidRPr="00D33788" w:rsidRDefault="00236E18" w:rsidP="00294272">
            <w:pPr>
              <w:keepNext/>
              <w:keepLines/>
              <w:jc w:val="center"/>
              <w:rPr>
                <w:b/>
                <w:bCs/>
                <w:sz w:val="18"/>
              </w:rPr>
            </w:pPr>
            <w:r w:rsidRPr="00D33788">
              <w:rPr>
                <w:b/>
                <w:bCs/>
                <w:sz w:val="18"/>
                <w:lang w:val="es-ES_tradnl"/>
              </w:rPr>
              <w:t>Indicadores de rendimiento</w:t>
            </w:r>
          </w:p>
        </w:tc>
        <w:tc>
          <w:tcPr>
            <w:tcW w:w="2520" w:type="dxa"/>
            <w:tcBorders>
              <w:top w:val="single" w:sz="4" w:space="0" w:color="auto"/>
              <w:left w:val="nil"/>
              <w:bottom w:val="single" w:sz="4" w:space="0" w:color="auto"/>
              <w:right w:val="nil"/>
            </w:tcBorders>
            <w:shd w:val="clear" w:color="auto" w:fill="C6D9F1"/>
            <w:noWrap/>
            <w:vAlign w:val="center"/>
            <w:hideMark/>
          </w:tcPr>
          <w:p w:rsidR="00236E18" w:rsidRPr="00D33788" w:rsidRDefault="00236E18" w:rsidP="00294272">
            <w:pPr>
              <w:keepNext/>
              <w:keepLines/>
              <w:rPr>
                <w:b/>
                <w:bCs/>
                <w:sz w:val="18"/>
              </w:rPr>
            </w:pPr>
            <w:r w:rsidRPr="00D33788">
              <w:rPr>
                <w:b/>
                <w:bCs/>
                <w:sz w:val="18"/>
                <w:lang w:val="es-ES_tradnl"/>
              </w:rPr>
              <w:t>Referencia</w:t>
            </w:r>
          </w:p>
        </w:tc>
        <w:tc>
          <w:tcPr>
            <w:tcW w:w="1709" w:type="dxa"/>
            <w:tcBorders>
              <w:top w:val="single" w:sz="4" w:space="0" w:color="auto"/>
              <w:left w:val="nil"/>
              <w:bottom w:val="single" w:sz="4" w:space="0" w:color="auto"/>
              <w:right w:val="single" w:sz="4" w:space="0" w:color="auto"/>
            </w:tcBorders>
            <w:shd w:val="clear" w:color="auto" w:fill="C6D9F1"/>
            <w:noWrap/>
            <w:vAlign w:val="center"/>
            <w:hideMark/>
          </w:tcPr>
          <w:p w:rsidR="00236E18" w:rsidRPr="00D33788" w:rsidRDefault="00236E18" w:rsidP="00294272">
            <w:pPr>
              <w:keepNext/>
              <w:keepLines/>
              <w:rPr>
                <w:b/>
                <w:bCs/>
                <w:sz w:val="18"/>
              </w:rPr>
            </w:pPr>
            <w:r w:rsidRPr="00D33788">
              <w:rPr>
                <w:b/>
                <w:bCs/>
                <w:sz w:val="18"/>
                <w:lang w:val="es-ES_tradnl"/>
              </w:rPr>
              <w:t>Objetivos</w:t>
            </w:r>
          </w:p>
        </w:tc>
      </w:tr>
      <w:tr w:rsidR="00236E18" w:rsidRPr="00D33788" w:rsidTr="00294272">
        <w:trPr>
          <w:trHeight w:val="1691"/>
        </w:trPr>
        <w:tc>
          <w:tcPr>
            <w:tcW w:w="2400" w:type="dxa"/>
            <w:vMerge w:val="restart"/>
            <w:tcBorders>
              <w:top w:val="nil"/>
              <w:left w:val="single" w:sz="4" w:space="0" w:color="auto"/>
              <w:bottom w:val="nil"/>
              <w:right w:val="nil"/>
            </w:tcBorders>
            <w:shd w:val="clear" w:color="000000" w:fill="FFFFFF"/>
            <w:hideMark/>
          </w:tcPr>
          <w:p w:rsidR="00236E18" w:rsidRPr="00D455EB" w:rsidRDefault="00236E18" w:rsidP="00294272">
            <w:pPr>
              <w:keepNext/>
              <w:keepLines/>
              <w:ind w:right="292"/>
              <w:rPr>
                <w:sz w:val="16"/>
                <w:szCs w:val="16"/>
              </w:rPr>
            </w:pPr>
            <w:r w:rsidRPr="00D455EB">
              <w:rPr>
                <w:sz w:val="16"/>
                <w:szCs w:val="16"/>
              </w:rPr>
              <w:br/>
              <w:t>I.1  Mayor cooperación entre los Estados miembros en la elaboración de marcos normativos internacionales de P.I. equilibrados</w:t>
            </w:r>
          </w:p>
        </w:tc>
        <w:tc>
          <w:tcPr>
            <w:tcW w:w="2600" w:type="dxa"/>
            <w:tcBorders>
              <w:top w:val="nil"/>
              <w:left w:val="nil"/>
              <w:bottom w:val="nil"/>
              <w:right w:val="nil"/>
            </w:tcBorders>
            <w:shd w:val="clear" w:color="000000" w:fill="FFFFFF"/>
            <w:hideMark/>
          </w:tcPr>
          <w:p w:rsidR="00236E18" w:rsidRPr="00D33788" w:rsidRDefault="00236E18" w:rsidP="00294272">
            <w:pPr>
              <w:keepNext/>
              <w:keepLines/>
              <w:ind w:right="199"/>
              <w:rPr>
                <w:sz w:val="16"/>
                <w:szCs w:val="16"/>
              </w:rPr>
            </w:pPr>
            <w:r w:rsidRPr="00D33788">
              <w:rPr>
                <w:sz w:val="16"/>
                <w:szCs w:val="16"/>
              </w:rPr>
              <w:br/>
              <w:t xml:space="preserve">Progresos en la aplicación de las actividades normativas sobre P.I. y RR.GG., CC.TT. y ECT, según lo acordado por los Estados miembros. </w:t>
            </w:r>
          </w:p>
        </w:tc>
        <w:tc>
          <w:tcPr>
            <w:tcW w:w="2520" w:type="dxa"/>
            <w:tcBorders>
              <w:top w:val="nil"/>
              <w:left w:val="nil"/>
              <w:bottom w:val="nil"/>
              <w:right w:val="nil"/>
            </w:tcBorders>
            <w:shd w:val="clear" w:color="000000" w:fill="FFFFFF"/>
            <w:hideMark/>
          </w:tcPr>
          <w:p w:rsidR="00236E18" w:rsidRPr="00D33788" w:rsidRDefault="00236E18" w:rsidP="00294272">
            <w:pPr>
              <w:keepNext/>
              <w:keepLines/>
              <w:ind w:right="309"/>
              <w:rPr>
                <w:sz w:val="16"/>
                <w:szCs w:val="16"/>
              </w:rPr>
            </w:pPr>
            <w:r w:rsidRPr="00D33788">
              <w:rPr>
                <w:sz w:val="16"/>
                <w:szCs w:val="16"/>
              </w:rPr>
              <w:br/>
              <w:t xml:space="preserve">Situación actual de las negociaciones entre los Estados miembros sobre P.I. y RR.GG., CC.TT. y ECT, reflejada en los documentos WIPO/GRTKF/IC/28/4, WIPO/GRTKF/IC/28/5 y WIPO/GRTKF/IC/28/6, respectivamente.  </w:t>
            </w:r>
          </w:p>
        </w:tc>
        <w:tc>
          <w:tcPr>
            <w:tcW w:w="1709" w:type="dxa"/>
            <w:tcBorders>
              <w:top w:val="nil"/>
              <w:left w:val="nil"/>
              <w:bottom w:val="nil"/>
              <w:right w:val="single" w:sz="4" w:space="0" w:color="auto"/>
            </w:tcBorders>
            <w:shd w:val="clear" w:color="000000" w:fill="FFFFFF"/>
            <w:hideMark/>
          </w:tcPr>
          <w:p w:rsidR="00236E18" w:rsidRPr="00D33788" w:rsidRDefault="00236E18" w:rsidP="00294272">
            <w:pPr>
              <w:keepNext/>
              <w:keepLines/>
              <w:rPr>
                <w:sz w:val="16"/>
                <w:szCs w:val="16"/>
              </w:rPr>
            </w:pPr>
            <w:r w:rsidRPr="00D33788">
              <w:rPr>
                <w:sz w:val="16"/>
                <w:szCs w:val="16"/>
              </w:rPr>
              <w:br/>
              <w:t xml:space="preserve">Resultados acordados de las actividades normativas. </w:t>
            </w:r>
          </w:p>
        </w:tc>
      </w:tr>
      <w:tr w:rsidR="00236E18" w:rsidRPr="00D33788" w:rsidTr="00294272">
        <w:trPr>
          <w:trHeight w:val="360"/>
        </w:trPr>
        <w:tc>
          <w:tcPr>
            <w:tcW w:w="2400" w:type="dxa"/>
            <w:vMerge/>
            <w:tcBorders>
              <w:top w:val="nil"/>
              <w:left w:val="single" w:sz="4" w:space="0" w:color="auto"/>
              <w:bottom w:val="nil"/>
              <w:right w:val="nil"/>
            </w:tcBorders>
            <w:vAlign w:val="center"/>
            <w:hideMark/>
          </w:tcPr>
          <w:p w:rsidR="00236E18" w:rsidRPr="00D455EB" w:rsidRDefault="00236E18" w:rsidP="00294272">
            <w:pPr>
              <w:ind w:right="292"/>
              <w:rPr>
                <w:sz w:val="16"/>
                <w:szCs w:val="16"/>
              </w:rPr>
            </w:pPr>
          </w:p>
        </w:tc>
        <w:tc>
          <w:tcPr>
            <w:tcW w:w="2600" w:type="dxa"/>
            <w:tcBorders>
              <w:top w:val="nil"/>
              <w:left w:val="nil"/>
              <w:bottom w:val="nil"/>
              <w:right w:val="nil"/>
            </w:tcBorders>
            <w:shd w:val="clear" w:color="000000" w:fill="FFFFFF"/>
            <w:hideMark/>
          </w:tcPr>
          <w:p w:rsidR="00236E18" w:rsidRPr="00D33788" w:rsidRDefault="00236E18" w:rsidP="00294272">
            <w:pPr>
              <w:ind w:right="199"/>
              <w:rPr>
                <w:sz w:val="16"/>
                <w:szCs w:val="16"/>
              </w:rPr>
            </w:pPr>
            <w:r w:rsidRPr="00D33788">
              <w:rPr>
                <w:sz w:val="16"/>
                <w:szCs w:val="16"/>
              </w:rPr>
              <w:t> </w:t>
            </w:r>
          </w:p>
        </w:tc>
        <w:tc>
          <w:tcPr>
            <w:tcW w:w="2520" w:type="dxa"/>
            <w:tcBorders>
              <w:top w:val="nil"/>
              <w:left w:val="nil"/>
              <w:bottom w:val="nil"/>
              <w:right w:val="nil"/>
            </w:tcBorders>
            <w:shd w:val="clear" w:color="000000" w:fill="FFFFFF"/>
            <w:hideMark/>
          </w:tcPr>
          <w:p w:rsidR="00236E18" w:rsidRPr="00D33788" w:rsidRDefault="00236E18" w:rsidP="00294272">
            <w:pPr>
              <w:ind w:right="309"/>
              <w:rPr>
                <w:sz w:val="16"/>
                <w:szCs w:val="16"/>
              </w:rPr>
            </w:pPr>
            <w:r w:rsidRPr="00D33788">
              <w:rPr>
                <w:sz w:val="16"/>
                <w:szCs w:val="16"/>
              </w:rPr>
              <w:t> </w:t>
            </w:r>
          </w:p>
        </w:tc>
        <w:tc>
          <w:tcPr>
            <w:tcW w:w="1709" w:type="dxa"/>
            <w:tcBorders>
              <w:top w:val="nil"/>
              <w:left w:val="nil"/>
              <w:bottom w:val="nil"/>
              <w:right w:val="single" w:sz="4" w:space="0" w:color="auto"/>
            </w:tcBorders>
            <w:shd w:val="clear" w:color="000000" w:fill="FFFFFF"/>
            <w:hideMark/>
          </w:tcPr>
          <w:p w:rsidR="00236E18" w:rsidRPr="00D33788" w:rsidRDefault="00236E18" w:rsidP="00294272">
            <w:pPr>
              <w:rPr>
                <w:sz w:val="16"/>
                <w:szCs w:val="16"/>
              </w:rPr>
            </w:pPr>
            <w:r w:rsidRPr="00D33788">
              <w:rPr>
                <w:sz w:val="16"/>
                <w:szCs w:val="16"/>
              </w:rPr>
              <w:t> </w:t>
            </w:r>
          </w:p>
        </w:tc>
      </w:tr>
      <w:tr w:rsidR="00236E18" w:rsidRPr="00D33788" w:rsidTr="00294272">
        <w:trPr>
          <w:trHeight w:val="1723"/>
        </w:trPr>
        <w:tc>
          <w:tcPr>
            <w:tcW w:w="2400" w:type="dxa"/>
            <w:tcBorders>
              <w:top w:val="nil"/>
              <w:left w:val="single" w:sz="4" w:space="0" w:color="auto"/>
              <w:bottom w:val="single" w:sz="4" w:space="0" w:color="auto"/>
              <w:right w:val="nil"/>
            </w:tcBorders>
            <w:shd w:val="clear" w:color="000000" w:fill="FFFFFF"/>
            <w:hideMark/>
          </w:tcPr>
          <w:p w:rsidR="00236E18" w:rsidRPr="00D455EB" w:rsidRDefault="00236E18" w:rsidP="00294272">
            <w:pPr>
              <w:ind w:right="292"/>
              <w:rPr>
                <w:sz w:val="16"/>
                <w:szCs w:val="16"/>
              </w:rPr>
            </w:pPr>
            <w:r w:rsidRPr="00D455EB">
              <w:rPr>
                <w:sz w:val="16"/>
                <w:szCs w:val="16"/>
                <w:lang w:val="es-ES_tradnl"/>
              </w:rPr>
              <w:t>III.2  Aumento de las capacidades en recursos humanos para hacer frente a la gran diversidad de exigencias que supone la utilización eficaz de la P.I. para fomentar el desarrollo en los países en desarrollo, PMA y países con economías en transición</w:t>
            </w:r>
          </w:p>
        </w:tc>
        <w:tc>
          <w:tcPr>
            <w:tcW w:w="2600" w:type="dxa"/>
            <w:tcBorders>
              <w:top w:val="nil"/>
              <w:left w:val="nil"/>
              <w:bottom w:val="single" w:sz="4" w:space="0" w:color="auto"/>
              <w:right w:val="nil"/>
            </w:tcBorders>
            <w:shd w:val="clear" w:color="000000" w:fill="FFFFFF"/>
            <w:hideMark/>
          </w:tcPr>
          <w:p w:rsidR="00236E18" w:rsidRDefault="00236E18" w:rsidP="00294272">
            <w:pPr>
              <w:tabs>
                <w:tab w:val="left" w:pos="2043"/>
              </w:tabs>
              <w:ind w:right="199"/>
              <w:rPr>
                <w:sz w:val="16"/>
                <w:szCs w:val="16"/>
              </w:rPr>
            </w:pPr>
            <w:r w:rsidRPr="008E4709">
              <w:rPr>
                <w:sz w:val="16"/>
                <w:szCs w:val="16"/>
              </w:rPr>
              <w:t>Porcentaje de participantes en actividades de la OMPI que informan de que han aumentado su capacidad para comprender y utilizar principios, sistemas y herramientas de P.I. para la protección de los CC.TT. y las ECT, y para la gestión de la relación entre la P.I. y los RR.GG.</w:t>
            </w:r>
          </w:p>
          <w:p w:rsidR="00236E18" w:rsidRPr="00D33788" w:rsidRDefault="00236E18" w:rsidP="00294272">
            <w:pPr>
              <w:tabs>
                <w:tab w:val="left" w:pos="2043"/>
              </w:tabs>
              <w:ind w:right="199"/>
              <w:rPr>
                <w:sz w:val="16"/>
                <w:szCs w:val="16"/>
              </w:rPr>
            </w:pPr>
          </w:p>
        </w:tc>
        <w:tc>
          <w:tcPr>
            <w:tcW w:w="2520" w:type="dxa"/>
            <w:tcBorders>
              <w:top w:val="nil"/>
              <w:left w:val="nil"/>
              <w:bottom w:val="single" w:sz="4" w:space="0" w:color="auto"/>
              <w:right w:val="nil"/>
            </w:tcBorders>
            <w:shd w:val="clear" w:color="000000" w:fill="FFFFFF"/>
            <w:hideMark/>
          </w:tcPr>
          <w:p w:rsidR="00236E18" w:rsidRPr="00D33788" w:rsidRDefault="00236E18" w:rsidP="00294272">
            <w:pPr>
              <w:ind w:right="309"/>
              <w:rPr>
                <w:sz w:val="16"/>
                <w:szCs w:val="16"/>
              </w:rPr>
            </w:pPr>
            <w:r w:rsidRPr="00D33788">
              <w:rPr>
                <w:sz w:val="16"/>
                <w:szCs w:val="16"/>
              </w:rPr>
              <w:t>El 91% (163 de 179) de los participantes han respondido positivamente (cuestionario de evaluación utilizado en 9 actividades organizadas por la División de CC.TT. en 2014).</w:t>
            </w:r>
          </w:p>
        </w:tc>
        <w:tc>
          <w:tcPr>
            <w:tcW w:w="1709" w:type="dxa"/>
            <w:tcBorders>
              <w:top w:val="nil"/>
              <w:left w:val="nil"/>
              <w:bottom w:val="single" w:sz="4" w:space="0" w:color="auto"/>
              <w:right w:val="single" w:sz="4" w:space="0" w:color="auto"/>
            </w:tcBorders>
            <w:shd w:val="clear" w:color="000000" w:fill="FFFFFF"/>
            <w:hideMark/>
          </w:tcPr>
          <w:p w:rsidR="00236E18" w:rsidRPr="00D33788" w:rsidRDefault="00236E18" w:rsidP="00294272">
            <w:pPr>
              <w:rPr>
                <w:sz w:val="16"/>
                <w:szCs w:val="16"/>
              </w:rPr>
            </w:pPr>
            <w:r w:rsidRPr="00D33788">
              <w:rPr>
                <w:sz w:val="16"/>
                <w:szCs w:val="16"/>
              </w:rPr>
              <w:t>80%</w:t>
            </w:r>
          </w:p>
        </w:tc>
      </w:tr>
    </w:tbl>
    <w:p w:rsidR="00236E18" w:rsidRPr="00D33788" w:rsidRDefault="00236E18" w:rsidP="00236E18">
      <w:pPr>
        <w:jc w:val="both"/>
        <w:rPr>
          <w:bCs/>
          <w:szCs w:val="22"/>
        </w:rPr>
      </w:pPr>
    </w:p>
    <w:p w:rsidR="00236E18" w:rsidRPr="00D33788" w:rsidRDefault="00236E18" w:rsidP="00236E18">
      <w:pPr>
        <w:jc w:val="both"/>
        <w:rPr>
          <w:bCs/>
          <w:szCs w:val="22"/>
        </w:rPr>
      </w:pPr>
    </w:p>
    <w:p w:rsidR="00236E18" w:rsidRPr="000D153F" w:rsidRDefault="00236E18" w:rsidP="00236E18">
      <w:pPr>
        <w:jc w:val="both"/>
        <w:rPr>
          <w:bCs/>
          <w:highlight w:val="lightGray"/>
        </w:rPr>
      </w:pPr>
      <w:r w:rsidRPr="000D153F">
        <w:rPr>
          <w:bCs/>
          <w:lang w:val="es-ES_tradnl"/>
        </w:rPr>
        <w:t>RECURSOS PARA EL PROGRAMA 4</w:t>
      </w:r>
    </w:p>
    <w:p w:rsidR="00236E18" w:rsidRPr="000D153F" w:rsidRDefault="00236E18" w:rsidP="00236E18">
      <w:pPr>
        <w:jc w:val="both"/>
        <w:rPr>
          <w:bCs/>
          <w:highlight w:val="lightGray"/>
        </w:rPr>
      </w:pPr>
    </w:p>
    <w:p w:rsidR="00236E18" w:rsidRPr="000D153F" w:rsidRDefault="00236E18" w:rsidP="00236E18">
      <w:pPr>
        <w:numPr>
          <w:ilvl w:val="0"/>
          <w:numId w:val="13"/>
        </w:numPr>
        <w:jc w:val="both"/>
        <w:rPr>
          <w:sz w:val="20"/>
        </w:rPr>
      </w:pPr>
      <w:r w:rsidRPr="00EB43D0">
        <w:rPr>
          <w:bCs/>
          <w:sz w:val="20"/>
          <w:lang w:val="es-ES_tradnl"/>
        </w:rPr>
        <w:t xml:space="preserve">En </w:t>
      </w:r>
      <w:r>
        <w:rPr>
          <w:bCs/>
          <w:sz w:val="20"/>
          <w:lang w:val="es-ES_tradnl"/>
        </w:rPr>
        <w:t xml:space="preserve">la dotación global de recursos para </w:t>
      </w:r>
      <w:r w:rsidRPr="00EB43D0">
        <w:rPr>
          <w:bCs/>
          <w:sz w:val="20"/>
          <w:lang w:val="es-ES_tradnl"/>
        </w:rPr>
        <w:t xml:space="preserve">el programa 4 en 2016/17 se puede apreciar un leve descenso con respecto al presupuesto de 2014/15 </w:t>
      </w:r>
      <w:r>
        <w:rPr>
          <w:bCs/>
          <w:sz w:val="20"/>
          <w:lang w:val="es-ES_tradnl"/>
        </w:rPr>
        <w:t>tras</w:t>
      </w:r>
      <w:r w:rsidRPr="00EB43D0">
        <w:rPr>
          <w:bCs/>
          <w:sz w:val="20"/>
          <w:lang w:val="es-ES_tradnl"/>
        </w:rPr>
        <w:t xml:space="preserve"> las transferencias.  Esto se debe al cambio efectuado en la metodología de cálculo del costo de los recursos de personal en 2016/17, basada en costos reales.</w:t>
      </w:r>
    </w:p>
    <w:p w:rsidR="00236E18" w:rsidRPr="000D153F" w:rsidRDefault="00236E18" w:rsidP="00236E18">
      <w:pPr>
        <w:jc w:val="both"/>
        <w:rPr>
          <w:sz w:val="20"/>
        </w:rPr>
      </w:pPr>
    </w:p>
    <w:p w:rsidR="00236E18" w:rsidRPr="000D153F" w:rsidRDefault="00236E18" w:rsidP="00236E18">
      <w:pPr>
        <w:numPr>
          <w:ilvl w:val="0"/>
          <w:numId w:val="13"/>
        </w:numPr>
        <w:jc w:val="both"/>
        <w:rPr>
          <w:sz w:val="20"/>
        </w:rPr>
      </w:pPr>
      <w:r w:rsidRPr="00EB43D0">
        <w:rPr>
          <w:bCs/>
          <w:sz w:val="20"/>
          <w:lang w:val="es-ES_tradnl"/>
        </w:rPr>
        <w:t xml:space="preserve">La disminución de los recursos no </w:t>
      </w:r>
      <w:r>
        <w:rPr>
          <w:bCs/>
          <w:sz w:val="20"/>
          <w:lang w:val="es-ES_tradnl"/>
        </w:rPr>
        <w:t>relativos</w:t>
      </w:r>
      <w:r w:rsidRPr="00EB43D0">
        <w:rPr>
          <w:bCs/>
          <w:sz w:val="20"/>
          <w:lang w:val="es-ES_tradnl"/>
        </w:rPr>
        <w:t xml:space="preserve"> a personal en 2016/17, en relación con el presupuesto de 2014/15 </w:t>
      </w:r>
      <w:r>
        <w:rPr>
          <w:bCs/>
          <w:sz w:val="20"/>
          <w:lang w:val="es-ES_tradnl"/>
        </w:rPr>
        <w:t>tras</w:t>
      </w:r>
      <w:r w:rsidRPr="00EB43D0">
        <w:rPr>
          <w:bCs/>
          <w:sz w:val="20"/>
          <w:lang w:val="es-ES_tradnl"/>
        </w:rPr>
        <w:t xml:space="preserve"> las transferencias, se debe a la asignación presupuestaria para la eventual celebración de una conferencia diplomática en 2016/17, que ahora está anotada en la partida de fondos “sin consignar”.</w:t>
      </w:r>
    </w:p>
    <w:p w:rsidR="00236E18" w:rsidRPr="000D153F" w:rsidRDefault="00236E18" w:rsidP="00236E18">
      <w:pPr>
        <w:jc w:val="both"/>
        <w:rPr>
          <w:bCs/>
          <w:highlight w:val="lightGray"/>
        </w:rPr>
      </w:pPr>
    </w:p>
    <w:p w:rsidR="00236E18" w:rsidRPr="000D153F" w:rsidRDefault="00236E18" w:rsidP="00236E18">
      <w:pPr>
        <w:keepNext/>
        <w:keepLines/>
        <w:tabs>
          <w:tab w:val="center" w:pos="4513"/>
          <w:tab w:val="right" w:pos="9027"/>
        </w:tabs>
        <w:autoSpaceDE w:val="0"/>
        <w:autoSpaceDN w:val="0"/>
        <w:jc w:val="center"/>
        <w:rPr>
          <w:b/>
          <w:sz w:val="20"/>
          <w:lang w:val="es-ES_tradnl"/>
        </w:rPr>
      </w:pPr>
      <w:r w:rsidRPr="000D153F">
        <w:rPr>
          <w:b/>
          <w:sz w:val="20"/>
          <w:lang w:val="es-ES_tradnl"/>
        </w:rPr>
        <w:lastRenderedPageBreak/>
        <w:t>Programa 4</w:t>
      </w:r>
      <w:proofErr w:type="gramStart"/>
      <w:r w:rsidRPr="000D153F">
        <w:rPr>
          <w:b/>
          <w:sz w:val="20"/>
          <w:lang w:val="es-ES_tradnl"/>
        </w:rPr>
        <w:t>:  Recursos</w:t>
      </w:r>
      <w:proofErr w:type="gramEnd"/>
      <w:r w:rsidRPr="000D153F">
        <w:rPr>
          <w:b/>
          <w:sz w:val="20"/>
          <w:lang w:val="es-ES_tradnl"/>
        </w:rPr>
        <w:t xml:space="preserve"> por resultado</w:t>
      </w:r>
    </w:p>
    <w:p w:rsidR="00236E18" w:rsidRPr="000D153F" w:rsidRDefault="00236E18" w:rsidP="00236E18">
      <w:pPr>
        <w:keepNext/>
        <w:keepLines/>
        <w:autoSpaceDE w:val="0"/>
        <w:autoSpaceDN w:val="0"/>
        <w:jc w:val="center"/>
        <w:rPr>
          <w:i/>
          <w:sz w:val="20"/>
          <w:highlight w:val="lightGray"/>
          <w:lang w:val="es-ES_tradnl"/>
        </w:rPr>
      </w:pPr>
      <w:r w:rsidRPr="000D153F">
        <w:rPr>
          <w:i/>
          <w:sz w:val="20"/>
          <w:lang w:val="es-ES_tradnl"/>
        </w:rPr>
        <w:t>(</w:t>
      </w:r>
      <w:proofErr w:type="gramStart"/>
      <w:r w:rsidRPr="000D153F">
        <w:rPr>
          <w:i/>
          <w:sz w:val="20"/>
          <w:lang w:val="es-ES_tradnl"/>
        </w:rPr>
        <w:t>en</w:t>
      </w:r>
      <w:proofErr w:type="gramEnd"/>
      <w:r w:rsidRPr="000D153F">
        <w:rPr>
          <w:i/>
          <w:sz w:val="20"/>
          <w:lang w:val="es-ES_tradnl"/>
        </w:rPr>
        <w:t xml:space="preserve"> miles de francos suizos)</w:t>
      </w:r>
    </w:p>
    <w:p w:rsidR="00236E18" w:rsidRPr="000D153F" w:rsidRDefault="00236E18" w:rsidP="00236E18">
      <w:pPr>
        <w:keepNext/>
        <w:keepLines/>
        <w:autoSpaceDE w:val="0"/>
        <w:autoSpaceDN w:val="0"/>
        <w:jc w:val="center"/>
        <w:rPr>
          <w:i/>
          <w:sz w:val="20"/>
          <w:highlight w:val="lightGray"/>
          <w:lang w:val="es-ES_tradnl"/>
        </w:rPr>
      </w:pPr>
    </w:p>
    <w:p w:rsidR="00236E18" w:rsidRPr="00CF18C3" w:rsidRDefault="00236E18" w:rsidP="00236E18">
      <w:pPr>
        <w:keepNext/>
        <w:keepLines/>
        <w:autoSpaceDE w:val="0"/>
        <w:autoSpaceDN w:val="0"/>
        <w:jc w:val="center"/>
        <w:rPr>
          <w:i/>
          <w:sz w:val="20"/>
          <w:highlight w:val="lightGray"/>
        </w:rPr>
      </w:pPr>
      <w:r w:rsidRPr="00510672">
        <w:rPr>
          <w:noProof/>
          <w:lang w:val="en-US" w:eastAsia="en-US"/>
        </w:rPr>
        <w:drawing>
          <wp:inline distT="0" distB="0" distL="0" distR="0" wp14:anchorId="68465C39" wp14:editId="6E4CF58F">
            <wp:extent cx="5676900" cy="279463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76900" cy="2794635"/>
                    </a:xfrm>
                    <a:prstGeom prst="rect">
                      <a:avLst/>
                    </a:prstGeom>
                    <a:noFill/>
                    <a:ln>
                      <a:noFill/>
                    </a:ln>
                  </pic:spPr>
                </pic:pic>
              </a:graphicData>
            </a:graphic>
          </wp:inline>
        </w:drawing>
      </w:r>
    </w:p>
    <w:p w:rsidR="00236E18" w:rsidRPr="00CF18C3" w:rsidRDefault="00236E18" w:rsidP="00236E18">
      <w:pPr>
        <w:autoSpaceDE w:val="0"/>
        <w:autoSpaceDN w:val="0"/>
        <w:jc w:val="center"/>
        <w:rPr>
          <w:b/>
          <w:sz w:val="20"/>
          <w:highlight w:val="lightGray"/>
        </w:rPr>
      </w:pPr>
    </w:p>
    <w:p w:rsidR="00236E18" w:rsidRPr="003F17D8" w:rsidRDefault="00236E18" w:rsidP="00236E18">
      <w:pPr>
        <w:keepNext/>
        <w:keepLines/>
        <w:autoSpaceDE w:val="0"/>
        <w:autoSpaceDN w:val="0"/>
        <w:jc w:val="center"/>
        <w:rPr>
          <w:b/>
          <w:sz w:val="20"/>
          <w:lang w:val="es-ES_tradnl"/>
        </w:rPr>
      </w:pPr>
      <w:r w:rsidRPr="003F17D8">
        <w:rPr>
          <w:b/>
          <w:sz w:val="20"/>
          <w:lang w:val="es-ES_tradnl"/>
        </w:rPr>
        <w:lastRenderedPageBreak/>
        <w:t>Programa 4</w:t>
      </w:r>
      <w:proofErr w:type="gramStart"/>
      <w:r w:rsidRPr="003F17D8">
        <w:rPr>
          <w:b/>
          <w:sz w:val="20"/>
          <w:lang w:val="es-ES_tradnl"/>
        </w:rPr>
        <w:t>:  Recursos</w:t>
      </w:r>
      <w:proofErr w:type="gramEnd"/>
      <w:r w:rsidRPr="003F17D8">
        <w:rPr>
          <w:b/>
          <w:sz w:val="20"/>
          <w:lang w:val="es-ES_tradnl"/>
        </w:rPr>
        <w:t xml:space="preserve"> por objeto de gasto</w:t>
      </w:r>
    </w:p>
    <w:p w:rsidR="00236E18" w:rsidRPr="003F17D8" w:rsidRDefault="00236E18" w:rsidP="00236E18">
      <w:pPr>
        <w:keepNext/>
        <w:keepLines/>
        <w:autoSpaceDE w:val="0"/>
        <w:autoSpaceDN w:val="0"/>
        <w:jc w:val="center"/>
        <w:rPr>
          <w:i/>
          <w:sz w:val="20"/>
          <w:highlight w:val="lightGray"/>
          <w:lang w:val="es-ES_tradnl"/>
        </w:rPr>
      </w:pPr>
      <w:r w:rsidRPr="003F17D8">
        <w:rPr>
          <w:i/>
          <w:sz w:val="20"/>
          <w:lang w:val="es-ES_tradnl"/>
        </w:rPr>
        <w:t>(</w:t>
      </w:r>
      <w:proofErr w:type="gramStart"/>
      <w:r w:rsidRPr="003F17D8">
        <w:rPr>
          <w:i/>
          <w:sz w:val="20"/>
          <w:lang w:val="es-ES_tradnl"/>
        </w:rPr>
        <w:t>en</w:t>
      </w:r>
      <w:proofErr w:type="gramEnd"/>
      <w:r w:rsidRPr="003F17D8">
        <w:rPr>
          <w:i/>
          <w:sz w:val="20"/>
          <w:lang w:val="es-ES_tradnl"/>
        </w:rPr>
        <w:t xml:space="preserve"> miles de francos suizos)</w:t>
      </w:r>
    </w:p>
    <w:p w:rsidR="00236E18" w:rsidRDefault="00236E18" w:rsidP="00236E18">
      <w:pPr>
        <w:keepNext/>
        <w:keepLines/>
        <w:autoSpaceDE w:val="0"/>
        <w:autoSpaceDN w:val="0"/>
        <w:jc w:val="center"/>
        <w:rPr>
          <w:i/>
          <w:sz w:val="20"/>
          <w:highlight w:val="lightGray"/>
          <w:lang w:val="es-ES_tradnl"/>
        </w:rPr>
      </w:pPr>
    </w:p>
    <w:p w:rsidR="00236E18" w:rsidRPr="005B580B" w:rsidRDefault="00236E18" w:rsidP="00236E18">
      <w:pPr>
        <w:keepNext/>
        <w:keepLines/>
        <w:autoSpaceDE w:val="0"/>
        <w:autoSpaceDN w:val="0"/>
        <w:jc w:val="center"/>
        <w:rPr>
          <w:i/>
          <w:sz w:val="20"/>
          <w:highlight w:val="lightGray"/>
          <w:lang w:val="es-ES_tradnl"/>
        </w:rPr>
      </w:pPr>
      <w:r>
        <w:rPr>
          <w:noProof/>
          <w:lang w:val="en-US" w:eastAsia="en-US"/>
        </w:rPr>
        <w:drawing>
          <wp:inline distT="0" distB="0" distL="0" distR="0" wp14:anchorId="458BF238" wp14:editId="24D82CE8">
            <wp:extent cx="5940425" cy="6004526"/>
            <wp:effectExtent l="0" t="0" r="3175" b="0"/>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0425" cy="6004526"/>
                    </a:xfrm>
                    <a:prstGeom prst="rect">
                      <a:avLst/>
                    </a:prstGeom>
                    <a:noFill/>
                    <a:ln>
                      <a:noFill/>
                    </a:ln>
                  </pic:spPr>
                </pic:pic>
              </a:graphicData>
            </a:graphic>
          </wp:inline>
        </w:drawing>
      </w:r>
    </w:p>
    <w:p w:rsidR="00236E18" w:rsidRPr="009B4A78" w:rsidRDefault="00236E18" w:rsidP="00236E18">
      <w:pPr>
        <w:jc w:val="center"/>
        <w:rPr>
          <w:bCs/>
          <w:sz w:val="20"/>
        </w:rPr>
      </w:pPr>
    </w:p>
    <w:p w:rsidR="00236E18" w:rsidRPr="009B4A78" w:rsidRDefault="00236E18" w:rsidP="00236E18">
      <w:pPr>
        <w:jc w:val="both"/>
        <w:rPr>
          <w:bCs/>
          <w:sz w:val="20"/>
        </w:rPr>
      </w:pPr>
    </w:p>
    <w:p w:rsidR="00236E18" w:rsidRPr="009B4A78" w:rsidRDefault="00236E18" w:rsidP="00236E18">
      <w:pPr>
        <w:jc w:val="both"/>
        <w:rPr>
          <w:bCs/>
          <w:sz w:val="20"/>
        </w:rPr>
      </w:pPr>
    </w:p>
    <w:p w:rsidR="00236E18" w:rsidRPr="00D33788" w:rsidRDefault="00236E18" w:rsidP="00236E18">
      <w:pPr>
        <w:jc w:val="both"/>
        <w:rPr>
          <w:bCs/>
          <w:szCs w:val="22"/>
        </w:rPr>
      </w:pPr>
    </w:p>
    <w:p w:rsidR="00236E18" w:rsidRDefault="00236E18" w:rsidP="00236E18">
      <w:pPr>
        <w:rPr>
          <w:szCs w:val="22"/>
          <w:lang w:val="en-US"/>
        </w:rPr>
        <w:sectPr w:rsidR="00236E18" w:rsidSect="00080272">
          <w:headerReference w:type="first" r:id="rId59"/>
          <w:pgSz w:w="11907" w:h="16840" w:code="9"/>
          <w:pgMar w:top="567" w:right="1134" w:bottom="1134" w:left="1418" w:header="510" w:footer="1021" w:gutter="0"/>
          <w:cols w:space="720"/>
          <w:titlePg/>
          <w:docGrid w:linePitch="299"/>
        </w:sectPr>
      </w:pPr>
    </w:p>
    <w:p w:rsidR="00236E18" w:rsidRPr="006C3FFE" w:rsidRDefault="00236E18" w:rsidP="00236E18">
      <w:pPr>
        <w:pStyle w:val="StyleStyleHeading3ComplexItalicLatin12pt"/>
        <w:tabs>
          <w:tab w:val="clear" w:pos="1985"/>
          <w:tab w:val="left" w:pos="-142"/>
          <w:tab w:val="left" w:pos="3119"/>
        </w:tabs>
        <w:ind w:left="3119" w:hanging="3119"/>
        <w:rPr>
          <w:rStyle w:val="StyleStyleHeading3ComplexItalicLatin12ptChar"/>
          <w:rFonts w:eastAsia="SimSun"/>
          <w:b/>
          <w:lang w:val="es-ES_tradnl"/>
        </w:rPr>
      </w:pPr>
      <w:bookmarkStart w:id="44" w:name="_Toc367350576"/>
      <w:bookmarkStart w:id="45" w:name="_Toc419283245"/>
      <w:bookmarkStart w:id="46" w:name="_Toc431573543"/>
      <w:bookmarkStart w:id="47" w:name="_Toc431573944"/>
      <w:r w:rsidRPr="006C3FFE">
        <w:rPr>
          <w:rStyle w:val="StyleStyleHeading3ComplexItalicLatin12ptChar"/>
          <w:rFonts w:eastAsia="SimSun"/>
          <w:b/>
          <w:lang w:val="es-ES_tradnl"/>
        </w:rPr>
        <w:lastRenderedPageBreak/>
        <w:t>META ESTRATÉGICA II</w:t>
      </w:r>
      <w:r w:rsidRPr="006C3FFE">
        <w:rPr>
          <w:rStyle w:val="StyleStyleHeading3ComplexItalicLatin12ptChar"/>
          <w:rFonts w:eastAsia="SimSun"/>
          <w:b/>
          <w:lang w:val="es-ES_tradnl"/>
        </w:rPr>
        <w:tab/>
      </w:r>
      <w:bookmarkEnd w:id="44"/>
      <w:bookmarkEnd w:id="45"/>
      <w:r w:rsidRPr="006C3FFE">
        <w:rPr>
          <w:rStyle w:val="StyleStyleHeading3ComplexItalicLatin12ptChar"/>
          <w:rFonts w:eastAsia="SimSun"/>
          <w:b/>
          <w:lang w:val="es-ES_tradnl"/>
        </w:rPr>
        <w:t>PRESTACIÓN DE SERVICIOS MUNDIALES DE P.I. DE CALIDAD</w:t>
      </w:r>
      <w:bookmarkEnd w:id="46"/>
      <w:bookmarkEnd w:id="47"/>
    </w:p>
    <w:p w:rsidR="00236E18" w:rsidRDefault="00236E18" w:rsidP="00236E18">
      <w:pPr>
        <w:rPr>
          <w:bCs/>
          <w:caps/>
          <w:sz w:val="20"/>
          <w:highlight w:val="lightGray"/>
          <w:lang w:val="es-ES_tradnl"/>
        </w:rPr>
      </w:pPr>
    </w:p>
    <w:p w:rsidR="00236E18" w:rsidRPr="00CE4183" w:rsidRDefault="00236E18" w:rsidP="00236E18">
      <w:pPr>
        <w:rPr>
          <w:bCs/>
          <w:caps/>
          <w:sz w:val="20"/>
          <w:highlight w:val="lightGray"/>
          <w:lang w:val="es-ES_tradnl"/>
        </w:rPr>
      </w:pPr>
    </w:p>
    <w:p w:rsidR="00236E18" w:rsidRPr="00CF552A" w:rsidRDefault="00236E18" w:rsidP="00236E18">
      <w:pPr>
        <w:autoSpaceDE w:val="0"/>
        <w:autoSpaceDN w:val="0"/>
        <w:adjustRightInd w:val="0"/>
        <w:jc w:val="both"/>
        <w:rPr>
          <w:sz w:val="20"/>
          <w:highlight w:val="lightGray"/>
          <w:lang w:val="es-ES_tradnl"/>
        </w:rPr>
      </w:pPr>
      <w:r w:rsidRPr="00CF552A">
        <w:rPr>
          <w:sz w:val="20"/>
          <w:lang w:val="es-ES_tradnl"/>
        </w:rPr>
        <w:t>Esta meta estratégica engloba los principales servicios de la OMPI, que son también las principales fuentes de ingresos de la Organización.  Su finalidad es velar por que los sistemas mundiales y servicios alternativos de solución de controversias sean la opción número uno de los usuarios, ofreciendo con ese fin servicios interesantes y rentables que les aporten valor añadido.</w:t>
      </w:r>
    </w:p>
    <w:p w:rsidR="00236E18" w:rsidRPr="00CE4183" w:rsidRDefault="00236E18" w:rsidP="00236E18">
      <w:pPr>
        <w:rPr>
          <w:sz w:val="20"/>
          <w:highlight w:val="lightGray"/>
          <w:lang w:val="es-ES_tradn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73"/>
        <w:gridCol w:w="3628"/>
        <w:gridCol w:w="2492"/>
      </w:tblGrid>
      <w:tr w:rsidR="00236E18" w:rsidRPr="00662D9E" w:rsidTr="00294272">
        <w:trPr>
          <w:cantSplit/>
          <w:tblHeader/>
        </w:trPr>
        <w:tc>
          <w:tcPr>
            <w:tcW w:w="1707" w:type="pct"/>
            <w:tcBorders>
              <w:top w:val="single" w:sz="4" w:space="0" w:color="auto"/>
              <w:bottom w:val="single" w:sz="4" w:space="0" w:color="auto"/>
            </w:tcBorders>
            <w:shd w:val="clear" w:color="auto" w:fill="C6D9F1" w:themeFill="text2" w:themeFillTint="33"/>
            <w:tcMar>
              <w:top w:w="85" w:type="dxa"/>
              <w:bottom w:w="85" w:type="dxa"/>
            </w:tcMar>
            <w:vAlign w:val="center"/>
          </w:tcPr>
          <w:p w:rsidR="00236E18" w:rsidRPr="00662D9E" w:rsidRDefault="00236E18" w:rsidP="00294272">
            <w:pPr>
              <w:spacing w:after="120"/>
              <w:jc w:val="center"/>
              <w:rPr>
                <w:b/>
                <w:bCs/>
                <w:sz w:val="18"/>
                <w:szCs w:val="18"/>
              </w:rPr>
            </w:pPr>
            <w:r w:rsidRPr="00662D9E">
              <w:rPr>
                <w:b/>
                <w:bCs/>
                <w:sz w:val="18"/>
                <w:szCs w:val="18"/>
                <w:lang w:val="es-ES_tradnl"/>
              </w:rPr>
              <w:t>Resultados previstos</w:t>
            </w:r>
          </w:p>
        </w:tc>
        <w:tc>
          <w:tcPr>
            <w:tcW w:w="1952" w:type="pct"/>
            <w:tcBorders>
              <w:top w:val="single" w:sz="4" w:space="0" w:color="auto"/>
              <w:bottom w:val="single" w:sz="4" w:space="0" w:color="auto"/>
            </w:tcBorders>
            <w:shd w:val="clear" w:color="auto" w:fill="C6D9F1" w:themeFill="text2" w:themeFillTint="33"/>
            <w:tcMar>
              <w:top w:w="85" w:type="dxa"/>
              <w:bottom w:w="85" w:type="dxa"/>
            </w:tcMar>
            <w:vAlign w:val="center"/>
          </w:tcPr>
          <w:p w:rsidR="00236E18" w:rsidRPr="00662D9E" w:rsidRDefault="00236E18" w:rsidP="00294272">
            <w:pPr>
              <w:spacing w:after="120"/>
              <w:jc w:val="center"/>
              <w:rPr>
                <w:b/>
                <w:sz w:val="18"/>
                <w:szCs w:val="18"/>
              </w:rPr>
            </w:pPr>
            <w:r w:rsidRPr="00662D9E">
              <w:rPr>
                <w:b/>
                <w:sz w:val="18"/>
                <w:szCs w:val="18"/>
                <w:lang w:val="es-ES_tradnl"/>
              </w:rPr>
              <w:t>Indicadores de rendimiento</w:t>
            </w:r>
          </w:p>
        </w:tc>
        <w:tc>
          <w:tcPr>
            <w:tcW w:w="1341" w:type="pct"/>
            <w:tcBorders>
              <w:top w:val="single" w:sz="4" w:space="0" w:color="auto"/>
              <w:bottom w:val="single" w:sz="4" w:space="0" w:color="auto"/>
            </w:tcBorders>
            <w:shd w:val="clear" w:color="auto" w:fill="C6D9F1" w:themeFill="text2" w:themeFillTint="33"/>
            <w:tcMar>
              <w:top w:w="85" w:type="dxa"/>
              <w:bottom w:w="85" w:type="dxa"/>
            </w:tcMar>
            <w:vAlign w:val="center"/>
          </w:tcPr>
          <w:p w:rsidR="00236E18" w:rsidRPr="00662D9E" w:rsidRDefault="00236E18" w:rsidP="00294272">
            <w:pPr>
              <w:spacing w:after="120"/>
              <w:ind w:left="85"/>
              <w:jc w:val="center"/>
              <w:rPr>
                <w:sz w:val="18"/>
                <w:szCs w:val="18"/>
              </w:rPr>
            </w:pPr>
            <w:r w:rsidRPr="00662D9E">
              <w:rPr>
                <w:b/>
                <w:sz w:val="18"/>
                <w:szCs w:val="18"/>
                <w:lang w:val="es-ES_tradnl"/>
              </w:rPr>
              <w:t>Programas responsables</w:t>
            </w:r>
          </w:p>
        </w:tc>
      </w:tr>
      <w:tr w:rsidR="00236E18" w:rsidRPr="00662D9E" w:rsidTr="00294272">
        <w:trPr>
          <w:cantSplit/>
        </w:trPr>
        <w:tc>
          <w:tcPr>
            <w:tcW w:w="1707"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 xml:space="preserve">II.1  </w:t>
            </w:r>
            <w:r w:rsidRPr="00ED0A05">
              <w:rPr>
                <w:sz w:val="16"/>
                <w:szCs w:val="16"/>
                <w:lang w:val="es-ES_tradnl"/>
              </w:rPr>
              <w:t>Mayor y más eficaz utilización del Sistema del PCT para presentar solicitudes internacionales de patentes</w:t>
            </w: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Nivel de satisfacción de los usuarios del PCT respecto de los servicios, específicos del PCT, de asesoramiento jurídico, información, formación y de atención al cliente.</w:t>
            </w:r>
          </w:p>
        </w:tc>
        <w:tc>
          <w:tcPr>
            <w:tcW w:w="1341" w:type="pct"/>
            <w:shd w:val="clear" w:color="auto" w:fill="FFFFFF"/>
            <w:tcMar>
              <w:top w:w="85" w:type="dxa"/>
              <w:bottom w:w="85" w:type="dxa"/>
            </w:tcMar>
          </w:tcPr>
          <w:p w:rsidR="00236E18" w:rsidRPr="00662D9E" w:rsidRDefault="00236E18" w:rsidP="00294272">
            <w:pPr>
              <w:ind w:left="441"/>
              <w:rPr>
                <w:sz w:val="16"/>
                <w:szCs w:val="16"/>
              </w:rPr>
            </w:pPr>
            <w:r w:rsidRPr="00662D9E">
              <w:rPr>
                <w:sz w:val="16"/>
                <w:szCs w:val="16"/>
                <w:lang w:val="es-ES_tradnl"/>
              </w:rPr>
              <w:t>Programa 5</w:t>
            </w:r>
          </w:p>
        </w:tc>
      </w:tr>
      <w:tr w:rsidR="00236E18" w:rsidRPr="00662D9E" w:rsidTr="00294272">
        <w:trPr>
          <w:cantSplit/>
          <w:trHeight w:val="112"/>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Satisfacción de las oficinas y las Administraciones internacionales con las actividades de cooperación en el marco del PCT.</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5</w:t>
            </w:r>
          </w:p>
        </w:tc>
      </w:tr>
      <w:tr w:rsidR="00236E18" w:rsidRPr="00662D9E" w:rsidTr="00294272">
        <w:trPr>
          <w:cantSplit/>
          <w:trHeight w:val="112"/>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Desarrollo continuo del sistema del PCT, sobre todo gracias a la aplicación de las recomendaciones de la hoja de ruta del PCT suscritas por los Estados miembros del PCT.</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5</w:t>
            </w:r>
          </w:p>
        </w:tc>
      </w:tr>
      <w:tr w:rsidR="00236E18" w:rsidRPr="00662D9E" w:rsidTr="00294272">
        <w:trPr>
          <w:cantSplit/>
          <w:trHeight w:val="112"/>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Mejora de los servicios electrónicos dirigidos a solicitantes, terceros, oficinas y Administraciones.</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5</w:t>
            </w:r>
            <w:r w:rsidRPr="00662D9E">
              <w:rPr>
                <w:sz w:val="16"/>
                <w:szCs w:val="16"/>
                <w:lang w:bidi="th-TH"/>
              </w:rPr>
              <w:t xml:space="preserve"> </w:t>
            </w:r>
          </w:p>
        </w:tc>
      </w:tr>
      <w:tr w:rsidR="00236E18" w:rsidRPr="00662D9E" w:rsidTr="00294272">
        <w:trPr>
          <w:cantSplit/>
          <w:trHeight w:val="311"/>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N</w:t>
            </w:r>
            <w:r>
              <w:rPr>
                <w:sz w:val="16"/>
                <w:szCs w:val="16"/>
                <w:lang w:val="es-ES_tradnl"/>
              </w:rPr>
              <w:t>º</w:t>
            </w:r>
            <w:r w:rsidRPr="00662D9E">
              <w:rPr>
                <w:sz w:val="16"/>
                <w:szCs w:val="16"/>
                <w:lang w:val="es-ES_tradnl"/>
              </w:rPr>
              <w:t xml:space="preserve"> de solicitudes PCT procedentes de países </w:t>
            </w:r>
            <w:r>
              <w:rPr>
                <w:sz w:val="16"/>
                <w:szCs w:val="16"/>
                <w:lang w:val="es-ES_tradnl"/>
              </w:rPr>
              <w:t>en transición y desarrollados</w:t>
            </w:r>
            <w:r w:rsidRPr="00662D9E">
              <w:rPr>
                <w:sz w:val="16"/>
                <w:szCs w:val="16"/>
                <w:lang w:val="es-ES_tradnl"/>
              </w:rPr>
              <w:t>.</w:t>
            </w:r>
          </w:p>
        </w:tc>
        <w:tc>
          <w:tcPr>
            <w:tcW w:w="1341" w:type="pct"/>
            <w:shd w:val="clear" w:color="auto" w:fill="FFFFFF"/>
            <w:tcMar>
              <w:top w:w="85" w:type="dxa"/>
              <w:bottom w:w="85" w:type="dxa"/>
            </w:tcMar>
          </w:tcPr>
          <w:p w:rsidR="00236E18" w:rsidRDefault="00236E18" w:rsidP="00294272">
            <w:pPr>
              <w:ind w:left="441"/>
              <w:rPr>
                <w:sz w:val="16"/>
                <w:szCs w:val="16"/>
                <w:lang w:val="es-ES_tradnl" w:bidi="th-TH"/>
              </w:rPr>
            </w:pPr>
            <w:r>
              <w:rPr>
                <w:sz w:val="16"/>
                <w:szCs w:val="16"/>
                <w:lang w:val="es-ES_tradnl" w:bidi="th-TH"/>
              </w:rPr>
              <w:t>Programa 9</w:t>
            </w:r>
          </w:p>
          <w:p w:rsidR="00236E18" w:rsidRPr="00662D9E" w:rsidRDefault="00236E18" w:rsidP="00294272">
            <w:pPr>
              <w:ind w:left="441"/>
              <w:rPr>
                <w:sz w:val="16"/>
                <w:szCs w:val="16"/>
                <w:lang w:bidi="th-TH"/>
              </w:rPr>
            </w:pPr>
            <w:r w:rsidRPr="00662D9E">
              <w:rPr>
                <w:sz w:val="16"/>
                <w:szCs w:val="16"/>
                <w:lang w:val="es-ES_tradnl" w:bidi="th-TH"/>
              </w:rPr>
              <w:t>Programa 10</w:t>
            </w:r>
          </w:p>
          <w:p w:rsidR="00236E18" w:rsidRPr="00662D9E" w:rsidRDefault="00236E18" w:rsidP="00294272">
            <w:pPr>
              <w:ind w:left="441"/>
              <w:rPr>
                <w:sz w:val="16"/>
                <w:szCs w:val="16"/>
                <w:lang w:bidi="th-TH"/>
              </w:rPr>
            </w:pPr>
            <w:r w:rsidRPr="00662D9E">
              <w:rPr>
                <w:sz w:val="16"/>
                <w:szCs w:val="16"/>
                <w:lang w:val="es-ES_tradnl" w:bidi="th-TH"/>
              </w:rPr>
              <w:t>Programa 20</w:t>
            </w:r>
            <w:r w:rsidRPr="00662D9E">
              <w:rPr>
                <w:sz w:val="16"/>
                <w:szCs w:val="16"/>
                <w:lang w:bidi="th-TH"/>
              </w:rPr>
              <w:t xml:space="preserve"> </w:t>
            </w:r>
          </w:p>
        </w:tc>
      </w:tr>
      <w:tr w:rsidR="00236E18" w:rsidRPr="00662D9E" w:rsidTr="00294272">
        <w:trPr>
          <w:cantSplit/>
          <w:trHeight w:val="311"/>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Pr>
                <w:sz w:val="16"/>
                <w:szCs w:val="16"/>
                <w:lang w:val="es-ES_tradnl"/>
              </w:rPr>
              <w:t>Nº</w:t>
            </w:r>
            <w:r w:rsidRPr="00662D9E">
              <w:rPr>
                <w:sz w:val="16"/>
                <w:szCs w:val="16"/>
                <w:lang w:val="es-ES_tradnl"/>
              </w:rPr>
              <w:t xml:space="preserve"> de encuestados que muestra un uso más asiduo de los servicios de la OMPI en los 6 meses posteriores a su participación en los seminarios itinerantes sobre los servicios y las iniciativas de la OMPI.</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10</w:t>
            </w:r>
          </w:p>
        </w:tc>
      </w:tr>
      <w:tr w:rsidR="00236E18" w:rsidRPr="00662D9E" w:rsidTr="00294272">
        <w:trPr>
          <w:cantSplit/>
          <w:trHeight w:val="672"/>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Porcentaje de encargados de la adopción de políticas, funcionarios gubernamentales, profesionales de la P.I. y participantes en talleres con un mayor conocimiento del PCT y los temas conexos.</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20</w:t>
            </w:r>
          </w:p>
        </w:tc>
      </w:tr>
      <w:tr w:rsidR="00236E18" w:rsidRPr="00662D9E" w:rsidTr="00294272">
        <w:trPr>
          <w:cantSplit/>
          <w:trHeight w:val="45"/>
        </w:trPr>
        <w:tc>
          <w:tcPr>
            <w:tcW w:w="1707" w:type="pct"/>
            <w:shd w:val="clear" w:color="auto" w:fill="auto"/>
            <w:tcMar>
              <w:top w:w="85" w:type="dxa"/>
              <w:bottom w:w="85" w:type="dxa"/>
            </w:tcMar>
          </w:tcPr>
          <w:p w:rsidR="00236E18" w:rsidRPr="00ED0A05" w:rsidRDefault="00236E18" w:rsidP="00294272">
            <w:pPr>
              <w:rPr>
                <w:sz w:val="16"/>
                <w:szCs w:val="16"/>
              </w:rPr>
            </w:pPr>
            <w:r w:rsidRPr="00ED0A05">
              <w:rPr>
                <w:sz w:val="16"/>
                <w:szCs w:val="16"/>
                <w:lang w:val="es-ES_tradnl"/>
              </w:rPr>
              <w:t>II.3  Mejora de la productividad y de la calidad de los servicios en las operaciones del PCT</w:t>
            </w: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Costo unitario de tramitación de las solicitudes.</w:t>
            </w:r>
          </w:p>
          <w:p w:rsidR="00236E18" w:rsidRPr="00662D9E" w:rsidRDefault="00236E18" w:rsidP="00294272">
            <w:pPr>
              <w:rPr>
                <w:sz w:val="16"/>
                <w:szCs w:val="16"/>
                <w:lang w:val="es-ES_tradnl"/>
              </w:rPr>
            </w:pPr>
          </w:p>
          <w:p w:rsidR="00236E18" w:rsidRPr="00662D9E" w:rsidRDefault="00236E18" w:rsidP="00294272">
            <w:pPr>
              <w:rPr>
                <w:sz w:val="16"/>
                <w:szCs w:val="16"/>
              </w:rPr>
            </w:pPr>
            <w:r w:rsidRPr="00662D9E">
              <w:rPr>
                <w:sz w:val="16"/>
                <w:szCs w:val="16"/>
                <w:lang w:val="es-ES_tradnl"/>
              </w:rPr>
              <w:t>Calidad global del examen de forma (incluido el tiempo empleado).</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5</w:t>
            </w:r>
            <w:r w:rsidRPr="00662D9E">
              <w:rPr>
                <w:sz w:val="16"/>
                <w:szCs w:val="16"/>
                <w:lang w:bidi="th-TH"/>
              </w:rPr>
              <w:t xml:space="preserve"> </w:t>
            </w:r>
          </w:p>
          <w:p w:rsidR="00236E18" w:rsidRPr="00662D9E" w:rsidRDefault="00236E18" w:rsidP="00294272">
            <w:pPr>
              <w:ind w:left="441"/>
              <w:rPr>
                <w:sz w:val="16"/>
                <w:szCs w:val="16"/>
                <w:lang w:bidi="th-TH"/>
              </w:rPr>
            </w:pPr>
          </w:p>
          <w:p w:rsidR="00236E18" w:rsidRPr="00662D9E" w:rsidRDefault="00236E18" w:rsidP="00294272">
            <w:pPr>
              <w:ind w:left="441"/>
              <w:rPr>
                <w:sz w:val="16"/>
                <w:szCs w:val="16"/>
                <w:lang w:bidi="th-TH"/>
              </w:rPr>
            </w:pPr>
            <w:r w:rsidRPr="00662D9E">
              <w:rPr>
                <w:sz w:val="16"/>
                <w:szCs w:val="16"/>
                <w:lang w:val="es-ES_tradnl" w:bidi="th-TH"/>
              </w:rPr>
              <w:t>Programa 5</w:t>
            </w:r>
          </w:p>
        </w:tc>
      </w:tr>
      <w:tr w:rsidR="00236E18" w:rsidRPr="00662D9E" w:rsidTr="00294272">
        <w:trPr>
          <w:cantSplit/>
          <w:trHeight w:val="201"/>
        </w:trPr>
        <w:tc>
          <w:tcPr>
            <w:tcW w:w="1707" w:type="pct"/>
            <w:shd w:val="clear" w:color="auto" w:fill="auto"/>
            <w:tcMar>
              <w:top w:w="85" w:type="dxa"/>
              <w:bottom w:w="85" w:type="dxa"/>
            </w:tcMar>
          </w:tcPr>
          <w:p w:rsidR="00236E18" w:rsidRPr="00ED0A05"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Tiempo necesario para la traducción de los informes.</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5</w:t>
            </w:r>
          </w:p>
        </w:tc>
      </w:tr>
      <w:tr w:rsidR="00236E18" w:rsidRPr="00662D9E" w:rsidTr="00294272">
        <w:trPr>
          <w:cantSplit/>
          <w:trHeight w:val="156"/>
        </w:trPr>
        <w:tc>
          <w:tcPr>
            <w:tcW w:w="1707" w:type="pct"/>
            <w:shd w:val="clear" w:color="auto" w:fill="auto"/>
            <w:tcMar>
              <w:top w:w="85" w:type="dxa"/>
              <w:bottom w:w="85" w:type="dxa"/>
            </w:tcMar>
          </w:tcPr>
          <w:p w:rsidR="00236E18" w:rsidRPr="00ED0A05"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tabs>
                <w:tab w:val="left" w:pos="1860"/>
              </w:tabs>
              <w:rPr>
                <w:sz w:val="16"/>
                <w:szCs w:val="16"/>
              </w:rPr>
            </w:pPr>
            <w:r w:rsidRPr="00662D9E">
              <w:rPr>
                <w:sz w:val="16"/>
                <w:szCs w:val="16"/>
                <w:lang w:val="es-ES_tradnl"/>
              </w:rPr>
              <w:t>Calidad de las traducciones.</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5</w:t>
            </w:r>
          </w:p>
        </w:tc>
      </w:tr>
      <w:tr w:rsidR="00236E18" w:rsidRPr="00662D9E" w:rsidTr="00294272">
        <w:trPr>
          <w:cantSplit/>
          <w:trHeight w:val="177"/>
        </w:trPr>
        <w:tc>
          <w:tcPr>
            <w:tcW w:w="1707" w:type="pct"/>
            <w:shd w:val="clear" w:color="auto" w:fill="auto"/>
            <w:tcMar>
              <w:top w:w="85" w:type="dxa"/>
              <w:bottom w:w="85" w:type="dxa"/>
            </w:tcMar>
          </w:tcPr>
          <w:p w:rsidR="00236E18" w:rsidRPr="00ED0A05"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Calidad del desarrollo de programas informáticos.</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5</w:t>
            </w:r>
          </w:p>
        </w:tc>
      </w:tr>
      <w:tr w:rsidR="00236E18" w:rsidRPr="00662D9E" w:rsidTr="00294272">
        <w:trPr>
          <w:cantSplit/>
          <w:trHeight w:val="40"/>
        </w:trPr>
        <w:tc>
          <w:tcPr>
            <w:tcW w:w="1707" w:type="pct"/>
            <w:shd w:val="clear" w:color="auto" w:fill="auto"/>
            <w:tcMar>
              <w:top w:w="85" w:type="dxa"/>
              <w:bottom w:w="85" w:type="dxa"/>
            </w:tcMar>
          </w:tcPr>
          <w:p w:rsidR="00236E18" w:rsidRPr="00ED0A05"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Niveles de los servicios prestados por los sistemas de información.</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5</w:t>
            </w:r>
          </w:p>
        </w:tc>
      </w:tr>
      <w:tr w:rsidR="00236E18" w:rsidRPr="00662D9E" w:rsidTr="00294272">
        <w:trPr>
          <w:cantSplit/>
          <w:trHeight w:val="738"/>
        </w:trPr>
        <w:tc>
          <w:tcPr>
            <w:tcW w:w="1707" w:type="pct"/>
            <w:shd w:val="clear" w:color="auto" w:fill="auto"/>
            <w:tcMar>
              <w:top w:w="85" w:type="dxa"/>
              <w:bottom w:w="85" w:type="dxa"/>
            </w:tcMar>
          </w:tcPr>
          <w:p w:rsidR="00236E18" w:rsidRPr="00ED0A05" w:rsidRDefault="00236E18" w:rsidP="00294272">
            <w:pPr>
              <w:rPr>
                <w:sz w:val="16"/>
                <w:szCs w:val="16"/>
              </w:rPr>
            </w:pPr>
            <w:r w:rsidRPr="00ED0A05">
              <w:rPr>
                <w:sz w:val="16"/>
                <w:szCs w:val="16"/>
                <w:lang w:val="es-ES_tradnl"/>
              </w:rPr>
              <w:t>II.4  Mayor y más eficaz utilización del Sistema de La Haya, entre otros por los países en desarrollo y los PMA</w:t>
            </w: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N</w:t>
            </w:r>
            <w:r>
              <w:rPr>
                <w:sz w:val="16"/>
                <w:szCs w:val="16"/>
                <w:lang w:val="es-ES_tradnl"/>
              </w:rPr>
              <w:t>º</w:t>
            </w:r>
            <w:r w:rsidRPr="00662D9E">
              <w:rPr>
                <w:sz w:val="16"/>
                <w:szCs w:val="16"/>
                <w:lang w:val="es-ES_tradnl"/>
              </w:rPr>
              <w:t xml:space="preserve"> de solicitudes presentadas en el marco del Sistema de La Haya procedentes de países </w:t>
            </w:r>
            <w:r>
              <w:rPr>
                <w:sz w:val="16"/>
                <w:szCs w:val="16"/>
                <w:lang w:val="es-ES_tradnl"/>
              </w:rPr>
              <w:t>en transición, desarrollados</w:t>
            </w:r>
            <w:r w:rsidRPr="00662D9E">
              <w:rPr>
                <w:sz w:val="16"/>
                <w:szCs w:val="16"/>
                <w:lang w:val="es-ES_tradnl"/>
              </w:rPr>
              <w:t xml:space="preserve"> y en desarrollo.</w:t>
            </w:r>
          </w:p>
          <w:p w:rsidR="00236E18" w:rsidRPr="00662D9E" w:rsidRDefault="00236E18" w:rsidP="00294272">
            <w:pPr>
              <w:rPr>
                <w:sz w:val="16"/>
                <w:szCs w:val="16"/>
              </w:rPr>
            </w:pPr>
          </w:p>
        </w:tc>
        <w:tc>
          <w:tcPr>
            <w:tcW w:w="1341" w:type="pct"/>
            <w:shd w:val="clear" w:color="auto" w:fill="FFFFFF"/>
            <w:tcMar>
              <w:top w:w="85" w:type="dxa"/>
              <w:bottom w:w="85" w:type="dxa"/>
            </w:tcMar>
          </w:tcPr>
          <w:p w:rsidR="00236E18" w:rsidRDefault="00236E18" w:rsidP="00294272">
            <w:pPr>
              <w:ind w:left="441"/>
              <w:rPr>
                <w:sz w:val="16"/>
                <w:szCs w:val="16"/>
                <w:lang w:val="es-ES_tradnl" w:bidi="th-TH"/>
              </w:rPr>
            </w:pPr>
            <w:r>
              <w:rPr>
                <w:sz w:val="16"/>
                <w:szCs w:val="16"/>
                <w:lang w:val="es-ES_tradnl" w:bidi="th-TH"/>
              </w:rPr>
              <w:t>Programa 9</w:t>
            </w:r>
          </w:p>
          <w:p w:rsidR="00236E18" w:rsidRPr="00662D9E" w:rsidRDefault="00236E18" w:rsidP="00294272">
            <w:pPr>
              <w:ind w:left="441"/>
              <w:rPr>
                <w:sz w:val="16"/>
                <w:szCs w:val="16"/>
                <w:lang w:bidi="th-TH"/>
              </w:rPr>
            </w:pPr>
            <w:r w:rsidRPr="00662D9E">
              <w:rPr>
                <w:sz w:val="16"/>
                <w:szCs w:val="16"/>
                <w:lang w:val="es-ES_tradnl" w:bidi="th-TH"/>
              </w:rPr>
              <w:t>Programa 10</w:t>
            </w:r>
            <w:r w:rsidRPr="00662D9E">
              <w:rPr>
                <w:sz w:val="16"/>
                <w:szCs w:val="16"/>
                <w:lang w:bidi="th-TH"/>
              </w:rPr>
              <w:t xml:space="preserve"> </w:t>
            </w:r>
          </w:p>
          <w:p w:rsidR="00236E18" w:rsidRPr="00662D9E" w:rsidRDefault="00236E18" w:rsidP="00294272">
            <w:pPr>
              <w:ind w:left="441"/>
              <w:rPr>
                <w:sz w:val="16"/>
                <w:szCs w:val="16"/>
                <w:lang w:bidi="th-TH"/>
              </w:rPr>
            </w:pPr>
            <w:r w:rsidRPr="00662D9E">
              <w:rPr>
                <w:sz w:val="16"/>
                <w:szCs w:val="16"/>
                <w:lang w:val="es-ES_tradnl" w:bidi="th-TH"/>
              </w:rPr>
              <w:t>Programa 20</w:t>
            </w:r>
          </w:p>
        </w:tc>
      </w:tr>
      <w:tr w:rsidR="00236E18" w:rsidRPr="00662D9E" w:rsidTr="00294272">
        <w:trPr>
          <w:cantSplit/>
          <w:trHeight w:val="241"/>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N</w:t>
            </w:r>
            <w:r>
              <w:rPr>
                <w:sz w:val="16"/>
                <w:szCs w:val="16"/>
                <w:lang w:val="es-ES_tradnl"/>
              </w:rPr>
              <w:t>º</w:t>
            </w:r>
            <w:r w:rsidRPr="00662D9E">
              <w:rPr>
                <w:sz w:val="16"/>
                <w:szCs w:val="16"/>
                <w:lang w:val="es-ES_tradnl"/>
              </w:rPr>
              <w:t xml:space="preserve"> de miembros del Acta de Ginebra (1999).</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20</w:t>
            </w:r>
            <w:r w:rsidRPr="00662D9E">
              <w:rPr>
                <w:sz w:val="16"/>
                <w:szCs w:val="16"/>
                <w:lang w:bidi="th-TH"/>
              </w:rPr>
              <w:t xml:space="preserve"> </w:t>
            </w:r>
          </w:p>
          <w:p w:rsidR="00236E18" w:rsidRPr="00662D9E" w:rsidRDefault="00236E18" w:rsidP="00294272">
            <w:pPr>
              <w:ind w:left="441"/>
              <w:rPr>
                <w:sz w:val="16"/>
                <w:szCs w:val="16"/>
                <w:lang w:bidi="th-TH"/>
              </w:rPr>
            </w:pPr>
            <w:r w:rsidRPr="00662D9E">
              <w:rPr>
                <w:sz w:val="16"/>
                <w:szCs w:val="16"/>
                <w:lang w:val="es-ES_tradnl" w:bidi="th-TH"/>
              </w:rPr>
              <w:t>Programa 31</w:t>
            </w:r>
          </w:p>
        </w:tc>
      </w:tr>
      <w:tr w:rsidR="00236E18" w:rsidRPr="00662D9E" w:rsidTr="00294272">
        <w:trPr>
          <w:cantSplit/>
          <w:trHeight w:val="156"/>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Porcentaje de encargados de la adopción de políticas, funcionarios gubernamentales, profesionales de la P.I. y participantes en talleres con un mayor conocimiento del sistema de La Haya.</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20</w:t>
            </w:r>
          </w:p>
        </w:tc>
      </w:tr>
      <w:tr w:rsidR="00236E18" w:rsidRPr="00662D9E" w:rsidTr="00294272">
        <w:trPr>
          <w:cantSplit/>
          <w:trHeight w:val="332"/>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Porcentaje de oficinas que proporcionan información a los usuarios sobre el Sistema de La Haya.</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31</w:t>
            </w:r>
          </w:p>
        </w:tc>
      </w:tr>
      <w:tr w:rsidR="00236E18" w:rsidRPr="00662D9E" w:rsidTr="00294272">
        <w:trPr>
          <w:cantSplit/>
          <w:trHeight w:val="178"/>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Solicitudes de registro y renovaciones en virtud del sistema de La Haya.</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31</w:t>
            </w:r>
          </w:p>
        </w:tc>
      </w:tr>
      <w:tr w:rsidR="00236E18" w:rsidRPr="00662D9E" w:rsidTr="00294272">
        <w:trPr>
          <w:cantSplit/>
          <w:trHeight w:val="22"/>
        </w:trPr>
        <w:tc>
          <w:tcPr>
            <w:tcW w:w="1707"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 xml:space="preserve">II.5  </w:t>
            </w:r>
            <w:r w:rsidRPr="00ED0A05">
              <w:rPr>
                <w:sz w:val="16"/>
                <w:szCs w:val="16"/>
                <w:lang w:val="es-ES_tradnl"/>
              </w:rPr>
              <w:t>Mejora de la productividad y de la calidad de los servicios en las operaciones del Sistema de La Haya</w:t>
            </w: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Predominio del Acta de Ginebra (1999) en el sistema de La Haya.</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31</w:t>
            </w:r>
          </w:p>
        </w:tc>
      </w:tr>
      <w:tr w:rsidR="00236E18" w:rsidRPr="00662D9E" w:rsidTr="00294272">
        <w:trPr>
          <w:cantSplit/>
          <w:trHeight w:val="448"/>
        </w:trPr>
        <w:tc>
          <w:tcPr>
            <w:tcW w:w="1707" w:type="pct"/>
            <w:shd w:val="clear" w:color="auto" w:fill="auto"/>
            <w:tcMar>
              <w:top w:w="85" w:type="dxa"/>
              <w:bottom w:w="85" w:type="dxa"/>
            </w:tcMar>
          </w:tcPr>
          <w:p w:rsidR="00236E18" w:rsidRPr="00662D9E" w:rsidRDefault="00236E18" w:rsidP="00294272">
            <w:pPr>
              <w:tabs>
                <w:tab w:val="right" w:pos="2835"/>
              </w:tabs>
              <w:spacing w:after="60"/>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Procesos y procedimientos adaptados a la evolución geográfica y jurídica del sistema.</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31</w:t>
            </w:r>
          </w:p>
        </w:tc>
      </w:tr>
      <w:tr w:rsidR="00236E18" w:rsidRPr="00662D9E" w:rsidTr="00294272">
        <w:trPr>
          <w:cantSplit/>
          <w:trHeight w:val="258"/>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Avances en la mejora del marco jurídico.</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31</w:t>
            </w:r>
          </w:p>
        </w:tc>
      </w:tr>
      <w:tr w:rsidR="00236E18" w:rsidRPr="00662D9E" w:rsidTr="00294272">
        <w:trPr>
          <w:cantSplit/>
          <w:trHeight w:val="324"/>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Mejora del funcionamiento del Registro de La Haya, incluidos los procesos y procedimientos electrónicos.</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31</w:t>
            </w:r>
          </w:p>
        </w:tc>
      </w:tr>
      <w:tr w:rsidR="00236E18" w:rsidRPr="00662D9E" w:rsidTr="00294272">
        <w:trPr>
          <w:cantSplit/>
          <w:trHeight w:val="149"/>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Flexibilidad de los datos inscritos en el Registro Internacional.</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31</w:t>
            </w:r>
          </w:p>
        </w:tc>
      </w:tr>
      <w:tr w:rsidR="00236E18" w:rsidRPr="00662D9E" w:rsidTr="00294272">
        <w:trPr>
          <w:cantSplit/>
          <w:trHeight w:val="149"/>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Mejora continuada de las funciones auxiliares de gestión  de los servicios informáticos del Sistema de la Haya</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31</w:t>
            </w:r>
          </w:p>
        </w:tc>
      </w:tr>
      <w:tr w:rsidR="00236E18" w:rsidRPr="00662D9E" w:rsidTr="00294272">
        <w:trPr>
          <w:cantSplit/>
          <w:trHeight w:val="303"/>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Flexibilidad de los datos inscritos en el Registro Internacional.</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31</w:t>
            </w:r>
          </w:p>
        </w:tc>
      </w:tr>
      <w:tr w:rsidR="00236E18" w:rsidRPr="00662D9E" w:rsidTr="00294272">
        <w:trPr>
          <w:cantSplit/>
          <w:trHeight w:val="149"/>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3 versiones instaladas de DIRIS y 3 versiones instaladas del sistema de presentación electrónica de solicitudes del Sistema de La Haya.</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31</w:t>
            </w:r>
          </w:p>
        </w:tc>
      </w:tr>
      <w:tr w:rsidR="00236E18" w:rsidRPr="00662D9E" w:rsidTr="00294272">
        <w:trPr>
          <w:cantSplit/>
          <w:trHeight w:val="149"/>
        </w:trPr>
        <w:tc>
          <w:tcPr>
            <w:tcW w:w="1707"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 xml:space="preserve">II. 6  </w:t>
            </w:r>
            <w:r w:rsidRPr="00ED0A05">
              <w:rPr>
                <w:sz w:val="16"/>
                <w:szCs w:val="16"/>
                <w:lang w:val="es-ES_tradnl"/>
              </w:rPr>
              <w:t>Mayor y más eficaz utilización del Sistema de Madrid, entre otros por los países en desarrollo y los PMA</w:t>
            </w: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N</w:t>
            </w:r>
            <w:r>
              <w:rPr>
                <w:sz w:val="16"/>
                <w:szCs w:val="16"/>
                <w:lang w:val="es-ES_tradnl"/>
              </w:rPr>
              <w:t>º</w:t>
            </w:r>
            <w:r w:rsidRPr="00662D9E">
              <w:rPr>
                <w:sz w:val="16"/>
                <w:szCs w:val="16"/>
                <w:lang w:val="es-ES_tradnl"/>
              </w:rPr>
              <w:t xml:space="preserve"> total de miembros de la Unión de Madrid.</w:t>
            </w:r>
            <w:r w:rsidRPr="00662D9E">
              <w:rPr>
                <w:sz w:val="16"/>
                <w:szCs w:val="16"/>
                <w:lang w:val="es-ES_tradnl"/>
              </w:rPr>
              <w:br/>
            </w:r>
            <w:r>
              <w:rPr>
                <w:sz w:val="16"/>
                <w:szCs w:val="16"/>
                <w:lang w:val="es-ES_tradnl"/>
              </w:rPr>
              <w:br/>
            </w:r>
          </w:p>
          <w:p w:rsidR="00236E18" w:rsidRPr="00662D9E" w:rsidRDefault="00236E18" w:rsidP="00294272">
            <w:pPr>
              <w:rPr>
                <w:sz w:val="16"/>
                <w:szCs w:val="16"/>
                <w:lang w:val="es-ES_tradnl"/>
              </w:rPr>
            </w:pPr>
            <w:r w:rsidRPr="00662D9E">
              <w:rPr>
                <w:sz w:val="16"/>
                <w:szCs w:val="16"/>
                <w:lang w:val="es-ES_tradnl"/>
              </w:rPr>
              <w:t>Cuota de mercado (es decir, vía nacional, en contraposición al Sistema de Madrid).</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p w:rsidR="00236E18" w:rsidRPr="00662D9E" w:rsidRDefault="00236E18" w:rsidP="00294272">
            <w:pPr>
              <w:ind w:left="441"/>
              <w:rPr>
                <w:sz w:val="16"/>
                <w:szCs w:val="16"/>
                <w:lang w:bidi="th-TH"/>
              </w:rPr>
            </w:pPr>
            <w:r w:rsidRPr="00662D9E">
              <w:rPr>
                <w:sz w:val="16"/>
                <w:szCs w:val="16"/>
                <w:lang w:val="es-ES_tradnl" w:bidi="th-TH"/>
              </w:rPr>
              <w:t>Programa 20</w:t>
            </w:r>
            <w:r w:rsidRPr="00662D9E">
              <w:rPr>
                <w:sz w:val="16"/>
                <w:szCs w:val="16"/>
                <w:lang w:bidi="th-TH"/>
              </w:rPr>
              <w:t xml:space="preserve"> </w:t>
            </w:r>
          </w:p>
          <w:p w:rsidR="00236E18" w:rsidRPr="00662D9E" w:rsidRDefault="00236E18" w:rsidP="00294272">
            <w:pPr>
              <w:ind w:left="441"/>
              <w:rPr>
                <w:sz w:val="16"/>
                <w:szCs w:val="16"/>
                <w:lang w:bidi="th-TH"/>
              </w:rPr>
            </w:pPr>
          </w:p>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95"/>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Índice de presentación de solicitudes.</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95"/>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Registros</w:t>
            </w:r>
            <w:r w:rsidRPr="00662D9E">
              <w:rPr>
                <w:sz w:val="16"/>
                <w:szCs w:val="16"/>
              </w:rPr>
              <w:t>.</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121"/>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Renovaciones</w:t>
            </w:r>
            <w:r w:rsidRPr="00662D9E">
              <w:rPr>
                <w:sz w:val="16"/>
                <w:szCs w:val="16"/>
              </w:rPr>
              <w:t>.</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141"/>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Número total de registros.</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121"/>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Número total de designaciones.</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197"/>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Índice de irregularidades (Artículos 12 y 13).</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347"/>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Mejoras del funcionamiento del Sistema de Madrid.</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446"/>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N</w:t>
            </w:r>
            <w:r>
              <w:rPr>
                <w:sz w:val="16"/>
                <w:szCs w:val="16"/>
                <w:lang w:val="es-ES_tradnl"/>
              </w:rPr>
              <w:t>º</w:t>
            </w:r>
            <w:r w:rsidRPr="00662D9E">
              <w:rPr>
                <w:sz w:val="16"/>
                <w:szCs w:val="16"/>
                <w:lang w:val="es-ES_tradnl"/>
              </w:rPr>
              <w:t xml:space="preserve"> de solicitudes presentadas en el marco del Sistema de Madrid procedentes de países </w:t>
            </w:r>
            <w:r>
              <w:rPr>
                <w:sz w:val="16"/>
                <w:szCs w:val="16"/>
                <w:lang w:val="es-ES_tradnl"/>
              </w:rPr>
              <w:t xml:space="preserve">en transición, desarrollados </w:t>
            </w:r>
            <w:r w:rsidRPr="00662D9E">
              <w:rPr>
                <w:sz w:val="16"/>
                <w:szCs w:val="16"/>
                <w:lang w:val="es-ES_tradnl"/>
              </w:rPr>
              <w:t>y en desarrollo.</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10</w:t>
            </w:r>
          </w:p>
          <w:p w:rsidR="00236E18" w:rsidRPr="00662D9E" w:rsidRDefault="00236E18" w:rsidP="00294272">
            <w:pPr>
              <w:ind w:left="441"/>
              <w:rPr>
                <w:sz w:val="16"/>
                <w:szCs w:val="16"/>
                <w:lang w:bidi="th-TH"/>
              </w:rPr>
            </w:pPr>
            <w:r w:rsidRPr="00662D9E">
              <w:rPr>
                <w:sz w:val="16"/>
                <w:szCs w:val="16"/>
                <w:lang w:val="es-ES_tradnl" w:bidi="th-TH"/>
              </w:rPr>
              <w:t>Programa 20</w:t>
            </w:r>
          </w:p>
          <w:p w:rsidR="00236E18" w:rsidRPr="00662D9E" w:rsidRDefault="00236E18" w:rsidP="00294272">
            <w:pPr>
              <w:ind w:left="441"/>
              <w:rPr>
                <w:sz w:val="16"/>
                <w:szCs w:val="16"/>
                <w:lang w:bidi="th-TH"/>
              </w:rPr>
            </w:pPr>
          </w:p>
        </w:tc>
      </w:tr>
      <w:tr w:rsidR="00236E18" w:rsidRPr="00662D9E" w:rsidTr="00294272">
        <w:trPr>
          <w:cantSplit/>
          <w:trHeight w:val="589"/>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p>
        </w:tc>
      </w:tr>
      <w:tr w:rsidR="00236E18" w:rsidRPr="00662D9E" w:rsidTr="00294272">
        <w:trPr>
          <w:cantSplit/>
          <w:trHeight w:val="589"/>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Porcentaje de encargados de la adopción de políticas, funcionarios gubernamentales, profesionales de la P.I. y participantes en talleres con un mayor con</w:t>
            </w:r>
            <w:r>
              <w:rPr>
                <w:sz w:val="16"/>
                <w:szCs w:val="16"/>
                <w:lang w:val="es-ES_tradnl"/>
              </w:rPr>
              <w:t>ocimiento del sistema de Madrid</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20</w:t>
            </w:r>
          </w:p>
        </w:tc>
      </w:tr>
      <w:tr w:rsidR="00236E18" w:rsidRPr="00662D9E" w:rsidTr="00294272">
        <w:trPr>
          <w:cantSplit/>
          <w:trHeight w:val="649"/>
        </w:trPr>
        <w:tc>
          <w:tcPr>
            <w:tcW w:w="1707"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II.</w:t>
            </w:r>
            <w:r w:rsidRPr="00ED0A05">
              <w:rPr>
                <w:sz w:val="16"/>
                <w:szCs w:val="16"/>
                <w:lang w:val="es-ES_tradnl"/>
              </w:rPr>
              <w:t xml:space="preserve">7  Mejora de la productividad y de la calidad de los servicios en las operaciones </w:t>
            </w:r>
            <w:r>
              <w:rPr>
                <w:sz w:val="16"/>
                <w:szCs w:val="16"/>
                <w:lang w:val="es-ES_tradnl"/>
              </w:rPr>
              <w:t>de</w:t>
            </w:r>
            <w:r w:rsidRPr="00ED0A05">
              <w:rPr>
                <w:sz w:val="16"/>
                <w:szCs w:val="16"/>
                <w:lang w:val="es-ES_tradnl"/>
              </w:rPr>
              <w:t>l Sistema de Madrid</w:t>
            </w: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Satisfacción del cliente</w:t>
            </w:r>
            <w:r>
              <w:rPr>
                <w:sz w:val="16"/>
                <w:szCs w:val="16"/>
                <w:lang w:val="es-ES_tradnl"/>
              </w:rPr>
              <w:t xml:space="preserve"> (Madrid)</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27"/>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Costo unitario</w:t>
            </w:r>
            <w:r>
              <w:rPr>
                <w:sz w:val="16"/>
                <w:szCs w:val="16"/>
                <w:lang w:val="es-ES_tradnl"/>
              </w:rPr>
              <w:t xml:space="preserve"> (Madrid)</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256"/>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Puntualidad de las transacciones (días)</w:t>
            </w:r>
            <w:r>
              <w:rPr>
                <w:sz w:val="16"/>
                <w:szCs w:val="16"/>
                <w:lang w:val="es-ES_tradnl"/>
              </w:rPr>
              <w:t xml:space="preserve"> (Madrid)</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138"/>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Calidad</w:t>
            </w:r>
            <w:r>
              <w:rPr>
                <w:sz w:val="16"/>
                <w:szCs w:val="16"/>
                <w:lang w:val="es-ES_tradnl"/>
              </w:rPr>
              <w:t xml:space="preserve"> (Madrid)</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267"/>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Mejor funcionamiento del Registro de Madrid, también de los procesos y procedimientos electrónicos</w:t>
            </w:r>
            <w:r w:rsidRPr="00662D9E">
              <w:rPr>
                <w:sz w:val="16"/>
                <w:szCs w:val="16"/>
              </w:rPr>
              <w:t>.</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265"/>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Prestación estable de servicios auxiliares de T</w:t>
            </w:r>
            <w:r w:rsidRPr="00ED0A05">
              <w:rPr>
                <w:sz w:val="16"/>
                <w:szCs w:val="16"/>
                <w:lang w:val="es-ES_tradnl"/>
              </w:rPr>
              <w:t xml:space="preserve">I </w:t>
            </w:r>
            <w:r w:rsidRPr="00662D9E">
              <w:rPr>
                <w:sz w:val="16"/>
                <w:szCs w:val="16"/>
                <w:lang w:val="es-ES_tradnl"/>
              </w:rPr>
              <w:t>del Sistema de Madrid, que van perfeccionándose.</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131"/>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3 versiones de M-IRIS  y 3 versiones de presentación-e de Madrid (IRPI) en funcionamiento.</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339"/>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Adopción de disposiciones para simplificar el marco jurídico del Sistema de Lisboa.</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6</w:t>
            </w:r>
          </w:p>
        </w:tc>
      </w:tr>
      <w:tr w:rsidR="00236E18" w:rsidRPr="00662D9E" w:rsidTr="00294272">
        <w:trPr>
          <w:cantSplit/>
          <w:trHeight w:val="383"/>
        </w:trPr>
        <w:tc>
          <w:tcPr>
            <w:tcW w:w="1707"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 xml:space="preserve">II.8  </w:t>
            </w:r>
            <w:r w:rsidRPr="00ED0A05">
              <w:rPr>
                <w:sz w:val="16"/>
                <w:szCs w:val="16"/>
                <w:lang w:val="es-ES_tradnl"/>
              </w:rPr>
              <w:t>Las controversias nacionales e internacionales en materia de P.I. se evitan o resuelven cada vez con más frecuencia mediante procedimientos de mediación, arbitraje y demás métodos de solución extrajudicial de controversias</w:t>
            </w: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Mayor uso de los servicios y cláusulas de solución extrajudicial de controversias en las transacciones y los registros de P.I., entre otros medios, valiéndose de los procedimientos de la OMPI.</w:t>
            </w:r>
          </w:p>
          <w:p w:rsidR="00236E18" w:rsidRPr="00662D9E" w:rsidRDefault="00236E18" w:rsidP="00294272">
            <w:pPr>
              <w:rPr>
                <w:sz w:val="16"/>
                <w:szCs w:val="16"/>
                <w:lang w:val="es-ES_tradnl"/>
              </w:rPr>
            </w:pPr>
          </w:p>
          <w:p w:rsidR="00236E18" w:rsidRPr="00662D9E" w:rsidRDefault="00236E18" w:rsidP="00294272">
            <w:pPr>
              <w:rPr>
                <w:sz w:val="16"/>
                <w:szCs w:val="16"/>
                <w:lang w:val="es-ES_tradnl"/>
              </w:rPr>
            </w:pPr>
            <w:r w:rsidRPr="00662D9E">
              <w:rPr>
                <w:sz w:val="16"/>
                <w:szCs w:val="16"/>
                <w:lang w:val="es-ES_tradnl"/>
              </w:rPr>
              <w:t>Políticas de solución extrajudicial de controversias en cuya elaboración y aplicación ha participado el Centro.</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7</w:t>
            </w:r>
          </w:p>
          <w:p w:rsidR="00236E18" w:rsidRPr="00662D9E" w:rsidRDefault="00236E18" w:rsidP="00294272">
            <w:pPr>
              <w:ind w:left="441"/>
              <w:rPr>
                <w:sz w:val="16"/>
                <w:szCs w:val="16"/>
                <w:lang w:bidi="th-TH"/>
              </w:rPr>
            </w:pPr>
          </w:p>
          <w:p w:rsidR="00236E18" w:rsidRPr="00662D9E" w:rsidRDefault="00236E18" w:rsidP="00294272">
            <w:pPr>
              <w:ind w:left="441"/>
              <w:rPr>
                <w:sz w:val="16"/>
                <w:szCs w:val="16"/>
                <w:lang w:bidi="th-TH"/>
              </w:rPr>
            </w:pPr>
          </w:p>
          <w:p w:rsidR="00236E18" w:rsidRDefault="00236E18" w:rsidP="00294272">
            <w:pPr>
              <w:ind w:left="441"/>
              <w:rPr>
                <w:sz w:val="16"/>
                <w:szCs w:val="16"/>
                <w:lang w:bidi="th-TH"/>
              </w:rPr>
            </w:pPr>
          </w:p>
          <w:p w:rsidR="00236E18" w:rsidRPr="00662D9E" w:rsidRDefault="00236E18" w:rsidP="00294272">
            <w:pPr>
              <w:ind w:left="441"/>
              <w:rPr>
                <w:sz w:val="16"/>
                <w:szCs w:val="16"/>
                <w:lang w:bidi="th-TH"/>
              </w:rPr>
            </w:pPr>
          </w:p>
          <w:p w:rsidR="00236E18" w:rsidRPr="00662D9E" w:rsidRDefault="00236E18" w:rsidP="00294272">
            <w:pPr>
              <w:ind w:left="441"/>
              <w:rPr>
                <w:sz w:val="16"/>
                <w:szCs w:val="16"/>
                <w:lang w:bidi="th-TH"/>
              </w:rPr>
            </w:pPr>
          </w:p>
          <w:p w:rsidR="00236E18" w:rsidRPr="00662D9E" w:rsidRDefault="00236E18" w:rsidP="00294272">
            <w:pPr>
              <w:ind w:left="441"/>
              <w:rPr>
                <w:sz w:val="16"/>
                <w:szCs w:val="16"/>
                <w:lang w:bidi="th-TH"/>
              </w:rPr>
            </w:pPr>
            <w:r w:rsidRPr="00662D9E">
              <w:rPr>
                <w:sz w:val="16"/>
                <w:szCs w:val="16"/>
                <w:lang w:val="es-ES_tradnl" w:bidi="th-TH"/>
              </w:rPr>
              <w:t>Programa 7</w:t>
            </w:r>
          </w:p>
        </w:tc>
      </w:tr>
      <w:tr w:rsidR="00236E18" w:rsidRPr="00662D9E" w:rsidTr="00294272">
        <w:trPr>
          <w:cantSplit/>
          <w:trHeight w:val="1611"/>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N</w:t>
            </w:r>
            <w:r>
              <w:rPr>
                <w:sz w:val="16"/>
                <w:szCs w:val="16"/>
                <w:lang w:val="es-ES_tradnl"/>
              </w:rPr>
              <w:t>º</w:t>
            </w:r>
            <w:r w:rsidRPr="00662D9E">
              <w:rPr>
                <w:sz w:val="16"/>
                <w:szCs w:val="16"/>
                <w:lang w:val="es-ES_tradnl"/>
              </w:rPr>
              <w:t xml:space="preserve"> de controversias de P.I. procedentes de países </w:t>
            </w:r>
            <w:r>
              <w:rPr>
                <w:sz w:val="16"/>
                <w:szCs w:val="16"/>
                <w:lang w:val="es-ES_tradnl"/>
              </w:rPr>
              <w:t>en transición y desarrollados</w:t>
            </w:r>
            <w:r w:rsidRPr="00662D9E">
              <w:rPr>
                <w:sz w:val="16"/>
                <w:szCs w:val="16"/>
                <w:lang w:val="es-ES_tradnl"/>
              </w:rPr>
              <w:t xml:space="preserve"> que se evitan o resuelven mediante el Centro de Arbitraje y Mediación de la OMPI y otros métodos extrajudiciales de solución de controversias.</w:t>
            </w:r>
          </w:p>
          <w:p w:rsidR="00236E18" w:rsidRPr="00662D9E" w:rsidRDefault="00236E18" w:rsidP="00294272">
            <w:pPr>
              <w:rPr>
                <w:sz w:val="16"/>
                <w:szCs w:val="16"/>
                <w:lang w:val="es-ES_tradnl"/>
              </w:rPr>
            </w:pPr>
          </w:p>
          <w:p w:rsidR="00236E18" w:rsidRPr="00662D9E" w:rsidRDefault="00236E18" w:rsidP="00294272">
            <w:pPr>
              <w:rPr>
                <w:sz w:val="16"/>
                <w:szCs w:val="16"/>
                <w:lang w:val="es-ES_tradnl"/>
              </w:rPr>
            </w:pPr>
            <w:r w:rsidRPr="00662D9E">
              <w:rPr>
                <w:sz w:val="16"/>
                <w:szCs w:val="16"/>
                <w:lang w:val="es-ES_tradnl"/>
              </w:rPr>
              <w:t>Cada vez más se considera la posibilidad de utilizar servicios de solución extrajudicial de controversias en las transacciones sobre P.I., entre otras cosas, valiéndose de los procedimientos de la OMPI.</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10</w:t>
            </w:r>
          </w:p>
          <w:p w:rsidR="00236E18" w:rsidRPr="00662D9E" w:rsidRDefault="00236E18" w:rsidP="00294272">
            <w:pPr>
              <w:ind w:left="441"/>
              <w:rPr>
                <w:sz w:val="16"/>
                <w:szCs w:val="16"/>
                <w:lang w:bidi="th-TH"/>
              </w:rPr>
            </w:pPr>
          </w:p>
          <w:p w:rsidR="00236E18" w:rsidRPr="00662D9E" w:rsidRDefault="00236E18" w:rsidP="00294272">
            <w:pPr>
              <w:ind w:left="441"/>
              <w:rPr>
                <w:sz w:val="16"/>
                <w:szCs w:val="16"/>
                <w:lang w:bidi="th-TH"/>
              </w:rPr>
            </w:pPr>
          </w:p>
          <w:p w:rsidR="00236E18" w:rsidRPr="00662D9E" w:rsidRDefault="00236E18" w:rsidP="00294272">
            <w:pPr>
              <w:ind w:left="441"/>
              <w:rPr>
                <w:sz w:val="16"/>
                <w:szCs w:val="16"/>
                <w:lang w:bidi="th-TH"/>
              </w:rPr>
            </w:pPr>
          </w:p>
          <w:p w:rsidR="00236E18" w:rsidRPr="00662D9E" w:rsidRDefault="00236E18" w:rsidP="00294272">
            <w:pPr>
              <w:ind w:left="441"/>
              <w:rPr>
                <w:sz w:val="16"/>
                <w:szCs w:val="16"/>
                <w:lang w:bidi="th-TH"/>
              </w:rPr>
            </w:pPr>
          </w:p>
          <w:p w:rsidR="00236E18" w:rsidRPr="00662D9E" w:rsidRDefault="00236E18" w:rsidP="00294272">
            <w:pPr>
              <w:ind w:left="441"/>
              <w:rPr>
                <w:sz w:val="16"/>
                <w:szCs w:val="16"/>
                <w:lang w:bidi="th-TH"/>
              </w:rPr>
            </w:pPr>
            <w:r w:rsidRPr="00662D9E">
              <w:rPr>
                <w:sz w:val="16"/>
                <w:szCs w:val="16"/>
                <w:lang w:val="es-ES_tradnl" w:bidi="th-TH"/>
              </w:rPr>
              <w:t>Programa 20</w:t>
            </w:r>
          </w:p>
        </w:tc>
      </w:tr>
      <w:tr w:rsidR="00236E18" w:rsidRPr="00662D9E" w:rsidTr="00294272">
        <w:trPr>
          <w:cantSplit/>
          <w:trHeight w:val="305"/>
        </w:trPr>
        <w:tc>
          <w:tcPr>
            <w:tcW w:w="1707"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 xml:space="preserve">II.9  </w:t>
            </w:r>
            <w:r w:rsidRPr="00835B2E">
              <w:rPr>
                <w:sz w:val="16"/>
                <w:szCs w:val="16"/>
                <w:lang w:val="es-ES_tradnl"/>
              </w:rPr>
              <w:t xml:space="preserve">Protección eficaz de la propiedad intelectual en los </w:t>
            </w:r>
            <w:proofErr w:type="spellStart"/>
            <w:r w:rsidRPr="00835B2E">
              <w:rPr>
                <w:sz w:val="16"/>
                <w:szCs w:val="16"/>
                <w:lang w:val="es-ES_tradnl"/>
              </w:rPr>
              <w:t>gTLD</w:t>
            </w:r>
            <w:proofErr w:type="spellEnd"/>
            <w:r w:rsidRPr="00835B2E">
              <w:rPr>
                <w:sz w:val="16"/>
                <w:szCs w:val="16"/>
                <w:lang w:val="es-ES_tradnl"/>
              </w:rPr>
              <w:t xml:space="preserve"> y los </w:t>
            </w:r>
            <w:proofErr w:type="spellStart"/>
            <w:r w:rsidRPr="00835B2E">
              <w:rPr>
                <w:sz w:val="16"/>
                <w:szCs w:val="16"/>
                <w:lang w:val="es-ES_tradnl"/>
              </w:rPr>
              <w:t>ccTLD</w:t>
            </w:r>
            <w:proofErr w:type="spellEnd"/>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N</w:t>
            </w:r>
            <w:r>
              <w:rPr>
                <w:sz w:val="16"/>
                <w:szCs w:val="16"/>
                <w:lang w:val="es-ES_tradnl"/>
              </w:rPr>
              <w:t>º</w:t>
            </w:r>
            <w:r w:rsidRPr="00662D9E">
              <w:rPr>
                <w:sz w:val="16"/>
                <w:szCs w:val="16"/>
                <w:lang w:val="es-ES_tradnl"/>
              </w:rPr>
              <w:t xml:space="preserve"> de procedimientos relativos a los </w:t>
            </w:r>
            <w:proofErr w:type="spellStart"/>
            <w:r w:rsidRPr="00662D9E">
              <w:rPr>
                <w:sz w:val="16"/>
                <w:szCs w:val="16"/>
                <w:lang w:val="es-ES_tradnl"/>
              </w:rPr>
              <w:t>gTLD</w:t>
            </w:r>
            <w:proofErr w:type="spellEnd"/>
            <w:r w:rsidRPr="00662D9E">
              <w:rPr>
                <w:sz w:val="16"/>
                <w:szCs w:val="16"/>
                <w:lang w:val="es-ES_tradnl"/>
              </w:rPr>
              <w:t xml:space="preserve"> y los </w:t>
            </w:r>
            <w:proofErr w:type="spellStart"/>
            <w:r w:rsidRPr="00662D9E">
              <w:rPr>
                <w:sz w:val="16"/>
                <w:szCs w:val="16"/>
                <w:lang w:val="es-ES_tradnl"/>
              </w:rPr>
              <w:t>ccTLD</w:t>
            </w:r>
            <w:proofErr w:type="spellEnd"/>
            <w:r w:rsidRPr="00662D9E">
              <w:rPr>
                <w:sz w:val="16"/>
                <w:szCs w:val="16"/>
                <w:lang w:val="es-ES_tradnl"/>
              </w:rPr>
              <w:t xml:space="preserve"> administrados por el Centro en virtud de la Política Uniforme.</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7</w:t>
            </w:r>
          </w:p>
        </w:tc>
      </w:tr>
      <w:tr w:rsidR="00236E18" w:rsidRPr="00662D9E" w:rsidTr="00294272">
        <w:trPr>
          <w:cantSplit/>
          <w:trHeight w:val="289"/>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74304F" w:rsidRDefault="00236E18" w:rsidP="00294272">
            <w:pPr>
              <w:rPr>
                <w:sz w:val="16"/>
                <w:szCs w:val="16"/>
                <w:lang w:val="es-ES_tradnl"/>
              </w:rPr>
            </w:pPr>
            <w:r w:rsidRPr="00662D9E">
              <w:rPr>
                <w:sz w:val="16"/>
                <w:szCs w:val="16"/>
                <w:lang w:val="es-ES_tradnl"/>
              </w:rPr>
              <w:t>Políticas de solución de controversias en el Sistema de Nombres de Dominio en cuya elaboración y apli</w:t>
            </w:r>
            <w:r>
              <w:rPr>
                <w:sz w:val="16"/>
                <w:szCs w:val="16"/>
                <w:lang w:val="es-ES_tradnl"/>
              </w:rPr>
              <w:t>cación ha participado el Centro</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7</w:t>
            </w:r>
          </w:p>
        </w:tc>
      </w:tr>
      <w:tr w:rsidR="00236E18" w:rsidRPr="00662D9E" w:rsidTr="00294272">
        <w:trPr>
          <w:cantSplit/>
          <w:trHeight w:val="372"/>
        </w:trPr>
        <w:tc>
          <w:tcPr>
            <w:tcW w:w="1707"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 xml:space="preserve">II. </w:t>
            </w:r>
            <w:r>
              <w:rPr>
                <w:sz w:val="16"/>
                <w:szCs w:val="16"/>
                <w:lang w:val="es-ES_tradnl"/>
              </w:rPr>
              <w:t>10</w:t>
            </w:r>
            <w:r w:rsidRPr="00662D9E">
              <w:rPr>
                <w:sz w:val="16"/>
                <w:szCs w:val="16"/>
                <w:lang w:val="es-ES_tradnl"/>
              </w:rPr>
              <w:t xml:space="preserve">  </w:t>
            </w:r>
            <w:r w:rsidRPr="00ED0A05">
              <w:rPr>
                <w:sz w:val="16"/>
                <w:szCs w:val="16"/>
                <w:lang w:val="es-ES_tradnl"/>
              </w:rPr>
              <w:t>Mayor y más eficaz utilización del Sistema</w:t>
            </w:r>
            <w:r>
              <w:rPr>
                <w:sz w:val="16"/>
                <w:szCs w:val="16"/>
                <w:lang w:val="es-ES_tradnl"/>
              </w:rPr>
              <w:t xml:space="preserve"> de Lisboa</w:t>
            </w:r>
            <w:r w:rsidRPr="00ED0A05">
              <w:rPr>
                <w:sz w:val="16"/>
                <w:szCs w:val="16"/>
                <w:lang w:val="es-ES_tradnl"/>
              </w:rPr>
              <w:t>, entre otros por los países en desarrollo y los PMA</w:t>
            </w: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Expansión del alcance geográfico del Sistema de Lisboa.</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 xml:space="preserve">Programa </w:t>
            </w:r>
            <w:r>
              <w:rPr>
                <w:sz w:val="16"/>
                <w:szCs w:val="16"/>
                <w:lang w:val="es-ES_tradnl" w:bidi="th-TH"/>
              </w:rPr>
              <w:t>32</w:t>
            </w:r>
          </w:p>
        </w:tc>
      </w:tr>
      <w:tr w:rsidR="00236E18" w:rsidRPr="00662D9E" w:rsidTr="00294272">
        <w:trPr>
          <w:cantSplit/>
          <w:trHeight w:val="283"/>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rPr>
            </w:pPr>
            <w:r w:rsidRPr="00662D9E">
              <w:rPr>
                <w:sz w:val="16"/>
                <w:szCs w:val="16"/>
                <w:lang w:val="es-ES_tradnl"/>
              </w:rPr>
              <w:t>Porcentaje de participantes en las actividades del Sistema de Lisboa que están satisfechos y manifiestan haber mejorado sus conocimientos tras haber participado en las actividades.</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 xml:space="preserve">Programa </w:t>
            </w:r>
            <w:r>
              <w:rPr>
                <w:sz w:val="16"/>
                <w:szCs w:val="16"/>
                <w:lang w:val="es-ES_tradnl" w:bidi="th-TH"/>
              </w:rPr>
              <w:t>32</w:t>
            </w:r>
          </w:p>
        </w:tc>
      </w:tr>
      <w:tr w:rsidR="00236E18" w:rsidRPr="00662D9E" w:rsidTr="00294272">
        <w:trPr>
          <w:cantSplit/>
          <w:trHeight w:val="283"/>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N</w:t>
            </w:r>
            <w:r>
              <w:rPr>
                <w:sz w:val="16"/>
                <w:szCs w:val="16"/>
                <w:lang w:val="es-ES_tradnl"/>
              </w:rPr>
              <w:t>º</w:t>
            </w:r>
            <w:r w:rsidRPr="00662D9E">
              <w:rPr>
                <w:sz w:val="16"/>
                <w:szCs w:val="16"/>
                <w:lang w:val="es-ES_tradnl"/>
              </w:rPr>
              <w:t xml:space="preserve"> de solicitudes internacionales y otras transacciones (Lisboa).</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 xml:space="preserve">Programa </w:t>
            </w:r>
            <w:r>
              <w:rPr>
                <w:sz w:val="16"/>
                <w:szCs w:val="16"/>
                <w:lang w:val="es-ES_tradnl" w:bidi="th-TH"/>
              </w:rPr>
              <w:t>32</w:t>
            </w:r>
          </w:p>
        </w:tc>
      </w:tr>
      <w:tr w:rsidR="00236E18" w:rsidRPr="00662D9E" w:rsidTr="00294272">
        <w:trPr>
          <w:cantSplit/>
          <w:trHeight w:val="283"/>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Pr>
                <w:sz w:val="16"/>
                <w:szCs w:val="16"/>
                <w:lang w:val="es-ES_tradnl"/>
              </w:rPr>
              <w:t>Nº</w:t>
            </w:r>
            <w:r w:rsidRPr="00662D9E">
              <w:rPr>
                <w:sz w:val="16"/>
                <w:szCs w:val="16"/>
                <w:lang w:val="es-ES_tradnl"/>
              </w:rPr>
              <w:t xml:space="preserve"> de registros internacionales de países en desarrollo y PMA en vigor en virtud del Sistema de Lisboa (con respecto al número total).</w:t>
            </w:r>
          </w:p>
        </w:tc>
        <w:tc>
          <w:tcPr>
            <w:tcW w:w="1341" w:type="pct"/>
            <w:shd w:val="clear" w:color="auto" w:fill="FFFFFF"/>
            <w:tcMar>
              <w:top w:w="85" w:type="dxa"/>
              <w:bottom w:w="85" w:type="dxa"/>
            </w:tcMar>
          </w:tcPr>
          <w:p w:rsidR="00236E18" w:rsidRDefault="00236E18" w:rsidP="00294272">
            <w:pPr>
              <w:ind w:left="441"/>
              <w:rPr>
                <w:sz w:val="16"/>
                <w:szCs w:val="16"/>
                <w:lang w:bidi="th-TH"/>
              </w:rPr>
            </w:pPr>
            <w:r>
              <w:rPr>
                <w:sz w:val="16"/>
                <w:szCs w:val="16"/>
                <w:lang w:val="es-ES_tradnl" w:bidi="th-TH"/>
              </w:rPr>
              <w:t>Programa 32</w:t>
            </w:r>
          </w:p>
          <w:p w:rsidR="00236E18" w:rsidRPr="00662D9E" w:rsidRDefault="00236E18" w:rsidP="00294272">
            <w:pPr>
              <w:ind w:left="441"/>
              <w:rPr>
                <w:sz w:val="16"/>
                <w:szCs w:val="16"/>
                <w:lang w:bidi="th-TH"/>
              </w:rPr>
            </w:pPr>
            <w:r>
              <w:rPr>
                <w:sz w:val="16"/>
                <w:szCs w:val="16"/>
                <w:lang w:bidi="th-TH"/>
              </w:rPr>
              <w:t>Programa 9</w:t>
            </w:r>
          </w:p>
        </w:tc>
      </w:tr>
      <w:tr w:rsidR="00236E18" w:rsidRPr="00662D9E" w:rsidTr="00294272">
        <w:trPr>
          <w:cantSplit/>
          <w:trHeight w:val="589"/>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N</w:t>
            </w:r>
            <w:r>
              <w:rPr>
                <w:sz w:val="16"/>
                <w:szCs w:val="16"/>
                <w:lang w:val="es-ES_tradnl"/>
              </w:rPr>
              <w:t>º</w:t>
            </w:r>
            <w:r w:rsidRPr="00662D9E">
              <w:rPr>
                <w:sz w:val="16"/>
                <w:szCs w:val="16"/>
                <w:lang w:val="es-ES_tradnl"/>
              </w:rPr>
              <w:t xml:space="preserve"> de registros internacionales en vigor en el marco del Sistema de Lisboa respecto de países </w:t>
            </w:r>
            <w:r>
              <w:rPr>
                <w:sz w:val="16"/>
                <w:szCs w:val="16"/>
                <w:lang w:val="es-ES_tradnl"/>
              </w:rPr>
              <w:t>en transición y desarrollados</w:t>
            </w:r>
            <w:r w:rsidRPr="00662D9E">
              <w:rPr>
                <w:sz w:val="16"/>
                <w:szCs w:val="16"/>
                <w:lang w:val="es-ES_tradnl"/>
              </w:rPr>
              <w:t>.</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Programa 10</w:t>
            </w:r>
          </w:p>
          <w:p w:rsidR="00236E18" w:rsidRPr="00662D9E" w:rsidRDefault="00236E18" w:rsidP="00294272">
            <w:pPr>
              <w:ind w:left="441"/>
              <w:rPr>
                <w:sz w:val="16"/>
                <w:szCs w:val="16"/>
                <w:lang w:bidi="th-TH"/>
              </w:rPr>
            </w:pPr>
          </w:p>
        </w:tc>
      </w:tr>
      <w:tr w:rsidR="00236E18" w:rsidRPr="00662D9E" w:rsidTr="00294272">
        <w:trPr>
          <w:cantSplit/>
          <w:trHeight w:val="482"/>
        </w:trPr>
        <w:tc>
          <w:tcPr>
            <w:tcW w:w="1707"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lastRenderedPageBreak/>
              <w:t>II.</w:t>
            </w:r>
            <w:r>
              <w:rPr>
                <w:sz w:val="16"/>
                <w:szCs w:val="16"/>
                <w:lang w:val="es-ES_tradnl"/>
              </w:rPr>
              <w:t>11</w:t>
            </w:r>
            <w:r w:rsidRPr="00ED0A05">
              <w:rPr>
                <w:sz w:val="16"/>
                <w:szCs w:val="16"/>
                <w:lang w:val="es-ES_tradnl"/>
              </w:rPr>
              <w:t xml:space="preserve">  Mejora de la productividad y de la calidad de los servicios en las operaciones </w:t>
            </w:r>
            <w:r>
              <w:rPr>
                <w:sz w:val="16"/>
                <w:szCs w:val="16"/>
                <w:lang w:val="es-ES_tradnl"/>
              </w:rPr>
              <w:t>de</w:t>
            </w:r>
            <w:r w:rsidRPr="00ED0A05">
              <w:rPr>
                <w:sz w:val="16"/>
                <w:szCs w:val="16"/>
                <w:lang w:val="es-ES_tradnl"/>
              </w:rPr>
              <w:t xml:space="preserve">l Sistema de </w:t>
            </w:r>
            <w:r>
              <w:rPr>
                <w:sz w:val="16"/>
                <w:szCs w:val="16"/>
                <w:lang w:val="es-ES_tradnl"/>
              </w:rPr>
              <w:t>Lisboa</w:t>
            </w: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Adopción de disposiciones para simplificar el marco jurídico del Sistema de Lisboa.</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 xml:space="preserve">Programa </w:t>
            </w:r>
            <w:r>
              <w:rPr>
                <w:sz w:val="16"/>
                <w:szCs w:val="16"/>
                <w:lang w:val="es-ES_tradnl" w:bidi="th-TH"/>
              </w:rPr>
              <w:t>32</w:t>
            </w:r>
          </w:p>
        </w:tc>
      </w:tr>
      <w:tr w:rsidR="00236E18" w:rsidRPr="00662D9E" w:rsidTr="00294272">
        <w:trPr>
          <w:cantSplit/>
          <w:trHeight w:val="475"/>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Mayor</w:t>
            </w:r>
            <w:r w:rsidRPr="00662D9E">
              <w:rPr>
                <w:sz w:val="16"/>
                <w:szCs w:val="16"/>
              </w:rPr>
              <w:t xml:space="preserve"> </w:t>
            </w:r>
            <w:r w:rsidRPr="00662D9E">
              <w:rPr>
                <w:sz w:val="16"/>
                <w:szCs w:val="16"/>
                <w:lang w:val="es-ES_tradnl"/>
              </w:rPr>
              <w:t>uso de los medios electrónicos para la presentación y tramitación de solicitudes internacionales y otras transacciones</w:t>
            </w:r>
            <w:r>
              <w:rPr>
                <w:sz w:val="16"/>
                <w:szCs w:val="16"/>
                <w:lang w:val="es-ES_tradnl"/>
              </w:rPr>
              <w:t xml:space="preserve"> (Lisboa)</w:t>
            </w:r>
            <w:r w:rsidRPr="00662D9E">
              <w:rPr>
                <w:sz w:val="16"/>
                <w:szCs w:val="16"/>
              </w:rPr>
              <w:t>.</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sidRPr="00662D9E">
              <w:rPr>
                <w:sz w:val="16"/>
                <w:szCs w:val="16"/>
                <w:lang w:val="es-ES_tradnl" w:bidi="th-TH"/>
              </w:rPr>
              <w:t xml:space="preserve">Programa </w:t>
            </w:r>
            <w:r>
              <w:rPr>
                <w:sz w:val="16"/>
                <w:szCs w:val="16"/>
                <w:lang w:val="es-ES_tradnl" w:bidi="th-TH"/>
              </w:rPr>
              <w:t>32</w:t>
            </w:r>
          </w:p>
        </w:tc>
      </w:tr>
      <w:tr w:rsidR="00236E18" w:rsidRPr="00662D9E" w:rsidTr="00294272">
        <w:trPr>
          <w:cantSplit/>
          <w:trHeight w:val="401"/>
        </w:trPr>
        <w:tc>
          <w:tcPr>
            <w:tcW w:w="1707" w:type="pct"/>
            <w:shd w:val="clear" w:color="auto" w:fill="auto"/>
            <w:tcMar>
              <w:top w:w="85" w:type="dxa"/>
              <w:bottom w:w="85" w:type="dxa"/>
            </w:tcMar>
          </w:tcPr>
          <w:p w:rsidR="00236E18" w:rsidRPr="00662D9E" w:rsidRDefault="00236E18" w:rsidP="00294272">
            <w:pPr>
              <w:rPr>
                <w:sz w:val="16"/>
                <w:szCs w:val="16"/>
              </w:rPr>
            </w:pPr>
          </w:p>
        </w:tc>
        <w:tc>
          <w:tcPr>
            <w:tcW w:w="1952" w:type="pct"/>
            <w:shd w:val="clear" w:color="auto" w:fill="auto"/>
            <w:tcMar>
              <w:top w:w="85" w:type="dxa"/>
              <w:bottom w:w="85" w:type="dxa"/>
            </w:tcMar>
          </w:tcPr>
          <w:p w:rsidR="00236E18" w:rsidRPr="00662D9E" w:rsidRDefault="00236E18" w:rsidP="00294272">
            <w:pPr>
              <w:rPr>
                <w:sz w:val="16"/>
                <w:szCs w:val="16"/>
                <w:lang w:val="es-ES_tradnl"/>
              </w:rPr>
            </w:pPr>
            <w:r w:rsidRPr="00662D9E">
              <w:rPr>
                <w:sz w:val="16"/>
                <w:szCs w:val="16"/>
                <w:lang w:val="es-ES_tradnl"/>
              </w:rPr>
              <w:t>Mejores servicios electrónicos respecto del Registro de Lisboa y el Artículo 6</w:t>
            </w:r>
            <w:r w:rsidRPr="00662D9E">
              <w:rPr>
                <w:i/>
                <w:sz w:val="16"/>
                <w:szCs w:val="16"/>
                <w:lang w:val="es-ES_tradnl"/>
              </w:rPr>
              <w:t>ter</w:t>
            </w:r>
            <w:r w:rsidRPr="00662D9E">
              <w:rPr>
                <w:sz w:val="16"/>
                <w:szCs w:val="16"/>
                <w:lang w:val="es-ES_tradnl"/>
              </w:rPr>
              <w:t>.</w:t>
            </w:r>
          </w:p>
        </w:tc>
        <w:tc>
          <w:tcPr>
            <w:tcW w:w="1341" w:type="pct"/>
            <w:shd w:val="clear" w:color="auto" w:fill="FFFFFF"/>
            <w:tcMar>
              <w:top w:w="85" w:type="dxa"/>
              <w:bottom w:w="85" w:type="dxa"/>
            </w:tcMar>
          </w:tcPr>
          <w:p w:rsidR="00236E18" w:rsidRPr="00662D9E" w:rsidRDefault="00236E18" w:rsidP="00294272">
            <w:pPr>
              <w:ind w:left="441"/>
              <w:rPr>
                <w:sz w:val="16"/>
                <w:szCs w:val="16"/>
                <w:lang w:bidi="th-TH"/>
              </w:rPr>
            </w:pPr>
            <w:r>
              <w:rPr>
                <w:sz w:val="16"/>
                <w:szCs w:val="16"/>
                <w:lang w:val="es-ES_tradnl" w:bidi="th-TH"/>
              </w:rPr>
              <w:t>Programa 32</w:t>
            </w:r>
          </w:p>
        </w:tc>
      </w:tr>
    </w:tbl>
    <w:p w:rsidR="00236E18" w:rsidRDefault="00236E18" w:rsidP="00236E18">
      <w:pPr>
        <w:pStyle w:val="StyleStyleHeading3ComplexItalicLatin12pt"/>
      </w:pPr>
    </w:p>
    <w:p w:rsidR="00236E18" w:rsidRDefault="00236E18" w:rsidP="00236E18">
      <w:pPr>
        <w:rPr>
          <w:rFonts w:eastAsia="Times New Roman"/>
          <w:b/>
          <w:iCs/>
          <w:caps/>
          <w:szCs w:val="22"/>
          <w:lang w:val="en-US" w:eastAsia="en-US"/>
        </w:rPr>
      </w:pPr>
      <w:r>
        <w:br w:type="page"/>
      </w:r>
    </w:p>
    <w:p w:rsidR="00236E18" w:rsidRPr="00CF18C3" w:rsidRDefault="00236E18" w:rsidP="00236E18">
      <w:pPr>
        <w:pStyle w:val="StyleStyleHeading3ComplexItalicLatin12pt"/>
      </w:pPr>
      <w:bookmarkStart w:id="48" w:name="_Toc431573544"/>
      <w:bookmarkStart w:id="49" w:name="_Toc431573945"/>
      <w:r w:rsidRPr="00CF18C3">
        <w:lastRenderedPageBreak/>
        <w:t>PROGRAMA 5</w:t>
      </w:r>
      <w:r w:rsidRPr="00CF18C3">
        <w:tab/>
        <w:t>SISTEMA DEL PCT</w:t>
      </w:r>
      <w:bookmarkEnd w:id="48"/>
      <w:bookmarkEnd w:id="49"/>
    </w:p>
    <w:p w:rsidR="00236E18" w:rsidRDefault="00236E18" w:rsidP="00236E18">
      <w:pPr>
        <w:tabs>
          <w:tab w:val="left" w:pos="2268"/>
        </w:tabs>
        <w:ind w:left="2268" w:hanging="2268"/>
        <w:rPr>
          <w:bCs/>
          <w:sz w:val="20"/>
        </w:rPr>
      </w:pPr>
    </w:p>
    <w:p w:rsidR="00236E18" w:rsidRPr="005D781E" w:rsidRDefault="00236E18" w:rsidP="00236E18">
      <w:pPr>
        <w:tabs>
          <w:tab w:val="left" w:pos="2268"/>
        </w:tabs>
        <w:ind w:left="2268" w:hanging="2268"/>
        <w:rPr>
          <w:bCs/>
          <w:sz w:val="20"/>
        </w:rPr>
      </w:pPr>
    </w:p>
    <w:p w:rsidR="00236E18" w:rsidRPr="005D781E" w:rsidRDefault="00236E18" w:rsidP="00236E18">
      <w:pPr>
        <w:pStyle w:val="BodyTextIndent"/>
        <w:spacing w:after="0"/>
        <w:ind w:left="1985" w:hanging="1985"/>
        <w:jc w:val="both"/>
        <w:rPr>
          <w:szCs w:val="22"/>
        </w:rPr>
      </w:pPr>
      <w:r w:rsidRPr="005D781E">
        <w:rPr>
          <w:szCs w:val="22"/>
        </w:rPr>
        <w:t>CONTEXTO DE PLANIFICACIÓN</w:t>
      </w:r>
    </w:p>
    <w:p w:rsidR="00236E18" w:rsidRPr="005D781E" w:rsidRDefault="00236E18" w:rsidP="00236E18">
      <w:pPr>
        <w:tabs>
          <w:tab w:val="left" w:pos="567"/>
          <w:tab w:val="left" w:pos="1985"/>
        </w:tabs>
        <w:jc w:val="both"/>
        <w:rPr>
          <w:bCs/>
          <w:sz w:val="20"/>
        </w:rPr>
      </w:pPr>
    </w:p>
    <w:p w:rsidR="00236E18" w:rsidRPr="005D781E" w:rsidRDefault="00236E18" w:rsidP="00236E18">
      <w:pPr>
        <w:numPr>
          <w:ilvl w:val="0"/>
          <w:numId w:val="14"/>
        </w:numPr>
        <w:tabs>
          <w:tab w:val="clear" w:pos="680"/>
          <w:tab w:val="num" w:pos="567"/>
        </w:tabs>
        <w:jc w:val="both"/>
        <w:rPr>
          <w:bCs/>
          <w:sz w:val="20"/>
          <w:lang w:eastAsia="ja-JP"/>
        </w:rPr>
      </w:pPr>
      <w:r w:rsidRPr="005D781E">
        <w:rPr>
          <w:sz w:val="20"/>
        </w:rPr>
        <w:t>El 75% aproximadamente de los ingresos de la OMPI proceden del Sistema del PCT.  Asimismo, el 54% de las solicitudes internacionales presentadas en más de un país se presentan utilizando el PCT.  Para mantener y consolidar el PCT como la vía preferida por los usuarios del sistema internacional de patentes en el próximo bienio, será necesario velar por que el Sistema del PCT haga frente a los desafíos que plantea un mercado mundial de servicios de patentes cada vez más dinámico, caracterizado por los elementos siguientes:</w:t>
      </w:r>
    </w:p>
    <w:p w:rsidR="00236E18" w:rsidRPr="005D781E" w:rsidRDefault="00236E18" w:rsidP="00236E18">
      <w:pPr>
        <w:jc w:val="both"/>
        <w:rPr>
          <w:bCs/>
          <w:sz w:val="20"/>
          <w:lang w:eastAsia="ja-JP"/>
        </w:rPr>
      </w:pPr>
    </w:p>
    <w:p w:rsidR="00236E18" w:rsidRPr="005D781E" w:rsidRDefault="00236E18" w:rsidP="00236E18">
      <w:pPr>
        <w:numPr>
          <w:ilvl w:val="0"/>
          <w:numId w:val="15"/>
        </w:numPr>
        <w:spacing w:after="120"/>
        <w:ind w:hanging="513"/>
        <w:jc w:val="both"/>
        <w:rPr>
          <w:bCs/>
          <w:sz w:val="20"/>
          <w:lang w:eastAsia="ja-JP"/>
        </w:rPr>
      </w:pPr>
      <w:r w:rsidRPr="005D781E">
        <w:rPr>
          <w:bCs/>
          <w:sz w:val="20"/>
          <w:lang w:eastAsia="ja-JP"/>
        </w:rPr>
        <w:t>un entorno económico incierto en el que la economía mundial tiene un desempeño vacilante;</w:t>
      </w:r>
    </w:p>
    <w:p w:rsidR="00236E18" w:rsidRPr="005D781E" w:rsidRDefault="00236E18" w:rsidP="00236E18">
      <w:pPr>
        <w:numPr>
          <w:ilvl w:val="0"/>
          <w:numId w:val="15"/>
        </w:numPr>
        <w:spacing w:after="120"/>
        <w:ind w:hanging="513"/>
        <w:jc w:val="both"/>
        <w:rPr>
          <w:bCs/>
          <w:sz w:val="20"/>
          <w:lang w:eastAsia="ja-JP"/>
        </w:rPr>
      </w:pPr>
      <w:r w:rsidRPr="005D781E">
        <w:rPr>
          <w:bCs/>
          <w:sz w:val="20"/>
          <w:lang w:eastAsia="ja-JP"/>
        </w:rPr>
        <w:t xml:space="preserve">la necesidad de asegurar la calidad y la puntualidad de los informes preparados por las Administraciones encargadas de la búsqueda internacional y del examen preliminar internacional; </w:t>
      </w:r>
    </w:p>
    <w:p w:rsidR="00236E18" w:rsidRPr="005D781E" w:rsidRDefault="00236E18" w:rsidP="00236E18">
      <w:pPr>
        <w:numPr>
          <w:ilvl w:val="0"/>
          <w:numId w:val="15"/>
        </w:numPr>
        <w:spacing w:after="120"/>
        <w:ind w:hanging="513"/>
        <w:jc w:val="both"/>
        <w:rPr>
          <w:bCs/>
          <w:sz w:val="20"/>
          <w:lang w:eastAsia="ja-JP"/>
        </w:rPr>
      </w:pPr>
      <w:r w:rsidRPr="005D781E">
        <w:rPr>
          <w:bCs/>
          <w:sz w:val="20"/>
          <w:lang w:eastAsia="ja-JP"/>
        </w:rPr>
        <w:t>una composición geográfica cada vez más diversa de la demanda de protección por patente y de las actividades de presentación de solicitudes internacionales en virtud del PCT;</w:t>
      </w:r>
    </w:p>
    <w:p w:rsidR="00236E18" w:rsidRPr="005D781E" w:rsidRDefault="00236E18" w:rsidP="00236E18">
      <w:pPr>
        <w:numPr>
          <w:ilvl w:val="0"/>
          <w:numId w:val="15"/>
        </w:numPr>
        <w:spacing w:after="120"/>
        <w:ind w:hanging="513"/>
        <w:jc w:val="both"/>
        <w:rPr>
          <w:bCs/>
          <w:sz w:val="20"/>
          <w:lang w:eastAsia="ja-JP"/>
        </w:rPr>
      </w:pPr>
      <w:r w:rsidRPr="005D781E">
        <w:rPr>
          <w:bCs/>
          <w:sz w:val="20"/>
          <w:lang w:eastAsia="ja-JP"/>
        </w:rPr>
        <w:t>la diversidad lingüística cada vez mayor del estado de la técnica y de las solicitudes internacionales PCT;</w:t>
      </w:r>
    </w:p>
    <w:p w:rsidR="00236E18" w:rsidRPr="005D781E" w:rsidRDefault="00236E18" w:rsidP="00236E18">
      <w:pPr>
        <w:numPr>
          <w:ilvl w:val="0"/>
          <w:numId w:val="15"/>
        </w:numPr>
        <w:spacing w:after="120"/>
        <w:ind w:hanging="513"/>
        <w:jc w:val="both"/>
        <w:rPr>
          <w:bCs/>
          <w:sz w:val="20"/>
          <w:lang w:eastAsia="ja-JP"/>
        </w:rPr>
      </w:pPr>
      <w:r w:rsidRPr="005D781E">
        <w:rPr>
          <w:bCs/>
          <w:sz w:val="20"/>
          <w:lang w:eastAsia="ja-JP"/>
        </w:rPr>
        <w:t>un número limitado de solicitudes internacionales presentadas por muchos países en desarrollo y países menos adelantados;</w:t>
      </w:r>
    </w:p>
    <w:p w:rsidR="00236E18" w:rsidRPr="005D781E" w:rsidRDefault="00236E18" w:rsidP="00236E18">
      <w:pPr>
        <w:numPr>
          <w:ilvl w:val="0"/>
          <w:numId w:val="15"/>
        </w:numPr>
        <w:spacing w:after="120"/>
        <w:ind w:hanging="513"/>
        <w:jc w:val="both"/>
        <w:rPr>
          <w:bCs/>
          <w:sz w:val="20"/>
          <w:lang w:eastAsia="ja-JP"/>
        </w:rPr>
      </w:pPr>
      <w:r w:rsidRPr="005D781E">
        <w:rPr>
          <w:bCs/>
          <w:sz w:val="20"/>
          <w:lang w:eastAsia="ja-JP"/>
        </w:rPr>
        <w:t>la demanda cada vez mayor de capacitación por parte de los usuarios del PCT nuevos y existentes;</w:t>
      </w:r>
    </w:p>
    <w:p w:rsidR="00236E18" w:rsidRPr="005D781E" w:rsidRDefault="00236E18" w:rsidP="00236E18">
      <w:pPr>
        <w:numPr>
          <w:ilvl w:val="0"/>
          <w:numId w:val="15"/>
        </w:numPr>
        <w:spacing w:after="120"/>
        <w:ind w:hanging="513"/>
        <w:jc w:val="both"/>
        <w:rPr>
          <w:bCs/>
          <w:sz w:val="20"/>
          <w:lang w:eastAsia="ja-JP"/>
        </w:rPr>
      </w:pPr>
      <w:r w:rsidRPr="005D781E">
        <w:rPr>
          <w:bCs/>
          <w:sz w:val="20"/>
          <w:lang w:eastAsia="ja-JP"/>
        </w:rPr>
        <w:t>las variaciones en cómo y hasta qué punto los clientes utilizan el PCT antes que otros métodos;  y</w:t>
      </w:r>
    </w:p>
    <w:p w:rsidR="00236E18" w:rsidRPr="005D781E" w:rsidRDefault="00236E18" w:rsidP="00236E18">
      <w:pPr>
        <w:numPr>
          <w:ilvl w:val="0"/>
          <w:numId w:val="15"/>
        </w:numPr>
        <w:ind w:left="1077" w:hanging="513"/>
        <w:jc w:val="both"/>
        <w:rPr>
          <w:bCs/>
          <w:sz w:val="20"/>
          <w:lang w:eastAsia="ja-JP"/>
        </w:rPr>
      </w:pPr>
      <w:r w:rsidRPr="005D781E">
        <w:rPr>
          <w:bCs/>
          <w:sz w:val="20"/>
          <w:lang w:eastAsia="ja-JP"/>
        </w:rPr>
        <w:t>la disponibilidad de nuevas tecnologías de la información y las comunicaciones, lo que aumenta las expectativas y las posibilidades de poner a disposición de todos los solicitantes un sistema de tramitación enteramente electrónico.</w:t>
      </w:r>
    </w:p>
    <w:p w:rsidR="00236E18" w:rsidRPr="005D781E" w:rsidRDefault="00236E18" w:rsidP="00236E18">
      <w:pPr>
        <w:tabs>
          <w:tab w:val="left" w:pos="1985"/>
        </w:tabs>
        <w:jc w:val="both"/>
        <w:rPr>
          <w:bCs/>
          <w:sz w:val="20"/>
        </w:rPr>
      </w:pPr>
    </w:p>
    <w:p w:rsidR="00236E18" w:rsidRPr="005D781E" w:rsidRDefault="00236E18" w:rsidP="00236E18">
      <w:pPr>
        <w:tabs>
          <w:tab w:val="left" w:pos="567"/>
          <w:tab w:val="left" w:pos="1985"/>
        </w:tabs>
        <w:jc w:val="both"/>
        <w:rPr>
          <w:bCs/>
          <w:sz w:val="20"/>
        </w:rPr>
      </w:pPr>
    </w:p>
    <w:p w:rsidR="00236E18" w:rsidRPr="005D781E" w:rsidRDefault="00236E18" w:rsidP="00236E18">
      <w:pPr>
        <w:tabs>
          <w:tab w:val="left" w:pos="567"/>
          <w:tab w:val="left" w:pos="1985"/>
        </w:tabs>
        <w:jc w:val="both"/>
        <w:rPr>
          <w:bCs/>
          <w:szCs w:val="22"/>
        </w:rPr>
      </w:pPr>
      <w:r w:rsidRPr="005D781E">
        <w:rPr>
          <w:bCs/>
          <w:szCs w:val="22"/>
        </w:rPr>
        <w:t>ESTRATEGIAS DE EJECUCIÓN</w:t>
      </w:r>
    </w:p>
    <w:p w:rsidR="00236E18" w:rsidRPr="005D781E" w:rsidRDefault="00236E18" w:rsidP="00236E18">
      <w:pPr>
        <w:tabs>
          <w:tab w:val="left" w:pos="567"/>
          <w:tab w:val="left" w:pos="1985"/>
        </w:tabs>
        <w:jc w:val="both"/>
        <w:rPr>
          <w:bCs/>
          <w:sz w:val="20"/>
        </w:rPr>
      </w:pPr>
    </w:p>
    <w:p w:rsidR="00236E18" w:rsidRPr="005D781E" w:rsidRDefault="00236E18" w:rsidP="00236E18">
      <w:pPr>
        <w:numPr>
          <w:ilvl w:val="0"/>
          <w:numId w:val="14"/>
        </w:numPr>
        <w:jc w:val="both"/>
        <w:rPr>
          <w:bCs/>
          <w:sz w:val="20"/>
        </w:rPr>
      </w:pPr>
      <w:r w:rsidRPr="005D781E">
        <w:rPr>
          <w:bCs/>
          <w:sz w:val="20"/>
          <w:lang w:eastAsia="ja-JP"/>
        </w:rPr>
        <w:t>La participación de todas las partes interesadas es fundamental para el funcionamiento óptimo del Sistema del PCT. Por ello, el programa se centrará en la comunicación y la cooperación entre los sectores interesados así como en mejorar la eficiencia en favor de dichos sectores.  Se aplicarán las siguientes estrategias de ejecución:</w:t>
      </w:r>
    </w:p>
    <w:p w:rsidR="00236E18" w:rsidRPr="005D781E" w:rsidRDefault="00236E18" w:rsidP="00236E18">
      <w:pPr>
        <w:tabs>
          <w:tab w:val="left" w:pos="1985"/>
          <w:tab w:val="left" w:pos="2552"/>
        </w:tabs>
        <w:spacing w:after="60"/>
        <w:jc w:val="both"/>
        <w:rPr>
          <w:sz w:val="20"/>
        </w:rPr>
      </w:pPr>
    </w:p>
    <w:p w:rsidR="00236E18" w:rsidRDefault="00236E18" w:rsidP="00236E18">
      <w:pPr>
        <w:numPr>
          <w:ilvl w:val="0"/>
          <w:numId w:val="15"/>
        </w:numPr>
        <w:spacing w:after="120"/>
        <w:ind w:left="1134" w:hanging="567"/>
        <w:jc w:val="both"/>
        <w:rPr>
          <w:sz w:val="20"/>
        </w:rPr>
      </w:pPr>
      <w:r w:rsidRPr="005D781E">
        <w:rPr>
          <w:sz w:val="20"/>
        </w:rPr>
        <w:t xml:space="preserve">utilizar el sistema </w:t>
      </w:r>
      <w:proofErr w:type="spellStart"/>
      <w:r w:rsidRPr="005D781E">
        <w:rPr>
          <w:sz w:val="20"/>
        </w:rPr>
        <w:t>ePCT</w:t>
      </w:r>
      <w:proofErr w:type="spellEnd"/>
      <w:r w:rsidRPr="005D781E">
        <w:rPr>
          <w:sz w:val="20"/>
        </w:rPr>
        <w:t xml:space="preserve"> y otras herramientas para aumentar la automatización de la tramitación y mejorar la comunicación entre los solicitantes, la Oficina Internacional y las Oficinas nacionales a fin de mejorar la eficiencia y la calidad de la interacción entre el Sistema del PCT y sus usuarios y perfeccionar los requisitos de seguridad;</w:t>
      </w:r>
    </w:p>
    <w:p w:rsidR="00236E18" w:rsidRPr="00E95213" w:rsidRDefault="00236E18" w:rsidP="00236E18">
      <w:pPr>
        <w:numPr>
          <w:ilvl w:val="0"/>
          <w:numId w:val="15"/>
        </w:numPr>
        <w:spacing w:after="120"/>
        <w:ind w:left="1134" w:hanging="567"/>
        <w:jc w:val="both"/>
        <w:rPr>
          <w:sz w:val="20"/>
        </w:rPr>
      </w:pPr>
      <w:r>
        <w:rPr>
          <w:sz w:val="20"/>
        </w:rPr>
        <w:t>en colaboración con el programa</w:t>
      </w:r>
      <w:r w:rsidRPr="00E95213">
        <w:rPr>
          <w:sz w:val="20"/>
        </w:rPr>
        <w:t xml:space="preserve"> 25 (</w:t>
      </w:r>
      <w:r>
        <w:rPr>
          <w:sz w:val="20"/>
        </w:rPr>
        <w:t>T</w:t>
      </w:r>
      <w:r w:rsidRPr="00E95213">
        <w:rPr>
          <w:sz w:val="20"/>
        </w:rPr>
        <w:t>IC)</w:t>
      </w:r>
      <w:r>
        <w:rPr>
          <w:sz w:val="20"/>
        </w:rPr>
        <w:t>, emprender</w:t>
      </w:r>
      <w:r w:rsidRPr="00E95213">
        <w:rPr>
          <w:sz w:val="20"/>
        </w:rPr>
        <w:t xml:space="preserve"> esfuerzos para </w:t>
      </w:r>
      <w:r>
        <w:rPr>
          <w:sz w:val="20"/>
        </w:rPr>
        <w:t>aumentar aún más los niveles de seguridad y de capacidad de reacción y recuperación de la infraestructura de TIC que permite que funcione el PCT y sus sistemas de información;</w:t>
      </w:r>
    </w:p>
    <w:p w:rsidR="00236E18" w:rsidRPr="005D781E" w:rsidRDefault="00236E18" w:rsidP="00236E18">
      <w:pPr>
        <w:numPr>
          <w:ilvl w:val="0"/>
          <w:numId w:val="15"/>
        </w:numPr>
        <w:spacing w:after="120"/>
        <w:ind w:left="1134" w:hanging="567"/>
        <w:jc w:val="both"/>
        <w:rPr>
          <w:sz w:val="20"/>
        </w:rPr>
      </w:pPr>
      <w:r w:rsidRPr="005D781E">
        <w:rPr>
          <w:sz w:val="20"/>
        </w:rPr>
        <w:t>respaldar los esfuerzos dedicados por las Administraciones internacionales al mejoramiento de la calidad y la puntualidad de sus procedimientos, y ello incluye elaborar parámetros de calidad y estudiar la posibilidad de realizar en colaboración el examen de las solicitudes PCT y la búsqueda correspondiente;</w:t>
      </w:r>
    </w:p>
    <w:p w:rsidR="00236E18" w:rsidRPr="005D781E" w:rsidRDefault="00236E18" w:rsidP="00236E18">
      <w:pPr>
        <w:numPr>
          <w:ilvl w:val="0"/>
          <w:numId w:val="15"/>
        </w:numPr>
        <w:spacing w:after="120"/>
        <w:ind w:left="1134" w:hanging="567"/>
        <w:jc w:val="both"/>
        <w:rPr>
          <w:sz w:val="20"/>
        </w:rPr>
      </w:pPr>
      <w:r w:rsidRPr="005D781E">
        <w:rPr>
          <w:sz w:val="20"/>
        </w:rPr>
        <w:t>seguir estudiando nuevas maneras de mejorar el Sistema del PCT, aplicando al mismo tiempo las medidas específicas ya aprobadas por los Estados miembros;</w:t>
      </w:r>
    </w:p>
    <w:p w:rsidR="00236E18" w:rsidRPr="005D781E" w:rsidRDefault="00236E18" w:rsidP="00236E18">
      <w:pPr>
        <w:numPr>
          <w:ilvl w:val="0"/>
          <w:numId w:val="15"/>
        </w:numPr>
        <w:spacing w:after="120"/>
        <w:ind w:left="1134" w:hanging="567"/>
        <w:jc w:val="both"/>
        <w:rPr>
          <w:sz w:val="20"/>
        </w:rPr>
      </w:pPr>
      <w:r w:rsidRPr="005D781E">
        <w:rPr>
          <w:sz w:val="20"/>
        </w:rPr>
        <w:t>mejorar las comunicaciones con los clientes y las partes interesadas del PCT mediante encuestas y otras actividades de divulgación destinadas a reconocer las necesidades y mejorar la eficacia de los servicios prestados en el marco del PCT;</w:t>
      </w:r>
    </w:p>
    <w:p w:rsidR="00236E18" w:rsidRPr="005D781E" w:rsidRDefault="00236E18" w:rsidP="00236E18">
      <w:pPr>
        <w:numPr>
          <w:ilvl w:val="0"/>
          <w:numId w:val="15"/>
        </w:numPr>
        <w:spacing w:after="120"/>
        <w:ind w:left="1134" w:hanging="567"/>
        <w:jc w:val="both"/>
        <w:rPr>
          <w:sz w:val="20"/>
        </w:rPr>
      </w:pPr>
      <w:r w:rsidRPr="005D781E">
        <w:rPr>
          <w:sz w:val="20"/>
        </w:rPr>
        <w:lastRenderedPageBreak/>
        <w:t xml:space="preserve">impartir capacitación a un mayor número de usuarios del PCT, valiéndose de métodos tecnológicos como los </w:t>
      </w:r>
      <w:proofErr w:type="spellStart"/>
      <w:r w:rsidRPr="005D781E">
        <w:rPr>
          <w:sz w:val="20"/>
        </w:rPr>
        <w:t>webinarios</w:t>
      </w:r>
      <w:proofErr w:type="spellEnd"/>
      <w:r w:rsidRPr="005D781E">
        <w:rPr>
          <w:sz w:val="20"/>
        </w:rPr>
        <w:t xml:space="preserve"> y videoconferencias;</w:t>
      </w:r>
    </w:p>
    <w:p w:rsidR="00236E18" w:rsidRPr="005D781E" w:rsidRDefault="00236E18" w:rsidP="00236E18">
      <w:pPr>
        <w:numPr>
          <w:ilvl w:val="0"/>
          <w:numId w:val="15"/>
        </w:numPr>
        <w:spacing w:after="120"/>
        <w:ind w:left="1134" w:hanging="567"/>
        <w:jc w:val="both"/>
        <w:rPr>
          <w:sz w:val="20"/>
        </w:rPr>
      </w:pPr>
      <w:r w:rsidRPr="005D781E">
        <w:rPr>
          <w:sz w:val="20"/>
        </w:rPr>
        <w:t>agilizar la preparación y difusión de información sobre el PCT;</w:t>
      </w:r>
    </w:p>
    <w:p w:rsidR="00236E18" w:rsidRPr="005D781E" w:rsidRDefault="00236E18" w:rsidP="00236E18">
      <w:pPr>
        <w:numPr>
          <w:ilvl w:val="0"/>
          <w:numId w:val="15"/>
        </w:numPr>
        <w:spacing w:after="120"/>
        <w:ind w:left="1134" w:hanging="567"/>
        <w:jc w:val="both"/>
        <w:rPr>
          <w:sz w:val="20"/>
        </w:rPr>
      </w:pPr>
      <w:r w:rsidRPr="005D781E">
        <w:rPr>
          <w:sz w:val="20"/>
        </w:rPr>
        <w:t xml:space="preserve">seguir armonizando las competencias del personal con las necesidades, habida cuenta, en particular, de la evolución de la demanda lingüística y geográfica; </w:t>
      </w:r>
    </w:p>
    <w:p w:rsidR="00236E18" w:rsidRPr="005D781E" w:rsidRDefault="00236E18" w:rsidP="00236E18">
      <w:pPr>
        <w:numPr>
          <w:ilvl w:val="0"/>
          <w:numId w:val="15"/>
        </w:numPr>
        <w:spacing w:after="120"/>
        <w:ind w:left="1134" w:hanging="567"/>
        <w:jc w:val="both"/>
        <w:rPr>
          <w:sz w:val="20"/>
        </w:rPr>
      </w:pPr>
      <w:r w:rsidRPr="005D781E">
        <w:rPr>
          <w:sz w:val="20"/>
        </w:rPr>
        <w:t>seguir estudiando y aplicando medidas de control y rendimiento de los costos en el marco de las operaciones del PCT;  y</w:t>
      </w:r>
    </w:p>
    <w:p w:rsidR="00236E18" w:rsidRDefault="00236E18" w:rsidP="00236E18">
      <w:pPr>
        <w:numPr>
          <w:ilvl w:val="0"/>
          <w:numId w:val="15"/>
        </w:numPr>
        <w:spacing w:after="120"/>
        <w:ind w:left="1134" w:hanging="567"/>
        <w:jc w:val="both"/>
        <w:rPr>
          <w:sz w:val="20"/>
        </w:rPr>
      </w:pPr>
      <w:r w:rsidRPr="005D781E">
        <w:rPr>
          <w:sz w:val="20"/>
        </w:rPr>
        <w:t>seguir cooperando con otros programas relacionados con las actividades de asistencia técnica y fortalecimiento de capacidades en el marco del PCT en favor de los países en desarrollo y los países meno</w:t>
      </w:r>
      <w:r>
        <w:rPr>
          <w:sz w:val="20"/>
        </w:rPr>
        <w:t>s adelantados, como se ilustra a continuación</w:t>
      </w:r>
      <w:r w:rsidRPr="005D781E">
        <w:rPr>
          <w:sz w:val="20"/>
        </w:rPr>
        <w:t>.</w:t>
      </w:r>
    </w:p>
    <w:p w:rsidR="00236E18" w:rsidRDefault="00236E18" w:rsidP="00236E18">
      <w:pPr>
        <w:spacing w:after="120"/>
        <w:jc w:val="both"/>
        <w:rPr>
          <w:sz w:val="20"/>
        </w:rPr>
      </w:pPr>
    </w:p>
    <w:p w:rsidR="00236E18" w:rsidRPr="005D781E" w:rsidRDefault="00236E18" w:rsidP="00236E18">
      <w:pPr>
        <w:spacing w:after="120"/>
        <w:jc w:val="both"/>
        <w:rPr>
          <w:sz w:val="20"/>
        </w:rPr>
      </w:pPr>
      <w:r w:rsidRPr="002F58D0">
        <w:rPr>
          <w:noProof/>
          <w:lang w:val="en-US" w:eastAsia="en-US"/>
        </w:rPr>
        <w:drawing>
          <wp:inline distT="0" distB="0" distL="0" distR="0" wp14:anchorId="232DD461" wp14:editId="30394283">
            <wp:extent cx="5940425" cy="1956659"/>
            <wp:effectExtent l="0" t="95250" r="0" b="5715"/>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236E18" w:rsidRDefault="00236E18" w:rsidP="00236E18">
      <w:pPr>
        <w:keepNext/>
        <w:keepLines/>
        <w:tabs>
          <w:tab w:val="left" w:pos="567"/>
          <w:tab w:val="left" w:pos="1985"/>
        </w:tabs>
        <w:jc w:val="both"/>
        <w:rPr>
          <w:bCs/>
          <w:szCs w:val="22"/>
        </w:rPr>
      </w:pPr>
    </w:p>
    <w:p w:rsidR="00236E18" w:rsidRPr="005D781E" w:rsidRDefault="00236E18" w:rsidP="00236E18">
      <w:pPr>
        <w:keepNext/>
        <w:keepLines/>
        <w:tabs>
          <w:tab w:val="left" w:pos="567"/>
          <w:tab w:val="left" w:pos="1985"/>
        </w:tabs>
        <w:jc w:val="both"/>
        <w:rPr>
          <w:bCs/>
          <w:szCs w:val="22"/>
        </w:rPr>
      </w:pPr>
    </w:p>
    <w:p w:rsidR="00236E18" w:rsidRPr="005D781E" w:rsidRDefault="00236E18" w:rsidP="00236E18">
      <w:pPr>
        <w:keepNext/>
        <w:keepLines/>
        <w:tabs>
          <w:tab w:val="left" w:pos="567"/>
          <w:tab w:val="left" w:pos="1985"/>
        </w:tabs>
        <w:jc w:val="both"/>
        <w:rPr>
          <w:bCs/>
          <w:szCs w:val="22"/>
        </w:rPr>
      </w:pPr>
      <w:r w:rsidRPr="005D781E">
        <w:rPr>
          <w:bCs/>
          <w:szCs w:val="22"/>
        </w:rPr>
        <w:t>PRINCIPALES RIESGOS Y ESTRATEGIAS DE MITIGACIÓN</w:t>
      </w:r>
    </w:p>
    <w:p w:rsidR="00236E18" w:rsidRPr="005D781E" w:rsidRDefault="00236E18" w:rsidP="00236E18">
      <w:pPr>
        <w:rPr>
          <w:szCs w:val="22"/>
        </w:rPr>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245"/>
      </w:tblGrid>
      <w:tr w:rsidR="00236E18" w:rsidRPr="005D781E" w:rsidTr="00294272">
        <w:trPr>
          <w:trHeight w:val="577"/>
        </w:trPr>
        <w:tc>
          <w:tcPr>
            <w:tcW w:w="4111" w:type="dxa"/>
            <w:tcBorders>
              <w:top w:val="single" w:sz="4" w:space="0" w:color="auto"/>
              <w:bottom w:val="single" w:sz="4" w:space="0" w:color="auto"/>
            </w:tcBorders>
            <w:shd w:val="clear" w:color="auto" w:fill="C6D9F1"/>
            <w:vAlign w:val="center"/>
          </w:tcPr>
          <w:p w:rsidR="00236E18" w:rsidRPr="005D781E" w:rsidRDefault="00236E18" w:rsidP="00294272">
            <w:pPr>
              <w:jc w:val="center"/>
              <w:rPr>
                <w:b/>
                <w:bCs/>
                <w:sz w:val="18"/>
                <w:szCs w:val="18"/>
              </w:rPr>
            </w:pPr>
            <w:r w:rsidRPr="005D781E">
              <w:rPr>
                <w:b/>
                <w:bCs/>
                <w:sz w:val="18"/>
                <w:szCs w:val="18"/>
              </w:rPr>
              <w:t>Riesgo</w:t>
            </w:r>
          </w:p>
        </w:tc>
        <w:tc>
          <w:tcPr>
            <w:tcW w:w="5245" w:type="dxa"/>
            <w:tcBorders>
              <w:top w:val="single" w:sz="4" w:space="0" w:color="auto"/>
              <w:bottom w:val="single" w:sz="4" w:space="0" w:color="auto"/>
            </w:tcBorders>
            <w:shd w:val="clear" w:color="auto" w:fill="C6D9F1"/>
            <w:vAlign w:val="center"/>
          </w:tcPr>
          <w:p w:rsidR="00236E18" w:rsidRPr="005D781E" w:rsidRDefault="00236E18" w:rsidP="00294272">
            <w:pPr>
              <w:jc w:val="center"/>
              <w:rPr>
                <w:b/>
                <w:bCs/>
                <w:sz w:val="18"/>
                <w:szCs w:val="18"/>
              </w:rPr>
            </w:pPr>
            <w:r w:rsidRPr="005D781E">
              <w:rPr>
                <w:b/>
                <w:bCs/>
                <w:sz w:val="18"/>
                <w:szCs w:val="18"/>
              </w:rPr>
              <w:t>Mitigación</w:t>
            </w:r>
          </w:p>
        </w:tc>
      </w:tr>
      <w:tr w:rsidR="00236E18" w:rsidRPr="005D781E" w:rsidTr="00294272">
        <w:trPr>
          <w:trHeight w:val="336"/>
        </w:trPr>
        <w:tc>
          <w:tcPr>
            <w:tcW w:w="4111" w:type="dxa"/>
            <w:tcBorders>
              <w:top w:val="single" w:sz="4" w:space="0" w:color="auto"/>
            </w:tcBorders>
            <w:shd w:val="clear" w:color="auto" w:fill="auto"/>
            <w:tcMar>
              <w:top w:w="113" w:type="dxa"/>
              <w:bottom w:w="113" w:type="dxa"/>
            </w:tcMar>
          </w:tcPr>
          <w:p w:rsidR="00236E18" w:rsidRPr="005D781E" w:rsidRDefault="00236E18" w:rsidP="00294272">
            <w:pPr>
              <w:rPr>
                <w:sz w:val="16"/>
                <w:szCs w:val="16"/>
              </w:rPr>
            </w:pPr>
            <w:r w:rsidRPr="005D781E">
              <w:rPr>
                <w:sz w:val="16"/>
                <w:szCs w:val="16"/>
              </w:rPr>
              <w:t>Disminución del número de solicitudes presentadas en virtud del PCT, en términos absolutos o relativos con respecto a las solicitudes presentadas en virtud del Convenio de París.</w:t>
            </w:r>
          </w:p>
        </w:tc>
        <w:tc>
          <w:tcPr>
            <w:tcW w:w="5245" w:type="dxa"/>
            <w:tcBorders>
              <w:top w:val="single" w:sz="4" w:space="0" w:color="auto"/>
            </w:tcBorders>
            <w:shd w:val="clear" w:color="auto" w:fill="auto"/>
            <w:tcMar>
              <w:top w:w="113" w:type="dxa"/>
              <w:bottom w:w="113" w:type="dxa"/>
            </w:tcMar>
          </w:tcPr>
          <w:p w:rsidR="00236E18" w:rsidRPr="005D781E" w:rsidRDefault="00236E18" w:rsidP="00294272">
            <w:pPr>
              <w:rPr>
                <w:sz w:val="16"/>
                <w:szCs w:val="16"/>
              </w:rPr>
            </w:pPr>
            <w:r w:rsidRPr="005D781E">
              <w:rPr>
                <w:sz w:val="16"/>
                <w:szCs w:val="16"/>
              </w:rPr>
              <w:t>Se seguirá fomentando el PCT entre los usuarios actuales y potenciales.</w:t>
            </w:r>
          </w:p>
        </w:tc>
      </w:tr>
      <w:tr w:rsidR="00236E18" w:rsidRPr="005D781E" w:rsidTr="00294272">
        <w:trPr>
          <w:trHeight w:val="454"/>
        </w:trPr>
        <w:tc>
          <w:tcPr>
            <w:tcW w:w="4111" w:type="dxa"/>
            <w:shd w:val="clear" w:color="auto" w:fill="auto"/>
            <w:tcMar>
              <w:top w:w="113" w:type="dxa"/>
              <w:bottom w:w="113" w:type="dxa"/>
            </w:tcMar>
          </w:tcPr>
          <w:p w:rsidR="00236E18" w:rsidRPr="005D781E" w:rsidRDefault="00236E18" w:rsidP="00294272">
            <w:pPr>
              <w:rPr>
                <w:sz w:val="16"/>
                <w:szCs w:val="16"/>
              </w:rPr>
            </w:pPr>
            <w:r w:rsidRPr="005D781E">
              <w:rPr>
                <w:sz w:val="16"/>
                <w:szCs w:val="16"/>
              </w:rPr>
              <w:t>Indisponibilidad prolongada de los servicios del PCT.</w:t>
            </w:r>
          </w:p>
        </w:tc>
        <w:tc>
          <w:tcPr>
            <w:tcW w:w="5245" w:type="dxa"/>
            <w:shd w:val="clear" w:color="auto" w:fill="auto"/>
            <w:tcMar>
              <w:top w:w="113" w:type="dxa"/>
              <w:bottom w:w="113" w:type="dxa"/>
            </w:tcMar>
          </w:tcPr>
          <w:p w:rsidR="00236E18" w:rsidRPr="005D781E" w:rsidRDefault="00236E18" w:rsidP="00294272">
            <w:pPr>
              <w:rPr>
                <w:sz w:val="16"/>
                <w:szCs w:val="16"/>
              </w:rPr>
            </w:pPr>
            <w:r w:rsidRPr="005D781E">
              <w:rPr>
                <w:sz w:val="16"/>
                <w:szCs w:val="16"/>
              </w:rPr>
              <w:t xml:space="preserve">Preparación y comprobación periódica del plan de gestión de la continuidad de las operaciones </w:t>
            </w:r>
            <w:r>
              <w:rPr>
                <w:sz w:val="16"/>
                <w:szCs w:val="16"/>
              </w:rPr>
              <w:t xml:space="preserve">e introducción </w:t>
            </w:r>
            <w:r w:rsidRPr="005D781E">
              <w:rPr>
                <w:sz w:val="16"/>
                <w:szCs w:val="16"/>
              </w:rPr>
              <w:t>e</w:t>
            </w:r>
            <w:r>
              <w:rPr>
                <w:sz w:val="16"/>
                <w:szCs w:val="16"/>
              </w:rPr>
              <w:t>n</w:t>
            </w:r>
            <w:r w:rsidRPr="005D781E">
              <w:rPr>
                <w:sz w:val="16"/>
                <w:szCs w:val="16"/>
              </w:rPr>
              <w:t xml:space="preserve"> la arquitectura del sistema</w:t>
            </w:r>
            <w:r>
              <w:rPr>
                <w:sz w:val="16"/>
                <w:szCs w:val="16"/>
              </w:rPr>
              <w:t xml:space="preserve"> </w:t>
            </w:r>
            <w:r w:rsidRPr="005D781E">
              <w:rPr>
                <w:sz w:val="16"/>
                <w:szCs w:val="16"/>
              </w:rPr>
              <w:t xml:space="preserve">de mejoras </w:t>
            </w:r>
            <w:r>
              <w:rPr>
                <w:sz w:val="16"/>
                <w:szCs w:val="16"/>
              </w:rPr>
              <w:t>a la capacidad de reacción y</w:t>
            </w:r>
            <w:r w:rsidRPr="005D781E">
              <w:rPr>
                <w:sz w:val="16"/>
                <w:szCs w:val="16"/>
              </w:rPr>
              <w:t xml:space="preserve"> recuperación.</w:t>
            </w:r>
          </w:p>
        </w:tc>
      </w:tr>
      <w:tr w:rsidR="00236E18" w:rsidRPr="005D781E" w:rsidTr="00294272">
        <w:trPr>
          <w:trHeight w:val="670"/>
        </w:trPr>
        <w:tc>
          <w:tcPr>
            <w:tcW w:w="4111" w:type="dxa"/>
            <w:shd w:val="clear" w:color="auto" w:fill="auto"/>
            <w:tcMar>
              <w:top w:w="113" w:type="dxa"/>
              <w:bottom w:w="113" w:type="dxa"/>
            </w:tcMar>
          </w:tcPr>
          <w:p w:rsidR="00236E18" w:rsidRPr="005D781E" w:rsidRDefault="00236E18" w:rsidP="00294272">
            <w:pPr>
              <w:rPr>
                <w:sz w:val="16"/>
                <w:szCs w:val="16"/>
              </w:rPr>
            </w:pPr>
            <w:r w:rsidRPr="005D781E">
              <w:rPr>
                <w:sz w:val="16"/>
                <w:szCs w:val="16"/>
              </w:rPr>
              <w:t>Divulgación intencionada o involuntaria de información confidencial.</w:t>
            </w:r>
          </w:p>
        </w:tc>
        <w:tc>
          <w:tcPr>
            <w:tcW w:w="5245" w:type="dxa"/>
            <w:shd w:val="clear" w:color="auto" w:fill="auto"/>
            <w:tcMar>
              <w:top w:w="113" w:type="dxa"/>
              <w:bottom w:w="113" w:type="dxa"/>
            </w:tcMar>
          </w:tcPr>
          <w:p w:rsidR="00236E18" w:rsidRPr="005D781E" w:rsidRDefault="00236E18" w:rsidP="00294272">
            <w:pPr>
              <w:rPr>
                <w:sz w:val="16"/>
                <w:szCs w:val="16"/>
              </w:rPr>
            </w:pPr>
            <w:r w:rsidRPr="005D781E">
              <w:rPr>
                <w:sz w:val="16"/>
                <w:szCs w:val="16"/>
              </w:rPr>
              <w:t xml:space="preserve">Programa </w:t>
            </w:r>
            <w:proofErr w:type="gramStart"/>
            <w:r w:rsidRPr="005D781E">
              <w:rPr>
                <w:sz w:val="16"/>
                <w:szCs w:val="16"/>
              </w:rPr>
              <w:t>continuo</w:t>
            </w:r>
            <w:proofErr w:type="gramEnd"/>
            <w:r w:rsidRPr="005D781E">
              <w:rPr>
                <w:sz w:val="16"/>
                <w:szCs w:val="16"/>
              </w:rPr>
              <w:t xml:space="preserve"> de sensibilización destinado al personal;  seguir aplicando los más modernos mecanismos de control del entorno físico y electrónico;  seguir mejorando la vigilancia estratégica;  mantener un alto grado de supervisión de los proveedores de servicios subcontratados.</w:t>
            </w:r>
          </w:p>
        </w:tc>
      </w:tr>
      <w:tr w:rsidR="00236E18" w:rsidRPr="005D781E" w:rsidTr="00294272">
        <w:trPr>
          <w:trHeight w:val="632"/>
        </w:trPr>
        <w:tc>
          <w:tcPr>
            <w:tcW w:w="4111" w:type="dxa"/>
            <w:shd w:val="clear" w:color="auto" w:fill="auto"/>
            <w:tcMar>
              <w:top w:w="113" w:type="dxa"/>
              <w:bottom w:w="113" w:type="dxa"/>
            </w:tcMar>
          </w:tcPr>
          <w:p w:rsidR="00236E18" w:rsidRPr="005D781E" w:rsidRDefault="00236E18" w:rsidP="00294272">
            <w:pPr>
              <w:rPr>
                <w:sz w:val="16"/>
                <w:szCs w:val="16"/>
              </w:rPr>
            </w:pPr>
            <w:r w:rsidRPr="005D781E">
              <w:rPr>
                <w:sz w:val="16"/>
                <w:szCs w:val="16"/>
              </w:rPr>
              <w:t>Empeoramiento de la calidad de los textos producidos por las Oficinas durante la tramitación internacional.</w:t>
            </w:r>
          </w:p>
        </w:tc>
        <w:tc>
          <w:tcPr>
            <w:tcW w:w="5245" w:type="dxa"/>
            <w:shd w:val="clear" w:color="auto" w:fill="auto"/>
            <w:tcMar>
              <w:top w:w="113" w:type="dxa"/>
              <w:bottom w:w="113" w:type="dxa"/>
            </w:tcMar>
          </w:tcPr>
          <w:p w:rsidR="00236E18" w:rsidRPr="005D781E" w:rsidRDefault="00236E18" w:rsidP="00294272">
            <w:pPr>
              <w:rPr>
                <w:b/>
                <w:i/>
                <w:sz w:val="16"/>
                <w:szCs w:val="16"/>
              </w:rPr>
            </w:pPr>
            <w:r w:rsidRPr="005D781E">
              <w:rPr>
                <w:sz w:val="16"/>
                <w:szCs w:val="16"/>
              </w:rPr>
              <w:t xml:space="preserve">Armonizar las competencias del personal con las necesidades;  seguir fomentando los procedimientos de control de calidad;  prestar apoyo en materia de formación, en particular en relación con las nuevas tecnologías, como XML, </w:t>
            </w:r>
            <w:proofErr w:type="spellStart"/>
            <w:r w:rsidRPr="005D781E">
              <w:rPr>
                <w:sz w:val="16"/>
                <w:szCs w:val="16"/>
              </w:rPr>
              <w:t>ePCT</w:t>
            </w:r>
            <w:proofErr w:type="spellEnd"/>
            <w:r w:rsidRPr="005D781E">
              <w:rPr>
                <w:sz w:val="16"/>
                <w:szCs w:val="16"/>
              </w:rPr>
              <w:t>, etc.</w:t>
            </w:r>
          </w:p>
        </w:tc>
      </w:tr>
    </w:tbl>
    <w:p w:rsidR="00236E18" w:rsidRDefault="00236E18" w:rsidP="00236E18">
      <w:pPr>
        <w:keepNext/>
        <w:keepLines/>
        <w:tabs>
          <w:tab w:val="left" w:pos="567"/>
          <w:tab w:val="left" w:pos="1985"/>
        </w:tabs>
        <w:jc w:val="both"/>
        <w:rPr>
          <w:bCs/>
        </w:rPr>
      </w:pPr>
      <w:r w:rsidRPr="005D781E">
        <w:rPr>
          <w:bCs/>
        </w:rPr>
        <w:lastRenderedPageBreak/>
        <w:t>MARC</w:t>
      </w:r>
      <w:r>
        <w:rPr>
          <w:bCs/>
        </w:rPr>
        <w:t>O DE RESULTADOS</w:t>
      </w:r>
    </w:p>
    <w:p w:rsidR="00236E18" w:rsidRPr="005D781E" w:rsidRDefault="00236E18" w:rsidP="00236E18">
      <w:pPr>
        <w:keepNext/>
        <w:keepLines/>
        <w:tabs>
          <w:tab w:val="left" w:pos="567"/>
          <w:tab w:val="left" w:pos="1985"/>
        </w:tabs>
        <w:jc w:val="both"/>
        <w:rPr>
          <w:bCs/>
        </w:rPr>
      </w:pPr>
    </w:p>
    <w:tbl>
      <w:tblPr>
        <w:tblW w:w="9244" w:type="dxa"/>
        <w:tblLayout w:type="fixed"/>
        <w:tblCellMar>
          <w:left w:w="30" w:type="dxa"/>
          <w:right w:w="30" w:type="dxa"/>
        </w:tblCellMar>
        <w:tblLook w:val="0000" w:firstRow="0" w:lastRow="0" w:firstColumn="0" w:lastColumn="0" w:noHBand="0" w:noVBand="0"/>
      </w:tblPr>
      <w:tblGrid>
        <w:gridCol w:w="2674"/>
        <w:gridCol w:w="2397"/>
        <w:gridCol w:w="2256"/>
        <w:gridCol w:w="1917"/>
      </w:tblGrid>
      <w:tr w:rsidR="00236E18" w:rsidRPr="005D781E" w:rsidTr="00294272">
        <w:trPr>
          <w:trHeight w:val="470"/>
        </w:trPr>
        <w:tc>
          <w:tcPr>
            <w:tcW w:w="2674" w:type="dxa"/>
            <w:tcBorders>
              <w:top w:val="single" w:sz="6" w:space="0" w:color="auto"/>
              <w:left w:val="single" w:sz="6" w:space="0" w:color="auto"/>
              <w:bottom w:val="single" w:sz="6" w:space="0" w:color="auto"/>
              <w:right w:val="nil"/>
            </w:tcBorders>
            <w:shd w:val="clear" w:color="auto" w:fill="C6D9F1"/>
            <w:vAlign w:val="center"/>
          </w:tcPr>
          <w:p w:rsidR="00236E18" w:rsidRPr="005D781E" w:rsidRDefault="00236E18" w:rsidP="00294272">
            <w:pPr>
              <w:keepNext/>
              <w:keepLines/>
              <w:autoSpaceDE w:val="0"/>
              <w:autoSpaceDN w:val="0"/>
              <w:adjustRightInd w:val="0"/>
              <w:jc w:val="center"/>
              <w:rPr>
                <w:b/>
                <w:bCs/>
                <w:sz w:val="18"/>
              </w:rPr>
            </w:pPr>
            <w:r w:rsidRPr="005D781E">
              <w:rPr>
                <w:b/>
                <w:bCs/>
                <w:sz w:val="18"/>
              </w:rPr>
              <w:t>Resultados previstos</w:t>
            </w:r>
          </w:p>
        </w:tc>
        <w:tc>
          <w:tcPr>
            <w:tcW w:w="2397" w:type="dxa"/>
            <w:tcBorders>
              <w:top w:val="single" w:sz="6" w:space="0" w:color="auto"/>
              <w:left w:val="nil"/>
              <w:bottom w:val="single" w:sz="6" w:space="0" w:color="auto"/>
              <w:right w:val="nil"/>
            </w:tcBorders>
            <w:shd w:val="clear" w:color="auto" w:fill="C6D9F1"/>
            <w:vAlign w:val="center"/>
          </w:tcPr>
          <w:p w:rsidR="00236E18" w:rsidRPr="005D781E" w:rsidRDefault="00236E18" w:rsidP="00294272">
            <w:pPr>
              <w:keepNext/>
              <w:keepLines/>
              <w:autoSpaceDE w:val="0"/>
              <w:autoSpaceDN w:val="0"/>
              <w:adjustRightInd w:val="0"/>
              <w:jc w:val="center"/>
              <w:rPr>
                <w:b/>
                <w:bCs/>
                <w:sz w:val="18"/>
              </w:rPr>
            </w:pPr>
            <w:r w:rsidRPr="005D781E">
              <w:rPr>
                <w:b/>
                <w:bCs/>
                <w:sz w:val="18"/>
              </w:rPr>
              <w:t>Indicadores de rendimiento</w:t>
            </w:r>
          </w:p>
        </w:tc>
        <w:tc>
          <w:tcPr>
            <w:tcW w:w="2256" w:type="dxa"/>
            <w:tcBorders>
              <w:top w:val="single" w:sz="6" w:space="0" w:color="auto"/>
              <w:left w:val="nil"/>
              <w:bottom w:val="single" w:sz="6" w:space="0" w:color="auto"/>
              <w:right w:val="nil"/>
            </w:tcBorders>
            <w:shd w:val="clear" w:color="auto" w:fill="C6D9F1"/>
            <w:vAlign w:val="center"/>
          </w:tcPr>
          <w:p w:rsidR="00236E18" w:rsidRPr="005D781E" w:rsidRDefault="00236E18" w:rsidP="00294272">
            <w:pPr>
              <w:keepNext/>
              <w:keepLines/>
              <w:autoSpaceDE w:val="0"/>
              <w:autoSpaceDN w:val="0"/>
              <w:adjustRightInd w:val="0"/>
              <w:rPr>
                <w:b/>
                <w:bCs/>
                <w:sz w:val="18"/>
              </w:rPr>
            </w:pPr>
            <w:r w:rsidRPr="005D781E">
              <w:rPr>
                <w:b/>
                <w:bCs/>
                <w:sz w:val="18"/>
              </w:rPr>
              <w:t>Referencia</w:t>
            </w:r>
          </w:p>
        </w:tc>
        <w:tc>
          <w:tcPr>
            <w:tcW w:w="1917" w:type="dxa"/>
            <w:tcBorders>
              <w:top w:val="single" w:sz="6" w:space="0" w:color="auto"/>
              <w:left w:val="nil"/>
              <w:bottom w:val="single" w:sz="6" w:space="0" w:color="auto"/>
              <w:right w:val="single" w:sz="6" w:space="0" w:color="auto"/>
            </w:tcBorders>
            <w:shd w:val="clear" w:color="auto" w:fill="C6D9F1"/>
            <w:vAlign w:val="center"/>
          </w:tcPr>
          <w:p w:rsidR="00236E18" w:rsidRPr="005D781E" w:rsidRDefault="00236E18" w:rsidP="00294272">
            <w:pPr>
              <w:keepNext/>
              <w:keepLines/>
              <w:autoSpaceDE w:val="0"/>
              <w:autoSpaceDN w:val="0"/>
              <w:adjustRightInd w:val="0"/>
              <w:jc w:val="center"/>
              <w:rPr>
                <w:b/>
                <w:bCs/>
                <w:sz w:val="18"/>
              </w:rPr>
            </w:pPr>
            <w:r w:rsidRPr="005D781E">
              <w:rPr>
                <w:b/>
                <w:bCs/>
                <w:sz w:val="18"/>
              </w:rPr>
              <w:t>Objetivos</w:t>
            </w:r>
          </w:p>
        </w:tc>
      </w:tr>
      <w:tr w:rsidR="00236E18" w:rsidRPr="005D781E" w:rsidTr="00294272">
        <w:trPr>
          <w:trHeight w:val="1358"/>
        </w:trPr>
        <w:tc>
          <w:tcPr>
            <w:tcW w:w="2674" w:type="dxa"/>
            <w:tcBorders>
              <w:top w:val="single" w:sz="6" w:space="0" w:color="auto"/>
              <w:left w:val="single" w:sz="6" w:space="0" w:color="auto"/>
              <w:bottom w:val="nil"/>
              <w:right w:val="nil"/>
            </w:tcBorders>
            <w:shd w:val="solid" w:color="FFFFFF" w:fill="auto"/>
          </w:tcPr>
          <w:p w:rsidR="00236E18" w:rsidRPr="005D781E" w:rsidRDefault="00236E18" w:rsidP="00294272">
            <w:pPr>
              <w:keepNext/>
              <w:keepLines/>
              <w:autoSpaceDE w:val="0"/>
              <w:autoSpaceDN w:val="0"/>
              <w:adjustRightInd w:val="0"/>
              <w:ind w:right="487"/>
              <w:rPr>
                <w:sz w:val="16"/>
                <w:szCs w:val="16"/>
              </w:rPr>
            </w:pPr>
          </w:p>
          <w:p w:rsidR="00236E18" w:rsidRPr="005D781E" w:rsidRDefault="00236E18" w:rsidP="00294272">
            <w:pPr>
              <w:keepNext/>
              <w:keepLines/>
              <w:autoSpaceDE w:val="0"/>
              <w:autoSpaceDN w:val="0"/>
              <w:adjustRightInd w:val="0"/>
              <w:ind w:right="487"/>
              <w:rPr>
                <w:sz w:val="16"/>
                <w:szCs w:val="16"/>
              </w:rPr>
            </w:pPr>
            <w:r w:rsidRPr="005D781E">
              <w:rPr>
                <w:sz w:val="16"/>
                <w:szCs w:val="16"/>
              </w:rPr>
              <w:t xml:space="preserve">II.1 </w:t>
            </w:r>
            <w:r>
              <w:rPr>
                <w:sz w:val="16"/>
                <w:szCs w:val="16"/>
              </w:rPr>
              <w:t xml:space="preserve"> </w:t>
            </w:r>
            <w:r w:rsidRPr="00E95213">
              <w:rPr>
                <w:sz w:val="16"/>
                <w:szCs w:val="16"/>
                <w:lang w:val="es-ES_tradnl"/>
              </w:rPr>
              <w:t>Mayor y más eficaz utilización del Sistema del PCT para presentar solicitudes internacionales de patentes</w:t>
            </w:r>
          </w:p>
        </w:tc>
        <w:tc>
          <w:tcPr>
            <w:tcW w:w="2397" w:type="dxa"/>
            <w:tcBorders>
              <w:top w:val="single" w:sz="6" w:space="0" w:color="auto"/>
              <w:left w:val="nil"/>
              <w:bottom w:val="nil"/>
              <w:right w:val="nil"/>
            </w:tcBorders>
            <w:shd w:val="solid" w:color="FFFFFF" w:fill="auto"/>
          </w:tcPr>
          <w:p w:rsidR="00236E18" w:rsidRPr="005D781E" w:rsidRDefault="00236E18" w:rsidP="00294272">
            <w:pPr>
              <w:keepNext/>
              <w:keepLines/>
              <w:autoSpaceDE w:val="0"/>
              <w:autoSpaceDN w:val="0"/>
              <w:adjustRightInd w:val="0"/>
              <w:ind w:right="333"/>
              <w:rPr>
                <w:sz w:val="16"/>
                <w:szCs w:val="16"/>
              </w:rPr>
            </w:pPr>
          </w:p>
          <w:p w:rsidR="00236E18" w:rsidRPr="005D781E" w:rsidRDefault="00236E18" w:rsidP="00294272">
            <w:pPr>
              <w:keepNext/>
              <w:keepLines/>
              <w:autoSpaceDE w:val="0"/>
              <w:autoSpaceDN w:val="0"/>
              <w:adjustRightInd w:val="0"/>
              <w:ind w:right="333"/>
              <w:rPr>
                <w:sz w:val="16"/>
                <w:szCs w:val="16"/>
              </w:rPr>
            </w:pPr>
            <w:r w:rsidRPr="005D781E">
              <w:rPr>
                <w:sz w:val="16"/>
                <w:szCs w:val="16"/>
              </w:rPr>
              <w:t>Nivel de satisfacción de los usuarios respecto de los servicios, específicos del PCT, de asesoramiento jurídico, información, formación y de atención al cliente.</w:t>
            </w:r>
            <w:r>
              <w:rPr>
                <w:sz w:val="16"/>
                <w:szCs w:val="16"/>
              </w:rPr>
              <w:br/>
            </w:r>
          </w:p>
        </w:tc>
        <w:tc>
          <w:tcPr>
            <w:tcW w:w="2256" w:type="dxa"/>
            <w:tcBorders>
              <w:top w:val="single" w:sz="6" w:space="0" w:color="auto"/>
              <w:left w:val="nil"/>
              <w:bottom w:val="nil"/>
              <w:right w:val="nil"/>
            </w:tcBorders>
            <w:shd w:val="solid" w:color="FFFFFF" w:fill="auto"/>
          </w:tcPr>
          <w:p w:rsidR="00236E18" w:rsidRPr="005D781E" w:rsidRDefault="00236E18" w:rsidP="00294272">
            <w:pPr>
              <w:keepNext/>
              <w:keepLines/>
              <w:tabs>
                <w:tab w:val="left" w:pos="1733"/>
              </w:tabs>
              <w:autoSpaceDE w:val="0"/>
              <w:autoSpaceDN w:val="0"/>
              <w:adjustRightInd w:val="0"/>
              <w:ind w:left="59" w:right="321"/>
              <w:rPr>
                <w:sz w:val="16"/>
                <w:szCs w:val="16"/>
              </w:rPr>
            </w:pPr>
          </w:p>
          <w:p w:rsidR="00236E18" w:rsidRPr="005D781E" w:rsidRDefault="00236E18" w:rsidP="00294272">
            <w:pPr>
              <w:keepNext/>
              <w:keepLines/>
              <w:tabs>
                <w:tab w:val="left" w:pos="1733"/>
              </w:tabs>
              <w:autoSpaceDE w:val="0"/>
              <w:autoSpaceDN w:val="0"/>
              <w:adjustRightInd w:val="0"/>
              <w:ind w:left="59" w:right="321"/>
              <w:rPr>
                <w:sz w:val="16"/>
                <w:szCs w:val="16"/>
              </w:rPr>
            </w:pPr>
            <w:r w:rsidRPr="005D781E">
              <w:rPr>
                <w:sz w:val="16"/>
                <w:szCs w:val="16"/>
              </w:rPr>
              <w:t>Resultados de las encuestas de 2009 y 2015</w:t>
            </w:r>
          </w:p>
        </w:tc>
        <w:tc>
          <w:tcPr>
            <w:tcW w:w="1917" w:type="dxa"/>
            <w:tcBorders>
              <w:top w:val="single" w:sz="6" w:space="0" w:color="auto"/>
              <w:left w:val="nil"/>
              <w:bottom w:val="nil"/>
              <w:right w:val="single" w:sz="6" w:space="0" w:color="auto"/>
            </w:tcBorders>
            <w:shd w:val="solid" w:color="FFFFFF" w:fill="auto"/>
          </w:tcPr>
          <w:p w:rsidR="00236E18" w:rsidRPr="005D781E" w:rsidRDefault="00236E18" w:rsidP="00294272">
            <w:pPr>
              <w:keepNext/>
              <w:keepLines/>
              <w:autoSpaceDE w:val="0"/>
              <w:autoSpaceDN w:val="0"/>
              <w:adjustRightInd w:val="0"/>
              <w:ind w:left="53"/>
              <w:rPr>
                <w:sz w:val="16"/>
                <w:szCs w:val="16"/>
              </w:rPr>
            </w:pPr>
          </w:p>
          <w:p w:rsidR="00236E18" w:rsidRPr="005D781E" w:rsidRDefault="00236E18" w:rsidP="00294272">
            <w:pPr>
              <w:keepNext/>
              <w:keepLines/>
              <w:autoSpaceDE w:val="0"/>
              <w:autoSpaceDN w:val="0"/>
              <w:adjustRightInd w:val="0"/>
              <w:ind w:left="53"/>
              <w:rPr>
                <w:sz w:val="16"/>
                <w:szCs w:val="16"/>
              </w:rPr>
            </w:pPr>
            <w:r w:rsidRPr="005D781E">
              <w:rPr>
                <w:sz w:val="16"/>
                <w:szCs w:val="16"/>
              </w:rPr>
              <w:t>Aumento, o al menos mantenimiento, del nivel de satisfacción de los usuarios del PCT.</w:t>
            </w:r>
          </w:p>
        </w:tc>
      </w:tr>
      <w:tr w:rsidR="00236E18" w:rsidRPr="005D781E" w:rsidTr="00294272">
        <w:trPr>
          <w:trHeight w:val="1667"/>
        </w:trPr>
        <w:tc>
          <w:tcPr>
            <w:tcW w:w="2674" w:type="dxa"/>
            <w:tcBorders>
              <w:top w:val="nil"/>
              <w:left w:val="single" w:sz="6" w:space="0" w:color="auto"/>
              <w:bottom w:val="nil"/>
              <w:right w:val="nil"/>
            </w:tcBorders>
            <w:shd w:val="solid" w:color="FFFFFF" w:fill="auto"/>
          </w:tcPr>
          <w:p w:rsidR="00236E18" w:rsidRPr="005D781E" w:rsidRDefault="00236E18" w:rsidP="00294272">
            <w:pPr>
              <w:keepNext/>
              <w:keepLines/>
              <w:autoSpaceDE w:val="0"/>
              <w:autoSpaceDN w:val="0"/>
              <w:adjustRightInd w:val="0"/>
              <w:ind w:right="487"/>
              <w:rPr>
                <w:sz w:val="16"/>
                <w:szCs w:val="16"/>
              </w:rPr>
            </w:pPr>
          </w:p>
        </w:tc>
        <w:tc>
          <w:tcPr>
            <w:tcW w:w="2268" w:type="dxa"/>
            <w:tcBorders>
              <w:top w:val="nil"/>
              <w:left w:val="nil"/>
              <w:bottom w:val="nil"/>
              <w:right w:val="nil"/>
            </w:tcBorders>
            <w:shd w:val="solid" w:color="FFFFFF" w:fill="auto"/>
          </w:tcPr>
          <w:p w:rsidR="00236E18" w:rsidRPr="005D781E" w:rsidRDefault="00236E18" w:rsidP="00294272">
            <w:pPr>
              <w:keepNext/>
              <w:keepLines/>
              <w:autoSpaceDE w:val="0"/>
              <w:autoSpaceDN w:val="0"/>
              <w:adjustRightInd w:val="0"/>
              <w:ind w:right="333"/>
              <w:rPr>
                <w:sz w:val="16"/>
                <w:szCs w:val="16"/>
              </w:rPr>
            </w:pPr>
            <w:r w:rsidRPr="005D781E">
              <w:rPr>
                <w:sz w:val="16"/>
                <w:szCs w:val="16"/>
              </w:rPr>
              <w:t>Satisfacción de las Oficinas y las administraciones internacionales con las actividades de cooperación en el marco del PCT.</w:t>
            </w:r>
          </w:p>
        </w:tc>
        <w:tc>
          <w:tcPr>
            <w:tcW w:w="2256" w:type="dxa"/>
            <w:tcBorders>
              <w:top w:val="nil"/>
              <w:left w:val="nil"/>
              <w:bottom w:val="nil"/>
              <w:right w:val="nil"/>
            </w:tcBorders>
            <w:shd w:val="solid" w:color="FFFFFF" w:fill="auto"/>
          </w:tcPr>
          <w:p w:rsidR="00236E18" w:rsidRPr="005D781E" w:rsidRDefault="00236E18" w:rsidP="00294272">
            <w:pPr>
              <w:keepNext/>
              <w:keepLines/>
              <w:tabs>
                <w:tab w:val="left" w:pos="1733"/>
              </w:tabs>
              <w:autoSpaceDE w:val="0"/>
              <w:autoSpaceDN w:val="0"/>
              <w:adjustRightInd w:val="0"/>
              <w:ind w:left="59" w:right="321"/>
              <w:rPr>
                <w:sz w:val="16"/>
                <w:szCs w:val="16"/>
              </w:rPr>
            </w:pPr>
            <w:r w:rsidRPr="005D781E">
              <w:rPr>
                <w:sz w:val="16"/>
                <w:szCs w:val="16"/>
              </w:rPr>
              <w:t xml:space="preserve">56 (95% de los 59 beneficiarios de actividades de cooperación en el marco del PCT;  85% de los 66 encuestados) (encuesta de 2012).  La encuesta de satisfacción se </w:t>
            </w:r>
            <w:r>
              <w:rPr>
                <w:sz w:val="16"/>
                <w:szCs w:val="16"/>
              </w:rPr>
              <w:t>hace</w:t>
            </w:r>
            <w:r w:rsidRPr="005D781E">
              <w:rPr>
                <w:sz w:val="16"/>
                <w:szCs w:val="16"/>
              </w:rPr>
              <w:t xml:space="preserve"> una vez cada bienio.</w:t>
            </w:r>
          </w:p>
          <w:p w:rsidR="00236E18" w:rsidRPr="005D781E" w:rsidRDefault="00236E18" w:rsidP="00294272">
            <w:pPr>
              <w:keepNext/>
              <w:keepLines/>
              <w:tabs>
                <w:tab w:val="left" w:pos="1733"/>
              </w:tabs>
              <w:autoSpaceDE w:val="0"/>
              <w:autoSpaceDN w:val="0"/>
              <w:adjustRightInd w:val="0"/>
              <w:ind w:left="59" w:right="321"/>
              <w:rPr>
                <w:sz w:val="16"/>
                <w:szCs w:val="16"/>
              </w:rPr>
            </w:pPr>
          </w:p>
        </w:tc>
        <w:tc>
          <w:tcPr>
            <w:tcW w:w="1917" w:type="dxa"/>
            <w:tcBorders>
              <w:top w:val="nil"/>
              <w:left w:val="nil"/>
              <w:bottom w:val="nil"/>
              <w:right w:val="single" w:sz="6" w:space="0" w:color="auto"/>
            </w:tcBorders>
            <w:shd w:val="solid" w:color="FFFFFF" w:fill="auto"/>
          </w:tcPr>
          <w:p w:rsidR="00236E18" w:rsidRPr="005D781E" w:rsidRDefault="00236E18" w:rsidP="00294272">
            <w:pPr>
              <w:keepNext/>
              <w:keepLines/>
              <w:autoSpaceDE w:val="0"/>
              <w:autoSpaceDN w:val="0"/>
              <w:adjustRightInd w:val="0"/>
              <w:ind w:left="53"/>
              <w:rPr>
                <w:sz w:val="16"/>
                <w:szCs w:val="16"/>
              </w:rPr>
            </w:pPr>
            <w:r w:rsidRPr="005D781E">
              <w:rPr>
                <w:sz w:val="16"/>
                <w:szCs w:val="16"/>
              </w:rPr>
              <w:t>Mantenimiento del nivel de satisfacción registrado en 2015 entre las Oficinas y las Administraciones internacionales.</w:t>
            </w:r>
          </w:p>
        </w:tc>
      </w:tr>
      <w:tr w:rsidR="00236E18" w:rsidRPr="005D781E" w:rsidTr="00294272">
        <w:trPr>
          <w:trHeight w:val="1265"/>
        </w:trPr>
        <w:tc>
          <w:tcPr>
            <w:tcW w:w="2674" w:type="dxa"/>
            <w:tcBorders>
              <w:top w:val="nil"/>
              <w:left w:val="single" w:sz="6" w:space="0" w:color="auto"/>
              <w:bottom w:val="nil"/>
              <w:right w:val="nil"/>
            </w:tcBorders>
            <w:shd w:val="solid" w:color="FFFFFF" w:fill="auto"/>
          </w:tcPr>
          <w:p w:rsidR="00236E18" w:rsidRPr="005D781E" w:rsidRDefault="00236E18" w:rsidP="00294272">
            <w:pPr>
              <w:keepNext/>
              <w:keepLines/>
              <w:autoSpaceDE w:val="0"/>
              <w:autoSpaceDN w:val="0"/>
              <w:adjustRightInd w:val="0"/>
              <w:ind w:right="487"/>
              <w:rPr>
                <w:sz w:val="16"/>
                <w:szCs w:val="16"/>
              </w:rPr>
            </w:pPr>
          </w:p>
        </w:tc>
        <w:tc>
          <w:tcPr>
            <w:tcW w:w="2397" w:type="dxa"/>
            <w:tcBorders>
              <w:top w:val="nil"/>
              <w:left w:val="nil"/>
              <w:bottom w:val="nil"/>
              <w:right w:val="nil"/>
            </w:tcBorders>
            <w:shd w:val="solid" w:color="FFFFFF" w:fill="auto"/>
          </w:tcPr>
          <w:p w:rsidR="00236E18" w:rsidRPr="005D781E" w:rsidRDefault="00236E18" w:rsidP="00294272">
            <w:pPr>
              <w:keepNext/>
              <w:keepLines/>
              <w:autoSpaceDE w:val="0"/>
              <w:autoSpaceDN w:val="0"/>
              <w:adjustRightInd w:val="0"/>
              <w:ind w:right="333"/>
              <w:rPr>
                <w:sz w:val="16"/>
                <w:szCs w:val="16"/>
              </w:rPr>
            </w:pPr>
            <w:r w:rsidRPr="005D781E">
              <w:rPr>
                <w:sz w:val="16"/>
                <w:szCs w:val="16"/>
              </w:rPr>
              <w:t>Desarrollo continuo del Sistema del PCT, sobre todo gracias a la aplicación de las recomendaciones de la hoja de ruta suscritas por los Estados miembros del PCT.</w:t>
            </w:r>
          </w:p>
          <w:p w:rsidR="00236E18" w:rsidRPr="005D781E" w:rsidRDefault="00236E18" w:rsidP="00294272">
            <w:pPr>
              <w:keepNext/>
              <w:keepLines/>
              <w:autoSpaceDE w:val="0"/>
              <w:autoSpaceDN w:val="0"/>
              <w:adjustRightInd w:val="0"/>
              <w:ind w:right="333"/>
              <w:rPr>
                <w:sz w:val="16"/>
                <w:szCs w:val="16"/>
              </w:rPr>
            </w:pPr>
          </w:p>
        </w:tc>
        <w:tc>
          <w:tcPr>
            <w:tcW w:w="2256" w:type="dxa"/>
            <w:tcBorders>
              <w:top w:val="nil"/>
              <w:left w:val="nil"/>
              <w:bottom w:val="nil"/>
              <w:right w:val="nil"/>
            </w:tcBorders>
            <w:shd w:val="solid" w:color="FFFFFF" w:fill="auto"/>
          </w:tcPr>
          <w:p w:rsidR="00236E18" w:rsidRPr="005D781E" w:rsidRDefault="00236E18" w:rsidP="00294272">
            <w:pPr>
              <w:keepNext/>
              <w:keepLines/>
              <w:tabs>
                <w:tab w:val="left" w:pos="1733"/>
              </w:tabs>
              <w:autoSpaceDE w:val="0"/>
              <w:autoSpaceDN w:val="0"/>
              <w:adjustRightInd w:val="0"/>
              <w:ind w:left="59" w:right="321"/>
              <w:rPr>
                <w:sz w:val="16"/>
                <w:szCs w:val="16"/>
              </w:rPr>
            </w:pPr>
            <w:r w:rsidRPr="005D781E">
              <w:rPr>
                <w:sz w:val="16"/>
                <w:szCs w:val="16"/>
              </w:rPr>
              <w:t>Decisiones de los órganos pertinentes del PCT hasta el final de 2014 (documento PCT/A/46/6).</w:t>
            </w:r>
          </w:p>
        </w:tc>
        <w:tc>
          <w:tcPr>
            <w:tcW w:w="1917" w:type="dxa"/>
            <w:tcBorders>
              <w:top w:val="nil"/>
              <w:left w:val="nil"/>
              <w:bottom w:val="nil"/>
              <w:right w:val="single" w:sz="6" w:space="0" w:color="auto"/>
            </w:tcBorders>
            <w:shd w:val="solid" w:color="FFFFFF" w:fill="auto"/>
          </w:tcPr>
          <w:p w:rsidR="00236E18" w:rsidRPr="005D781E" w:rsidRDefault="00236E18" w:rsidP="00294272">
            <w:pPr>
              <w:keepNext/>
              <w:keepLines/>
              <w:autoSpaceDE w:val="0"/>
              <w:autoSpaceDN w:val="0"/>
              <w:adjustRightInd w:val="0"/>
              <w:ind w:left="53"/>
              <w:rPr>
                <w:sz w:val="16"/>
                <w:szCs w:val="16"/>
              </w:rPr>
            </w:pPr>
            <w:r w:rsidRPr="005D781E">
              <w:rPr>
                <w:sz w:val="16"/>
                <w:szCs w:val="16"/>
              </w:rPr>
              <w:t>Decisiones de los órganos pertinentes del PCT hasta el final de 2017.</w:t>
            </w:r>
          </w:p>
        </w:tc>
      </w:tr>
      <w:tr w:rsidR="00236E18" w:rsidRPr="005D781E" w:rsidTr="00294272">
        <w:trPr>
          <w:trHeight w:val="2559"/>
        </w:trPr>
        <w:tc>
          <w:tcPr>
            <w:tcW w:w="2674" w:type="dxa"/>
            <w:tcBorders>
              <w:top w:val="nil"/>
              <w:left w:val="single" w:sz="6" w:space="0" w:color="auto"/>
              <w:bottom w:val="nil"/>
              <w:right w:val="nil"/>
            </w:tcBorders>
            <w:shd w:val="solid" w:color="FFFFFF" w:fill="auto"/>
          </w:tcPr>
          <w:p w:rsidR="00236E18" w:rsidRPr="00E11D26" w:rsidRDefault="00236E18" w:rsidP="00294272">
            <w:pPr>
              <w:keepNext/>
              <w:keepLines/>
              <w:autoSpaceDE w:val="0"/>
              <w:autoSpaceDN w:val="0"/>
              <w:adjustRightInd w:val="0"/>
              <w:ind w:right="487"/>
              <w:rPr>
                <w:sz w:val="16"/>
                <w:szCs w:val="16"/>
              </w:rPr>
            </w:pPr>
          </w:p>
        </w:tc>
        <w:tc>
          <w:tcPr>
            <w:tcW w:w="2397" w:type="dxa"/>
            <w:tcBorders>
              <w:top w:val="nil"/>
              <w:left w:val="nil"/>
              <w:bottom w:val="nil"/>
              <w:right w:val="nil"/>
            </w:tcBorders>
            <w:shd w:val="solid" w:color="FFFFFF" w:fill="auto"/>
          </w:tcPr>
          <w:p w:rsidR="00236E18" w:rsidRPr="005D781E" w:rsidRDefault="00236E18" w:rsidP="00294272">
            <w:pPr>
              <w:keepNext/>
              <w:keepLines/>
              <w:autoSpaceDE w:val="0"/>
              <w:autoSpaceDN w:val="0"/>
              <w:adjustRightInd w:val="0"/>
              <w:ind w:right="333"/>
              <w:rPr>
                <w:sz w:val="16"/>
                <w:szCs w:val="16"/>
              </w:rPr>
            </w:pPr>
            <w:r w:rsidRPr="005D781E">
              <w:rPr>
                <w:sz w:val="16"/>
                <w:szCs w:val="16"/>
              </w:rPr>
              <w:t>Mejora de los servicios electrónicos dirigidos a solicitantes, terceros, Oficinas y Administraciones.</w:t>
            </w:r>
          </w:p>
        </w:tc>
        <w:tc>
          <w:tcPr>
            <w:tcW w:w="2256" w:type="dxa"/>
            <w:tcBorders>
              <w:top w:val="nil"/>
              <w:left w:val="nil"/>
              <w:bottom w:val="nil"/>
              <w:right w:val="nil"/>
            </w:tcBorders>
            <w:shd w:val="solid" w:color="FFFFFF" w:fill="auto"/>
          </w:tcPr>
          <w:p w:rsidR="00236E18" w:rsidRPr="005D781E" w:rsidRDefault="00236E18" w:rsidP="00294272">
            <w:pPr>
              <w:keepNext/>
              <w:keepLines/>
              <w:tabs>
                <w:tab w:val="left" w:pos="1733"/>
              </w:tabs>
              <w:autoSpaceDE w:val="0"/>
              <w:autoSpaceDN w:val="0"/>
              <w:adjustRightInd w:val="0"/>
              <w:ind w:left="59" w:right="321"/>
              <w:rPr>
                <w:sz w:val="16"/>
                <w:szCs w:val="16"/>
              </w:rPr>
            </w:pPr>
            <w:r w:rsidRPr="005D781E">
              <w:rPr>
                <w:sz w:val="16"/>
                <w:szCs w:val="16"/>
              </w:rPr>
              <w:t>Al final de 2014, en comparación con el final de 2013:</w:t>
            </w:r>
            <w:r>
              <w:rPr>
                <w:sz w:val="16"/>
                <w:szCs w:val="16"/>
              </w:rPr>
              <w:t xml:space="preserve">  </w:t>
            </w:r>
            <w:r w:rsidRPr="005D781E">
              <w:rPr>
                <w:sz w:val="16"/>
                <w:szCs w:val="16"/>
              </w:rPr>
              <w:t xml:space="preserve">+32% de solicitantes del sector público; </w:t>
            </w:r>
            <w:r>
              <w:rPr>
                <w:sz w:val="16"/>
                <w:szCs w:val="16"/>
              </w:rPr>
              <w:t xml:space="preserve"> </w:t>
            </w:r>
            <w:r w:rsidRPr="005D781E">
              <w:rPr>
                <w:sz w:val="16"/>
                <w:szCs w:val="16"/>
              </w:rPr>
              <w:t xml:space="preserve">+100% de solicitantes del sector privado; </w:t>
            </w:r>
            <w:r>
              <w:rPr>
                <w:sz w:val="16"/>
                <w:szCs w:val="16"/>
              </w:rPr>
              <w:t xml:space="preserve"> </w:t>
            </w:r>
            <w:r w:rsidRPr="005D781E">
              <w:rPr>
                <w:sz w:val="16"/>
                <w:szCs w:val="16"/>
              </w:rPr>
              <w:t xml:space="preserve">+25% de terceros que presentan observaciones; </w:t>
            </w:r>
            <w:r>
              <w:rPr>
                <w:sz w:val="16"/>
                <w:szCs w:val="16"/>
              </w:rPr>
              <w:t xml:space="preserve"> </w:t>
            </w:r>
            <w:r w:rsidRPr="005D781E">
              <w:rPr>
                <w:sz w:val="16"/>
                <w:szCs w:val="16"/>
              </w:rPr>
              <w:t xml:space="preserve">+329% Oficinas receptoras; </w:t>
            </w:r>
          </w:p>
          <w:p w:rsidR="00236E18" w:rsidRDefault="00236E18" w:rsidP="00294272">
            <w:pPr>
              <w:keepNext/>
              <w:keepLines/>
              <w:tabs>
                <w:tab w:val="left" w:pos="1733"/>
              </w:tabs>
              <w:autoSpaceDE w:val="0"/>
              <w:autoSpaceDN w:val="0"/>
              <w:adjustRightInd w:val="0"/>
              <w:ind w:left="59" w:right="321"/>
              <w:rPr>
                <w:sz w:val="16"/>
                <w:szCs w:val="16"/>
              </w:rPr>
            </w:pPr>
            <w:r w:rsidRPr="005D781E">
              <w:rPr>
                <w:sz w:val="16"/>
                <w:szCs w:val="16"/>
              </w:rPr>
              <w:t>-73% Administraciones internacionales (la Oficina con mayor n</w:t>
            </w:r>
            <w:r>
              <w:rPr>
                <w:sz w:val="16"/>
                <w:szCs w:val="16"/>
              </w:rPr>
              <w:t>úmero</w:t>
            </w:r>
            <w:r w:rsidRPr="005D781E">
              <w:rPr>
                <w:sz w:val="16"/>
                <w:szCs w:val="16"/>
              </w:rPr>
              <w:t xml:space="preserve"> de usuarios pasó al siguiente nivel de automatización).</w:t>
            </w:r>
          </w:p>
          <w:p w:rsidR="00236E18" w:rsidRPr="005D781E" w:rsidRDefault="00236E18" w:rsidP="00294272">
            <w:pPr>
              <w:keepNext/>
              <w:keepLines/>
              <w:tabs>
                <w:tab w:val="left" w:pos="1733"/>
              </w:tabs>
              <w:autoSpaceDE w:val="0"/>
              <w:autoSpaceDN w:val="0"/>
              <w:adjustRightInd w:val="0"/>
              <w:ind w:left="59" w:right="321"/>
              <w:rPr>
                <w:sz w:val="16"/>
                <w:szCs w:val="16"/>
              </w:rPr>
            </w:pPr>
          </w:p>
        </w:tc>
        <w:tc>
          <w:tcPr>
            <w:tcW w:w="1917" w:type="dxa"/>
            <w:tcBorders>
              <w:top w:val="nil"/>
              <w:left w:val="nil"/>
              <w:bottom w:val="nil"/>
              <w:right w:val="single" w:sz="6" w:space="0" w:color="auto"/>
            </w:tcBorders>
            <w:shd w:val="solid" w:color="FFFFFF" w:fill="auto"/>
          </w:tcPr>
          <w:p w:rsidR="00236E18" w:rsidRPr="005D781E" w:rsidRDefault="00236E18" w:rsidP="00294272">
            <w:pPr>
              <w:keepNext/>
              <w:keepLines/>
              <w:autoSpaceDE w:val="0"/>
              <w:autoSpaceDN w:val="0"/>
              <w:adjustRightInd w:val="0"/>
              <w:ind w:left="53"/>
              <w:rPr>
                <w:sz w:val="16"/>
                <w:szCs w:val="16"/>
              </w:rPr>
            </w:pPr>
            <w:r w:rsidRPr="005D781E">
              <w:rPr>
                <w:sz w:val="16"/>
                <w:szCs w:val="16"/>
              </w:rPr>
              <w:t xml:space="preserve">Aumento del número de Oficinas que aceptan la presentación electrónica de solicitudes por medio del </w:t>
            </w:r>
            <w:proofErr w:type="spellStart"/>
            <w:r w:rsidRPr="005D781E">
              <w:rPr>
                <w:sz w:val="16"/>
                <w:szCs w:val="16"/>
              </w:rPr>
              <w:t>ePCT</w:t>
            </w:r>
            <w:proofErr w:type="spellEnd"/>
            <w:r w:rsidRPr="005D781E">
              <w:rPr>
                <w:sz w:val="16"/>
                <w:szCs w:val="16"/>
              </w:rPr>
              <w:t xml:space="preserve">;  Oficinas que utilizan el </w:t>
            </w:r>
            <w:proofErr w:type="spellStart"/>
            <w:r w:rsidRPr="005D781E">
              <w:rPr>
                <w:sz w:val="16"/>
                <w:szCs w:val="16"/>
              </w:rPr>
              <w:t>ePCT</w:t>
            </w:r>
            <w:proofErr w:type="spellEnd"/>
            <w:r w:rsidRPr="005D781E">
              <w:rPr>
                <w:sz w:val="16"/>
                <w:szCs w:val="16"/>
              </w:rPr>
              <w:t xml:space="preserve"> o que aceptan documentos transmitidos por solicitantes que utilizan el </w:t>
            </w:r>
            <w:proofErr w:type="spellStart"/>
            <w:r w:rsidRPr="005D781E">
              <w:rPr>
                <w:sz w:val="16"/>
                <w:szCs w:val="16"/>
              </w:rPr>
              <w:t>ePCT</w:t>
            </w:r>
            <w:proofErr w:type="spellEnd"/>
            <w:r w:rsidRPr="005D781E">
              <w:rPr>
                <w:sz w:val="16"/>
                <w:szCs w:val="16"/>
              </w:rPr>
              <w:t xml:space="preserve">;  solicitudes presentadas mediante el </w:t>
            </w:r>
            <w:proofErr w:type="spellStart"/>
            <w:r w:rsidRPr="005D781E">
              <w:rPr>
                <w:sz w:val="16"/>
                <w:szCs w:val="16"/>
              </w:rPr>
              <w:t>ePCT</w:t>
            </w:r>
            <w:proofErr w:type="spellEnd"/>
            <w:r w:rsidRPr="005D781E">
              <w:rPr>
                <w:sz w:val="16"/>
                <w:szCs w:val="16"/>
              </w:rPr>
              <w:t>.</w:t>
            </w:r>
          </w:p>
        </w:tc>
      </w:tr>
      <w:tr w:rsidR="00236E18" w:rsidRPr="00BC5F8F" w:rsidTr="00294272">
        <w:trPr>
          <w:trHeight w:val="717"/>
        </w:trPr>
        <w:tc>
          <w:tcPr>
            <w:tcW w:w="2674" w:type="dxa"/>
            <w:tcBorders>
              <w:top w:val="nil"/>
              <w:left w:val="single" w:sz="6" w:space="0" w:color="auto"/>
              <w:bottom w:val="nil"/>
              <w:right w:val="nil"/>
            </w:tcBorders>
            <w:shd w:val="solid" w:color="FFFFFF" w:fill="auto"/>
          </w:tcPr>
          <w:p w:rsidR="00236E18" w:rsidRPr="00E11D26" w:rsidRDefault="00236E18" w:rsidP="00294272">
            <w:pPr>
              <w:tabs>
                <w:tab w:val="left" w:pos="1733"/>
                <w:tab w:val="left" w:pos="2127"/>
                <w:tab w:val="left" w:pos="2268"/>
              </w:tabs>
              <w:autoSpaceDE w:val="0"/>
              <w:autoSpaceDN w:val="0"/>
              <w:adjustRightInd w:val="0"/>
              <w:ind w:right="321"/>
              <w:rPr>
                <w:sz w:val="16"/>
                <w:szCs w:val="16"/>
              </w:rPr>
            </w:pPr>
            <w:r w:rsidRPr="00E11D26">
              <w:rPr>
                <w:sz w:val="16"/>
                <w:szCs w:val="16"/>
              </w:rPr>
              <w:t xml:space="preserve">II.3.  </w:t>
            </w:r>
            <w:r w:rsidRPr="00E95213">
              <w:rPr>
                <w:sz w:val="16"/>
                <w:szCs w:val="16"/>
                <w:lang w:val="es-ES_tradnl"/>
              </w:rPr>
              <w:t>Mejora de la productividad y de la calidad de los servicios en las operaciones del PCT</w:t>
            </w:r>
          </w:p>
        </w:tc>
        <w:tc>
          <w:tcPr>
            <w:tcW w:w="2397" w:type="dxa"/>
            <w:tcBorders>
              <w:top w:val="nil"/>
              <w:left w:val="nil"/>
              <w:bottom w:val="nil"/>
              <w:right w:val="nil"/>
            </w:tcBorders>
            <w:shd w:val="solid" w:color="FFFFFF" w:fill="auto"/>
          </w:tcPr>
          <w:p w:rsidR="00236E18" w:rsidRPr="005D781E" w:rsidRDefault="00236E18" w:rsidP="00294272">
            <w:pPr>
              <w:autoSpaceDE w:val="0"/>
              <w:autoSpaceDN w:val="0"/>
              <w:adjustRightInd w:val="0"/>
              <w:ind w:right="333"/>
              <w:rPr>
                <w:sz w:val="16"/>
                <w:szCs w:val="16"/>
              </w:rPr>
            </w:pPr>
            <w:r w:rsidRPr="005D781E">
              <w:rPr>
                <w:sz w:val="16"/>
                <w:szCs w:val="16"/>
              </w:rPr>
              <w:t>Costo unitario de tramitación de las solicitudes.</w:t>
            </w:r>
          </w:p>
        </w:tc>
        <w:tc>
          <w:tcPr>
            <w:tcW w:w="2256" w:type="dxa"/>
            <w:tcBorders>
              <w:top w:val="nil"/>
              <w:left w:val="nil"/>
              <w:bottom w:val="nil"/>
              <w:right w:val="nil"/>
            </w:tcBorders>
            <w:shd w:val="solid" w:color="FFFFFF" w:fill="auto"/>
          </w:tcPr>
          <w:p w:rsidR="00236E18" w:rsidRPr="005D781E" w:rsidRDefault="00236E18" w:rsidP="00294272">
            <w:pPr>
              <w:tabs>
                <w:tab w:val="left" w:pos="1733"/>
              </w:tabs>
              <w:autoSpaceDE w:val="0"/>
              <w:autoSpaceDN w:val="0"/>
              <w:adjustRightInd w:val="0"/>
              <w:ind w:left="59" w:right="321"/>
              <w:rPr>
                <w:sz w:val="16"/>
                <w:szCs w:val="16"/>
              </w:rPr>
            </w:pPr>
            <w:r w:rsidRPr="005D781E">
              <w:rPr>
                <w:sz w:val="16"/>
                <w:szCs w:val="16"/>
              </w:rPr>
              <w:t xml:space="preserve">662 </w:t>
            </w:r>
            <w:r>
              <w:rPr>
                <w:sz w:val="16"/>
                <w:szCs w:val="16"/>
              </w:rPr>
              <w:t>francos suizos</w:t>
            </w:r>
            <w:r w:rsidRPr="005D781E">
              <w:rPr>
                <w:sz w:val="16"/>
                <w:szCs w:val="16"/>
              </w:rPr>
              <w:t xml:space="preserve"> (2014)</w:t>
            </w:r>
          </w:p>
        </w:tc>
        <w:tc>
          <w:tcPr>
            <w:tcW w:w="1917" w:type="dxa"/>
            <w:tcBorders>
              <w:top w:val="nil"/>
              <w:left w:val="nil"/>
              <w:bottom w:val="nil"/>
              <w:right w:val="single" w:sz="6" w:space="0" w:color="auto"/>
            </w:tcBorders>
            <w:shd w:val="solid" w:color="FFFFFF" w:fill="auto"/>
          </w:tcPr>
          <w:p w:rsidR="00236E18" w:rsidRDefault="00236E18" w:rsidP="00294272">
            <w:pPr>
              <w:autoSpaceDE w:val="0"/>
              <w:autoSpaceDN w:val="0"/>
              <w:adjustRightInd w:val="0"/>
              <w:ind w:left="53"/>
              <w:rPr>
                <w:color w:val="000000"/>
                <w:sz w:val="16"/>
                <w:szCs w:val="16"/>
              </w:rPr>
            </w:pPr>
            <w:r w:rsidRPr="00E95213">
              <w:rPr>
                <w:color w:val="000000"/>
                <w:sz w:val="16"/>
                <w:szCs w:val="16"/>
              </w:rPr>
              <w:t>Mant</w:t>
            </w:r>
            <w:r>
              <w:rPr>
                <w:color w:val="000000"/>
                <w:sz w:val="16"/>
                <w:szCs w:val="16"/>
              </w:rPr>
              <w:t>e</w:t>
            </w:r>
            <w:r w:rsidRPr="00E95213">
              <w:rPr>
                <w:color w:val="000000"/>
                <w:sz w:val="16"/>
                <w:szCs w:val="16"/>
              </w:rPr>
              <w:t>n</w:t>
            </w:r>
            <w:r>
              <w:rPr>
                <w:color w:val="000000"/>
                <w:sz w:val="16"/>
                <w:szCs w:val="16"/>
              </w:rPr>
              <w:t xml:space="preserve">er el costo unitario pese a las inversiones previstas para aumentar los niveles de seguridad y de capacidad de reacción y recuperación del </w:t>
            </w:r>
            <w:r w:rsidRPr="00E95213">
              <w:rPr>
                <w:color w:val="000000"/>
                <w:sz w:val="16"/>
                <w:szCs w:val="16"/>
              </w:rPr>
              <w:t>PCT</w:t>
            </w:r>
            <w:r>
              <w:rPr>
                <w:color w:val="000000"/>
                <w:sz w:val="16"/>
                <w:szCs w:val="16"/>
              </w:rPr>
              <w:t>.</w:t>
            </w:r>
          </w:p>
          <w:p w:rsidR="00236E18" w:rsidRPr="00E95213" w:rsidRDefault="00236E18" w:rsidP="00294272">
            <w:pPr>
              <w:autoSpaceDE w:val="0"/>
              <w:autoSpaceDN w:val="0"/>
              <w:adjustRightInd w:val="0"/>
              <w:ind w:left="53"/>
              <w:rPr>
                <w:sz w:val="16"/>
                <w:szCs w:val="16"/>
              </w:rPr>
            </w:pPr>
          </w:p>
        </w:tc>
      </w:tr>
      <w:tr w:rsidR="00236E18" w:rsidRPr="005D781E" w:rsidTr="00294272">
        <w:trPr>
          <w:trHeight w:val="712"/>
        </w:trPr>
        <w:tc>
          <w:tcPr>
            <w:tcW w:w="2674" w:type="dxa"/>
            <w:tcBorders>
              <w:top w:val="nil"/>
              <w:left w:val="single" w:sz="6" w:space="0" w:color="auto"/>
              <w:bottom w:val="nil"/>
              <w:right w:val="nil"/>
            </w:tcBorders>
            <w:shd w:val="solid" w:color="FFFFFF" w:fill="auto"/>
          </w:tcPr>
          <w:p w:rsidR="00236E18" w:rsidRPr="006A3CA4" w:rsidRDefault="00236E18" w:rsidP="00294272">
            <w:pPr>
              <w:autoSpaceDE w:val="0"/>
              <w:autoSpaceDN w:val="0"/>
              <w:adjustRightInd w:val="0"/>
              <w:ind w:right="487"/>
              <w:rPr>
                <w:sz w:val="16"/>
                <w:szCs w:val="16"/>
                <w:lang w:val="es-ES_tradnl"/>
              </w:rPr>
            </w:pPr>
          </w:p>
        </w:tc>
        <w:tc>
          <w:tcPr>
            <w:tcW w:w="2397" w:type="dxa"/>
            <w:tcBorders>
              <w:top w:val="nil"/>
              <w:left w:val="nil"/>
              <w:bottom w:val="nil"/>
              <w:right w:val="nil"/>
            </w:tcBorders>
            <w:shd w:val="solid" w:color="FFFFFF" w:fill="auto"/>
          </w:tcPr>
          <w:p w:rsidR="00236E18" w:rsidRPr="005D781E" w:rsidRDefault="00236E18" w:rsidP="00294272">
            <w:pPr>
              <w:autoSpaceDE w:val="0"/>
              <w:autoSpaceDN w:val="0"/>
              <w:adjustRightInd w:val="0"/>
              <w:ind w:right="333"/>
              <w:rPr>
                <w:sz w:val="16"/>
                <w:szCs w:val="16"/>
              </w:rPr>
            </w:pPr>
            <w:r w:rsidRPr="005D781E">
              <w:rPr>
                <w:sz w:val="16"/>
                <w:szCs w:val="16"/>
              </w:rPr>
              <w:t>Calidad global del examen de forma (incluido el tiempo empleado).</w:t>
            </w:r>
          </w:p>
        </w:tc>
        <w:tc>
          <w:tcPr>
            <w:tcW w:w="2256" w:type="dxa"/>
            <w:tcBorders>
              <w:top w:val="nil"/>
              <w:left w:val="nil"/>
              <w:bottom w:val="nil"/>
              <w:right w:val="nil"/>
            </w:tcBorders>
            <w:shd w:val="solid" w:color="FFFFFF" w:fill="auto"/>
          </w:tcPr>
          <w:p w:rsidR="00236E18" w:rsidRPr="005D781E" w:rsidRDefault="00236E18" w:rsidP="00294272">
            <w:pPr>
              <w:tabs>
                <w:tab w:val="left" w:pos="1733"/>
              </w:tabs>
              <w:autoSpaceDE w:val="0"/>
              <w:autoSpaceDN w:val="0"/>
              <w:adjustRightInd w:val="0"/>
              <w:ind w:left="59" w:right="321"/>
              <w:rPr>
                <w:sz w:val="16"/>
                <w:szCs w:val="16"/>
              </w:rPr>
            </w:pPr>
            <w:r w:rsidRPr="005D781E">
              <w:rPr>
                <w:sz w:val="16"/>
                <w:szCs w:val="16"/>
              </w:rPr>
              <w:t>93,1% (2014)</w:t>
            </w:r>
          </w:p>
        </w:tc>
        <w:tc>
          <w:tcPr>
            <w:tcW w:w="1917" w:type="dxa"/>
            <w:tcBorders>
              <w:top w:val="nil"/>
              <w:left w:val="nil"/>
              <w:bottom w:val="nil"/>
              <w:right w:val="single" w:sz="6" w:space="0" w:color="auto"/>
            </w:tcBorders>
            <w:shd w:val="solid" w:color="FFFFFF" w:fill="auto"/>
          </w:tcPr>
          <w:p w:rsidR="00236E18" w:rsidRPr="005D781E" w:rsidRDefault="00236E18" w:rsidP="00294272">
            <w:pPr>
              <w:autoSpaceDE w:val="0"/>
              <w:autoSpaceDN w:val="0"/>
              <w:adjustRightInd w:val="0"/>
              <w:ind w:left="53"/>
              <w:rPr>
                <w:sz w:val="16"/>
                <w:szCs w:val="16"/>
              </w:rPr>
            </w:pPr>
            <w:r w:rsidRPr="005D781E">
              <w:rPr>
                <w:sz w:val="16"/>
                <w:szCs w:val="16"/>
              </w:rPr>
              <w:t>Indicador de mayor calidad.</w:t>
            </w:r>
          </w:p>
        </w:tc>
      </w:tr>
      <w:tr w:rsidR="00236E18" w:rsidRPr="005D781E" w:rsidTr="00294272">
        <w:trPr>
          <w:trHeight w:val="554"/>
        </w:trPr>
        <w:tc>
          <w:tcPr>
            <w:tcW w:w="2674" w:type="dxa"/>
            <w:tcBorders>
              <w:top w:val="nil"/>
              <w:left w:val="single" w:sz="6" w:space="0" w:color="auto"/>
              <w:bottom w:val="nil"/>
              <w:right w:val="nil"/>
            </w:tcBorders>
            <w:shd w:val="solid" w:color="FFFFFF" w:fill="auto"/>
          </w:tcPr>
          <w:p w:rsidR="00236E18" w:rsidRPr="005D781E" w:rsidRDefault="00236E18" w:rsidP="00294272">
            <w:pPr>
              <w:autoSpaceDE w:val="0"/>
              <w:autoSpaceDN w:val="0"/>
              <w:adjustRightInd w:val="0"/>
              <w:rPr>
                <w:sz w:val="16"/>
                <w:szCs w:val="16"/>
              </w:rPr>
            </w:pPr>
          </w:p>
        </w:tc>
        <w:tc>
          <w:tcPr>
            <w:tcW w:w="2397" w:type="dxa"/>
            <w:tcBorders>
              <w:top w:val="nil"/>
              <w:left w:val="nil"/>
              <w:bottom w:val="nil"/>
              <w:right w:val="nil"/>
            </w:tcBorders>
            <w:shd w:val="solid" w:color="FFFFFF" w:fill="auto"/>
          </w:tcPr>
          <w:p w:rsidR="00236E18" w:rsidRPr="005D781E" w:rsidRDefault="00236E18" w:rsidP="00294272">
            <w:pPr>
              <w:autoSpaceDE w:val="0"/>
              <w:autoSpaceDN w:val="0"/>
              <w:adjustRightInd w:val="0"/>
              <w:ind w:right="333"/>
              <w:rPr>
                <w:sz w:val="16"/>
                <w:szCs w:val="16"/>
              </w:rPr>
            </w:pPr>
            <w:r w:rsidRPr="005D781E">
              <w:rPr>
                <w:sz w:val="16"/>
                <w:szCs w:val="16"/>
              </w:rPr>
              <w:t>Tiempo necesario para la traducción de los informes</w:t>
            </w:r>
          </w:p>
        </w:tc>
        <w:tc>
          <w:tcPr>
            <w:tcW w:w="2256" w:type="dxa"/>
            <w:tcBorders>
              <w:top w:val="nil"/>
              <w:left w:val="nil"/>
              <w:bottom w:val="nil"/>
              <w:right w:val="nil"/>
            </w:tcBorders>
            <w:shd w:val="solid" w:color="FFFFFF" w:fill="auto"/>
          </w:tcPr>
          <w:p w:rsidR="00236E18" w:rsidRPr="005D781E" w:rsidRDefault="00236E18" w:rsidP="00294272">
            <w:pPr>
              <w:tabs>
                <w:tab w:val="left" w:pos="1733"/>
              </w:tabs>
              <w:autoSpaceDE w:val="0"/>
              <w:autoSpaceDN w:val="0"/>
              <w:adjustRightInd w:val="0"/>
              <w:ind w:left="59" w:right="321"/>
              <w:rPr>
                <w:sz w:val="16"/>
                <w:szCs w:val="16"/>
              </w:rPr>
            </w:pPr>
            <w:r w:rsidRPr="005D781E">
              <w:rPr>
                <w:sz w:val="16"/>
                <w:szCs w:val="16"/>
              </w:rPr>
              <w:t>82,5% (2014)</w:t>
            </w:r>
          </w:p>
        </w:tc>
        <w:tc>
          <w:tcPr>
            <w:tcW w:w="1917" w:type="dxa"/>
            <w:tcBorders>
              <w:top w:val="nil"/>
              <w:left w:val="nil"/>
              <w:bottom w:val="nil"/>
              <w:right w:val="single" w:sz="6" w:space="0" w:color="auto"/>
            </w:tcBorders>
            <w:shd w:val="solid" w:color="FFFFFF" w:fill="auto"/>
          </w:tcPr>
          <w:p w:rsidR="00236E18" w:rsidRPr="005D781E" w:rsidRDefault="00236E18" w:rsidP="00294272">
            <w:pPr>
              <w:autoSpaceDE w:val="0"/>
              <w:autoSpaceDN w:val="0"/>
              <w:adjustRightInd w:val="0"/>
              <w:ind w:left="53"/>
              <w:rPr>
                <w:sz w:val="16"/>
                <w:szCs w:val="16"/>
              </w:rPr>
            </w:pPr>
            <w:r w:rsidRPr="005D781E">
              <w:rPr>
                <w:sz w:val="16"/>
                <w:szCs w:val="16"/>
              </w:rPr>
              <w:t>Mejora.</w:t>
            </w:r>
          </w:p>
        </w:tc>
      </w:tr>
      <w:tr w:rsidR="00236E18" w:rsidRPr="005D781E" w:rsidTr="00294272">
        <w:trPr>
          <w:trHeight w:val="474"/>
        </w:trPr>
        <w:tc>
          <w:tcPr>
            <w:tcW w:w="2674" w:type="dxa"/>
            <w:tcBorders>
              <w:top w:val="nil"/>
              <w:left w:val="single" w:sz="6" w:space="0" w:color="auto"/>
              <w:bottom w:val="nil"/>
              <w:right w:val="nil"/>
            </w:tcBorders>
            <w:shd w:val="solid" w:color="FFFFFF" w:fill="auto"/>
          </w:tcPr>
          <w:p w:rsidR="00236E18" w:rsidRPr="005D781E" w:rsidRDefault="00236E18" w:rsidP="00294272">
            <w:pPr>
              <w:autoSpaceDE w:val="0"/>
              <w:autoSpaceDN w:val="0"/>
              <w:adjustRightInd w:val="0"/>
              <w:rPr>
                <w:sz w:val="16"/>
                <w:szCs w:val="16"/>
              </w:rPr>
            </w:pPr>
          </w:p>
        </w:tc>
        <w:tc>
          <w:tcPr>
            <w:tcW w:w="2397" w:type="dxa"/>
            <w:tcBorders>
              <w:top w:val="nil"/>
              <w:left w:val="nil"/>
              <w:bottom w:val="nil"/>
              <w:right w:val="nil"/>
            </w:tcBorders>
            <w:shd w:val="solid" w:color="FFFFFF" w:fill="auto"/>
          </w:tcPr>
          <w:p w:rsidR="00236E18" w:rsidRPr="005D781E" w:rsidRDefault="00236E18" w:rsidP="00294272">
            <w:pPr>
              <w:autoSpaceDE w:val="0"/>
              <w:autoSpaceDN w:val="0"/>
              <w:adjustRightInd w:val="0"/>
              <w:ind w:right="333"/>
              <w:rPr>
                <w:sz w:val="16"/>
                <w:szCs w:val="16"/>
              </w:rPr>
            </w:pPr>
            <w:r w:rsidRPr="005D781E">
              <w:rPr>
                <w:sz w:val="16"/>
                <w:szCs w:val="16"/>
              </w:rPr>
              <w:t>Calidad de las traducciones.</w:t>
            </w:r>
          </w:p>
        </w:tc>
        <w:tc>
          <w:tcPr>
            <w:tcW w:w="2256" w:type="dxa"/>
            <w:tcBorders>
              <w:top w:val="nil"/>
              <w:left w:val="nil"/>
              <w:bottom w:val="nil"/>
              <w:right w:val="nil"/>
            </w:tcBorders>
            <w:shd w:val="solid" w:color="FFFFFF" w:fill="auto"/>
          </w:tcPr>
          <w:p w:rsidR="00236E18" w:rsidRPr="005D781E" w:rsidRDefault="00236E18" w:rsidP="00294272">
            <w:pPr>
              <w:tabs>
                <w:tab w:val="left" w:pos="1733"/>
              </w:tabs>
              <w:autoSpaceDE w:val="0"/>
              <w:autoSpaceDN w:val="0"/>
              <w:adjustRightInd w:val="0"/>
              <w:ind w:left="59" w:right="321"/>
              <w:rPr>
                <w:sz w:val="16"/>
                <w:szCs w:val="16"/>
              </w:rPr>
            </w:pPr>
            <w:r w:rsidRPr="005D781E">
              <w:rPr>
                <w:sz w:val="16"/>
                <w:szCs w:val="16"/>
              </w:rPr>
              <w:t>86% (2014)</w:t>
            </w:r>
          </w:p>
        </w:tc>
        <w:tc>
          <w:tcPr>
            <w:tcW w:w="1917" w:type="dxa"/>
            <w:tcBorders>
              <w:top w:val="nil"/>
              <w:left w:val="nil"/>
              <w:bottom w:val="nil"/>
              <w:right w:val="single" w:sz="6" w:space="0" w:color="auto"/>
            </w:tcBorders>
            <w:shd w:val="solid" w:color="FFFFFF" w:fill="auto"/>
          </w:tcPr>
          <w:p w:rsidR="00236E18" w:rsidRPr="005D781E" w:rsidRDefault="00236E18" w:rsidP="00294272">
            <w:pPr>
              <w:autoSpaceDE w:val="0"/>
              <w:autoSpaceDN w:val="0"/>
              <w:adjustRightInd w:val="0"/>
              <w:ind w:left="53"/>
              <w:rPr>
                <w:sz w:val="16"/>
                <w:szCs w:val="16"/>
              </w:rPr>
            </w:pPr>
            <w:r w:rsidRPr="005D781E">
              <w:rPr>
                <w:sz w:val="16"/>
                <w:szCs w:val="16"/>
              </w:rPr>
              <w:t>Mayor calidad.</w:t>
            </w:r>
          </w:p>
        </w:tc>
      </w:tr>
      <w:tr w:rsidR="00236E18" w:rsidRPr="005D781E" w:rsidTr="00294272">
        <w:trPr>
          <w:trHeight w:val="529"/>
        </w:trPr>
        <w:tc>
          <w:tcPr>
            <w:tcW w:w="2674" w:type="dxa"/>
            <w:tcBorders>
              <w:top w:val="nil"/>
              <w:left w:val="single" w:sz="6" w:space="0" w:color="auto"/>
              <w:bottom w:val="nil"/>
              <w:right w:val="nil"/>
            </w:tcBorders>
            <w:shd w:val="solid" w:color="FFFFFF" w:fill="auto"/>
          </w:tcPr>
          <w:p w:rsidR="00236E18" w:rsidRPr="005D781E" w:rsidRDefault="00236E18" w:rsidP="00294272">
            <w:pPr>
              <w:autoSpaceDE w:val="0"/>
              <w:autoSpaceDN w:val="0"/>
              <w:adjustRightInd w:val="0"/>
              <w:rPr>
                <w:sz w:val="16"/>
                <w:szCs w:val="16"/>
              </w:rPr>
            </w:pPr>
          </w:p>
        </w:tc>
        <w:tc>
          <w:tcPr>
            <w:tcW w:w="2397" w:type="dxa"/>
            <w:tcBorders>
              <w:top w:val="nil"/>
              <w:left w:val="nil"/>
              <w:bottom w:val="nil"/>
              <w:right w:val="nil"/>
            </w:tcBorders>
            <w:shd w:val="solid" w:color="FFFFFF" w:fill="auto"/>
          </w:tcPr>
          <w:p w:rsidR="00236E18" w:rsidRPr="005D781E" w:rsidRDefault="00236E18" w:rsidP="00294272">
            <w:pPr>
              <w:autoSpaceDE w:val="0"/>
              <w:autoSpaceDN w:val="0"/>
              <w:adjustRightInd w:val="0"/>
              <w:ind w:right="333"/>
              <w:rPr>
                <w:sz w:val="16"/>
                <w:szCs w:val="16"/>
              </w:rPr>
            </w:pPr>
            <w:r w:rsidRPr="005D781E">
              <w:rPr>
                <w:sz w:val="16"/>
                <w:szCs w:val="16"/>
              </w:rPr>
              <w:t>Calidad del desarrollo de programas informáticos.</w:t>
            </w:r>
          </w:p>
        </w:tc>
        <w:tc>
          <w:tcPr>
            <w:tcW w:w="2256" w:type="dxa"/>
            <w:tcBorders>
              <w:top w:val="nil"/>
              <w:left w:val="nil"/>
              <w:bottom w:val="nil"/>
              <w:right w:val="nil"/>
            </w:tcBorders>
            <w:shd w:val="solid" w:color="FFFFFF" w:fill="auto"/>
          </w:tcPr>
          <w:p w:rsidR="00236E18" w:rsidRPr="005D781E" w:rsidRDefault="00236E18" w:rsidP="00294272">
            <w:pPr>
              <w:tabs>
                <w:tab w:val="left" w:pos="1733"/>
              </w:tabs>
              <w:autoSpaceDE w:val="0"/>
              <w:autoSpaceDN w:val="0"/>
              <w:adjustRightInd w:val="0"/>
              <w:ind w:left="59" w:right="321"/>
              <w:rPr>
                <w:sz w:val="16"/>
                <w:szCs w:val="16"/>
              </w:rPr>
            </w:pPr>
            <w:r w:rsidRPr="005D781E">
              <w:rPr>
                <w:sz w:val="16"/>
                <w:szCs w:val="16"/>
              </w:rPr>
              <w:t>94,3% (2014)</w:t>
            </w:r>
          </w:p>
        </w:tc>
        <w:tc>
          <w:tcPr>
            <w:tcW w:w="1917" w:type="dxa"/>
            <w:tcBorders>
              <w:top w:val="nil"/>
              <w:left w:val="nil"/>
              <w:bottom w:val="nil"/>
              <w:right w:val="single" w:sz="6" w:space="0" w:color="auto"/>
            </w:tcBorders>
            <w:shd w:val="solid" w:color="FFFFFF" w:fill="auto"/>
          </w:tcPr>
          <w:p w:rsidR="00236E18" w:rsidRPr="005D781E" w:rsidRDefault="00236E18" w:rsidP="00294272">
            <w:pPr>
              <w:autoSpaceDE w:val="0"/>
              <w:autoSpaceDN w:val="0"/>
              <w:adjustRightInd w:val="0"/>
              <w:ind w:left="53"/>
              <w:rPr>
                <w:sz w:val="16"/>
                <w:szCs w:val="16"/>
              </w:rPr>
            </w:pPr>
            <w:r w:rsidRPr="005D781E">
              <w:rPr>
                <w:sz w:val="16"/>
                <w:szCs w:val="16"/>
              </w:rPr>
              <w:t>Mayor calidad.</w:t>
            </w:r>
          </w:p>
        </w:tc>
      </w:tr>
      <w:tr w:rsidR="00236E18" w:rsidRPr="005D781E" w:rsidTr="00294272">
        <w:trPr>
          <w:trHeight w:val="524"/>
        </w:trPr>
        <w:tc>
          <w:tcPr>
            <w:tcW w:w="2674" w:type="dxa"/>
            <w:tcBorders>
              <w:top w:val="nil"/>
              <w:left w:val="single" w:sz="6" w:space="0" w:color="auto"/>
              <w:bottom w:val="single" w:sz="6" w:space="0" w:color="auto"/>
              <w:right w:val="nil"/>
            </w:tcBorders>
            <w:shd w:val="solid" w:color="FFFFFF" w:fill="auto"/>
          </w:tcPr>
          <w:p w:rsidR="00236E18" w:rsidRPr="005D781E" w:rsidRDefault="00236E18" w:rsidP="00294272">
            <w:pPr>
              <w:autoSpaceDE w:val="0"/>
              <w:autoSpaceDN w:val="0"/>
              <w:adjustRightInd w:val="0"/>
              <w:rPr>
                <w:sz w:val="16"/>
                <w:szCs w:val="16"/>
              </w:rPr>
            </w:pPr>
          </w:p>
        </w:tc>
        <w:tc>
          <w:tcPr>
            <w:tcW w:w="2397" w:type="dxa"/>
            <w:tcBorders>
              <w:top w:val="nil"/>
              <w:left w:val="nil"/>
              <w:bottom w:val="single" w:sz="6" w:space="0" w:color="auto"/>
              <w:right w:val="nil"/>
            </w:tcBorders>
            <w:shd w:val="solid" w:color="FFFFFF" w:fill="auto"/>
          </w:tcPr>
          <w:p w:rsidR="00236E18" w:rsidRPr="005D781E" w:rsidRDefault="00236E18" w:rsidP="00294272">
            <w:pPr>
              <w:autoSpaceDE w:val="0"/>
              <w:autoSpaceDN w:val="0"/>
              <w:adjustRightInd w:val="0"/>
              <w:ind w:right="333"/>
              <w:rPr>
                <w:sz w:val="16"/>
                <w:szCs w:val="16"/>
              </w:rPr>
            </w:pPr>
            <w:r w:rsidRPr="005D781E">
              <w:rPr>
                <w:sz w:val="16"/>
                <w:szCs w:val="16"/>
              </w:rPr>
              <w:t>Niveles de los servicios prestados por los sistemas de información.</w:t>
            </w:r>
          </w:p>
        </w:tc>
        <w:tc>
          <w:tcPr>
            <w:tcW w:w="2256" w:type="dxa"/>
            <w:tcBorders>
              <w:top w:val="nil"/>
              <w:left w:val="nil"/>
              <w:bottom w:val="single" w:sz="6" w:space="0" w:color="auto"/>
              <w:right w:val="nil"/>
            </w:tcBorders>
            <w:shd w:val="solid" w:color="FFFFFF" w:fill="auto"/>
          </w:tcPr>
          <w:p w:rsidR="00236E18" w:rsidRPr="005D781E" w:rsidRDefault="00236E18" w:rsidP="00294272">
            <w:pPr>
              <w:tabs>
                <w:tab w:val="left" w:pos="1733"/>
              </w:tabs>
              <w:autoSpaceDE w:val="0"/>
              <w:autoSpaceDN w:val="0"/>
              <w:adjustRightInd w:val="0"/>
              <w:ind w:left="59" w:right="321"/>
              <w:rPr>
                <w:sz w:val="16"/>
                <w:szCs w:val="16"/>
              </w:rPr>
            </w:pPr>
            <w:r w:rsidRPr="005D781E">
              <w:rPr>
                <w:sz w:val="16"/>
                <w:szCs w:val="16"/>
              </w:rPr>
              <w:t>95,3% (2014)</w:t>
            </w:r>
          </w:p>
        </w:tc>
        <w:tc>
          <w:tcPr>
            <w:tcW w:w="1917" w:type="dxa"/>
            <w:tcBorders>
              <w:top w:val="nil"/>
              <w:left w:val="nil"/>
              <w:bottom w:val="single" w:sz="6" w:space="0" w:color="auto"/>
              <w:right w:val="single" w:sz="6" w:space="0" w:color="auto"/>
            </w:tcBorders>
            <w:shd w:val="solid" w:color="FFFFFF" w:fill="auto"/>
          </w:tcPr>
          <w:p w:rsidR="00236E18" w:rsidRPr="005D781E" w:rsidRDefault="00236E18" w:rsidP="00294272">
            <w:pPr>
              <w:autoSpaceDE w:val="0"/>
              <w:autoSpaceDN w:val="0"/>
              <w:adjustRightInd w:val="0"/>
              <w:ind w:left="53"/>
              <w:rPr>
                <w:sz w:val="16"/>
                <w:szCs w:val="16"/>
              </w:rPr>
            </w:pPr>
            <w:r w:rsidRPr="005D781E">
              <w:rPr>
                <w:sz w:val="16"/>
                <w:szCs w:val="16"/>
              </w:rPr>
              <w:t>Niveles más elevados de los servicios prestados por los sistemas de información.</w:t>
            </w:r>
          </w:p>
        </w:tc>
      </w:tr>
    </w:tbl>
    <w:p w:rsidR="00236E18" w:rsidRDefault="00236E18" w:rsidP="00236E18">
      <w:pPr>
        <w:rPr>
          <w:szCs w:val="22"/>
        </w:rPr>
      </w:pPr>
      <w:r>
        <w:rPr>
          <w:szCs w:val="22"/>
        </w:rPr>
        <w:br w:type="page"/>
      </w:r>
    </w:p>
    <w:p w:rsidR="00236E18" w:rsidRPr="003F17D8" w:rsidRDefault="00236E18" w:rsidP="00236E18">
      <w:pPr>
        <w:keepNext/>
        <w:keepLines/>
        <w:tabs>
          <w:tab w:val="left" w:pos="567"/>
          <w:tab w:val="left" w:pos="1985"/>
        </w:tabs>
        <w:jc w:val="both"/>
        <w:rPr>
          <w:bCs/>
          <w:szCs w:val="16"/>
        </w:rPr>
      </w:pPr>
      <w:r w:rsidRPr="003F17D8">
        <w:rPr>
          <w:bCs/>
          <w:szCs w:val="16"/>
        </w:rPr>
        <w:lastRenderedPageBreak/>
        <w:t>RECURSOS PARA EL PROGRAMA 5</w:t>
      </w:r>
    </w:p>
    <w:p w:rsidR="00236E18" w:rsidRPr="003F17D8" w:rsidRDefault="00236E18" w:rsidP="00236E18">
      <w:pPr>
        <w:keepNext/>
        <w:keepLines/>
        <w:tabs>
          <w:tab w:val="left" w:pos="567"/>
          <w:tab w:val="left" w:pos="1985"/>
        </w:tabs>
        <w:jc w:val="both"/>
        <w:rPr>
          <w:bCs/>
          <w:szCs w:val="16"/>
        </w:rPr>
      </w:pPr>
    </w:p>
    <w:p w:rsidR="00236E18" w:rsidRPr="003F17D8" w:rsidRDefault="00236E18" w:rsidP="00236E18">
      <w:pPr>
        <w:numPr>
          <w:ilvl w:val="0"/>
          <w:numId w:val="14"/>
        </w:numPr>
        <w:jc w:val="both"/>
        <w:rPr>
          <w:bCs/>
          <w:sz w:val="20"/>
        </w:rPr>
      </w:pPr>
      <w:r w:rsidRPr="00EB43D0">
        <w:rPr>
          <w:bCs/>
          <w:sz w:val="20"/>
          <w:lang w:val="es-ES_tradnl"/>
        </w:rPr>
        <w:t xml:space="preserve">El incremento </w:t>
      </w:r>
      <w:r>
        <w:rPr>
          <w:bCs/>
          <w:sz w:val="20"/>
          <w:lang w:val="es-ES_tradnl"/>
        </w:rPr>
        <w:t xml:space="preserve">en la dotación global </w:t>
      </w:r>
      <w:r w:rsidRPr="00EB43D0">
        <w:rPr>
          <w:bCs/>
          <w:sz w:val="20"/>
          <w:lang w:val="es-ES_tradnl"/>
        </w:rPr>
        <w:t xml:space="preserve">de recursos </w:t>
      </w:r>
      <w:r>
        <w:rPr>
          <w:bCs/>
          <w:sz w:val="20"/>
          <w:lang w:val="es-ES_tradnl"/>
        </w:rPr>
        <w:t xml:space="preserve">para </w:t>
      </w:r>
      <w:r w:rsidRPr="00EB43D0">
        <w:rPr>
          <w:bCs/>
          <w:sz w:val="20"/>
          <w:lang w:val="es-ES_tradnl"/>
        </w:rPr>
        <w:t>el programa 5 se debe a:  i) un aumento de</w:t>
      </w:r>
      <w:r>
        <w:rPr>
          <w:bCs/>
          <w:sz w:val="20"/>
          <w:lang w:val="es-ES_tradnl"/>
        </w:rPr>
        <w:t> </w:t>
      </w:r>
      <w:r w:rsidRPr="00EB43D0">
        <w:rPr>
          <w:bCs/>
          <w:sz w:val="20"/>
          <w:lang w:val="es-ES_tradnl"/>
        </w:rPr>
        <w:t xml:space="preserve">4,2 millones de francos suizos en concepto de costos de traducción del PCT en los </w:t>
      </w:r>
      <w:r>
        <w:rPr>
          <w:bCs/>
          <w:sz w:val="20"/>
          <w:lang w:val="es-ES_tradnl"/>
        </w:rPr>
        <w:t>recursos no relativos</w:t>
      </w:r>
      <w:r w:rsidRPr="00EB43D0">
        <w:rPr>
          <w:bCs/>
          <w:sz w:val="20"/>
          <w:lang w:val="es-ES_tradnl"/>
        </w:rPr>
        <w:t xml:space="preserve"> a personal;  ii) una asignación de 1,4 millones de francos suizos para </w:t>
      </w:r>
      <w:r>
        <w:rPr>
          <w:bCs/>
          <w:sz w:val="20"/>
          <w:lang w:val="es-ES_tradnl"/>
        </w:rPr>
        <w:t>reforzar</w:t>
      </w:r>
      <w:r w:rsidRPr="00EB43D0">
        <w:rPr>
          <w:bCs/>
          <w:sz w:val="20"/>
          <w:lang w:val="es-ES_tradnl"/>
        </w:rPr>
        <w:t xml:space="preserve"> la capacidad de reacción </w:t>
      </w:r>
      <w:r>
        <w:rPr>
          <w:bCs/>
          <w:sz w:val="20"/>
          <w:lang w:val="es-ES_tradnl"/>
        </w:rPr>
        <w:t xml:space="preserve">y recuperación </w:t>
      </w:r>
      <w:r w:rsidRPr="00EB43D0">
        <w:rPr>
          <w:bCs/>
          <w:sz w:val="20"/>
          <w:lang w:val="es-ES_tradnl"/>
        </w:rPr>
        <w:t>del PCT (</w:t>
      </w:r>
      <w:r>
        <w:rPr>
          <w:bCs/>
          <w:sz w:val="20"/>
          <w:lang w:val="es-ES_tradnl"/>
        </w:rPr>
        <w:t>recursos no relativos</w:t>
      </w:r>
      <w:r w:rsidRPr="00EB43D0">
        <w:rPr>
          <w:bCs/>
          <w:sz w:val="20"/>
          <w:lang w:val="es-ES_tradnl"/>
        </w:rPr>
        <w:t xml:space="preserve"> a personal);  y iii) el aumento de los gastos de personal como consecuencia del cambio en la metodología de cálculo del costo de los recursos de</w:t>
      </w:r>
      <w:r>
        <w:rPr>
          <w:bCs/>
          <w:sz w:val="20"/>
          <w:lang w:val="es-ES_tradnl"/>
        </w:rPr>
        <w:t xml:space="preserve"> personal en </w:t>
      </w:r>
      <w:r w:rsidRPr="00EB43D0">
        <w:rPr>
          <w:bCs/>
          <w:sz w:val="20"/>
          <w:lang w:val="es-ES_tradnl"/>
        </w:rPr>
        <w:t>2016/17, basada en costos reales.  Estos incrementos se re</w:t>
      </w:r>
      <w:r>
        <w:rPr>
          <w:bCs/>
          <w:sz w:val="20"/>
          <w:lang w:val="es-ES_tradnl"/>
        </w:rPr>
        <w:t>flejan en el resultado previsto </w:t>
      </w:r>
      <w:r w:rsidRPr="00EB43D0">
        <w:rPr>
          <w:bCs/>
          <w:sz w:val="20"/>
          <w:lang w:val="es-ES_tradnl"/>
        </w:rPr>
        <w:t>II.3.</w:t>
      </w:r>
      <w:r w:rsidRPr="003F17D8">
        <w:rPr>
          <w:bCs/>
          <w:sz w:val="20"/>
        </w:rPr>
        <w:t xml:space="preserve">  </w:t>
      </w:r>
    </w:p>
    <w:p w:rsidR="00236E18" w:rsidRPr="003F17D8" w:rsidRDefault="00236E18" w:rsidP="00236E18">
      <w:pPr>
        <w:keepNext/>
        <w:keepLines/>
        <w:tabs>
          <w:tab w:val="left" w:pos="567"/>
          <w:tab w:val="left" w:pos="1985"/>
        </w:tabs>
        <w:jc w:val="both"/>
        <w:rPr>
          <w:bCs/>
          <w:sz w:val="20"/>
        </w:rPr>
      </w:pPr>
    </w:p>
    <w:p w:rsidR="00236E18" w:rsidRPr="003F17D8" w:rsidRDefault="00236E18" w:rsidP="00236E18">
      <w:pPr>
        <w:numPr>
          <w:ilvl w:val="0"/>
          <w:numId w:val="14"/>
        </w:numPr>
        <w:jc w:val="both"/>
        <w:rPr>
          <w:bCs/>
          <w:sz w:val="20"/>
        </w:rPr>
      </w:pPr>
      <w:r w:rsidRPr="00EB43D0">
        <w:rPr>
          <w:bCs/>
          <w:sz w:val="20"/>
          <w:lang w:val="es-ES_tradnl"/>
        </w:rPr>
        <w:t>El aumento de los recursos destinados al resultado previsto II.1 se debe a la fusión de los resultados previstos II.1 y II.2 en el bienio 2016/17.</w:t>
      </w:r>
    </w:p>
    <w:p w:rsidR="00236E18" w:rsidRPr="003F17D8" w:rsidRDefault="00236E18" w:rsidP="00236E18">
      <w:pPr>
        <w:pStyle w:val="ListParagraph"/>
        <w:rPr>
          <w:rFonts w:ascii="Arial" w:hAnsi="Arial" w:cs="Arial"/>
          <w:bCs/>
          <w:sz w:val="20"/>
          <w:szCs w:val="20"/>
          <w:lang w:val="es-ES"/>
        </w:rPr>
      </w:pPr>
    </w:p>
    <w:p w:rsidR="00236E18" w:rsidRPr="005D524D" w:rsidRDefault="00236E18" w:rsidP="00236E18">
      <w:pPr>
        <w:numPr>
          <w:ilvl w:val="0"/>
          <w:numId w:val="14"/>
        </w:numPr>
        <w:jc w:val="both"/>
        <w:rPr>
          <w:bCs/>
          <w:sz w:val="20"/>
        </w:rPr>
      </w:pPr>
      <w:r w:rsidRPr="00EB43D0">
        <w:rPr>
          <w:bCs/>
          <w:sz w:val="20"/>
          <w:lang w:val="es-ES_tradnl"/>
        </w:rPr>
        <w:t>El descenso de los recursos destinados al resultado previsto IV.2 en 2016/17, en comparación con el presupuesto de 2014/</w:t>
      </w:r>
      <w:r>
        <w:rPr>
          <w:bCs/>
          <w:sz w:val="20"/>
          <w:lang w:val="es-ES_tradnl"/>
        </w:rPr>
        <w:t>15 tras las</w:t>
      </w:r>
      <w:r w:rsidRPr="00EB43D0">
        <w:rPr>
          <w:bCs/>
          <w:sz w:val="20"/>
          <w:lang w:val="es-ES_tradnl"/>
        </w:rPr>
        <w:t xml:space="preserve"> transferencias, se debe a la finalización de los proyectos de la A.D. sobre P.I. y transferencia de tecnología y los de colaboración abierta y modelos de P.I.</w:t>
      </w:r>
    </w:p>
    <w:p w:rsidR="00236E18" w:rsidRPr="005D524D" w:rsidRDefault="00236E18" w:rsidP="00236E18">
      <w:pPr>
        <w:tabs>
          <w:tab w:val="left" w:pos="567"/>
          <w:tab w:val="left" w:pos="1985"/>
        </w:tabs>
        <w:jc w:val="both"/>
        <w:rPr>
          <w:bCs/>
          <w:szCs w:val="16"/>
        </w:rPr>
      </w:pPr>
    </w:p>
    <w:p w:rsidR="00236E18" w:rsidRPr="003F17D8" w:rsidRDefault="00236E18" w:rsidP="00236E18">
      <w:pPr>
        <w:tabs>
          <w:tab w:val="center" w:pos="4513"/>
          <w:tab w:val="right" w:pos="9027"/>
        </w:tabs>
        <w:autoSpaceDE w:val="0"/>
        <w:autoSpaceDN w:val="0"/>
        <w:jc w:val="center"/>
        <w:rPr>
          <w:b/>
          <w:sz w:val="20"/>
          <w:lang w:val="es-ES_tradnl"/>
        </w:rPr>
      </w:pPr>
      <w:r w:rsidRPr="003F17D8">
        <w:rPr>
          <w:b/>
          <w:sz w:val="20"/>
          <w:lang w:val="es-ES_tradnl"/>
        </w:rPr>
        <w:t>Programa 5</w:t>
      </w:r>
      <w:proofErr w:type="gramStart"/>
      <w:r w:rsidRPr="003F17D8">
        <w:rPr>
          <w:b/>
          <w:sz w:val="20"/>
          <w:lang w:val="es-ES_tradnl"/>
        </w:rPr>
        <w:t>:  Recursos</w:t>
      </w:r>
      <w:proofErr w:type="gramEnd"/>
      <w:r w:rsidRPr="003F17D8">
        <w:rPr>
          <w:b/>
          <w:sz w:val="20"/>
          <w:lang w:val="es-ES_tradnl"/>
        </w:rPr>
        <w:t xml:space="preserve"> por resultado</w:t>
      </w:r>
    </w:p>
    <w:p w:rsidR="00236E18" w:rsidRPr="003F17D8" w:rsidRDefault="00236E18" w:rsidP="00236E18">
      <w:pPr>
        <w:keepNext/>
        <w:keepLines/>
        <w:autoSpaceDE w:val="0"/>
        <w:autoSpaceDN w:val="0"/>
        <w:jc w:val="center"/>
        <w:rPr>
          <w:i/>
          <w:sz w:val="20"/>
          <w:highlight w:val="lightGray"/>
          <w:lang w:val="es-ES_tradnl"/>
        </w:rPr>
      </w:pPr>
      <w:r w:rsidRPr="003F17D8">
        <w:rPr>
          <w:i/>
          <w:sz w:val="20"/>
          <w:lang w:val="es-ES_tradnl"/>
        </w:rPr>
        <w:t>(</w:t>
      </w:r>
      <w:proofErr w:type="gramStart"/>
      <w:r w:rsidRPr="003F17D8">
        <w:rPr>
          <w:i/>
          <w:sz w:val="20"/>
          <w:lang w:val="es-ES_tradnl"/>
        </w:rPr>
        <w:t>en</w:t>
      </w:r>
      <w:proofErr w:type="gramEnd"/>
      <w:r w:rsidRPr="003F17D8">
        <w:rPr>
          <w:i/>
          <w:sz w:val="20"/>
          <w:lang w:val="es-ES_tradnl"/>
        </w:rPr>
        <w:t xml:space="preserve"> miles de francos suizos)</w:t>
      </w:r>
    </w:p>
    <w:p w:rsidR="00236E18" w:rsidRPr="00DA4879" w:rsidRDefault="00236E18" w:rsidP="00236E18">
      <w:pPr>
        <w:keepNext/>
        <w:keepLines/>
        <w:autoSpaceDE w:val="0"/>
        <w:autoSpaceDN w:val="0"/>
        <w:jc w:val="center"/>
        <w:rPr>
          <w:i/>
          <w:sz w:val="20"/>
          <w:highlight w:val="lightGray"/>
          <w:lang w:val="es-ES_tradnl"/>
        </w:rPr>
      </w:pPr>
    </w:p>
    <w:p w:rsidR="00236E18" w:rsidRPr="00C74E58" w:rsidRDefault="00236E18" w:rsidP="00236E18">
      <w:pPr>
        <w:keepNext/>
        <w:keepLines/>
        <w:autoSpaceDE w:val="0"/>
        <w:autoSpaceDN w:val="0"/>
        <w:jc w:val="center"/>
        <w:rPr>
          <w:i/>
          <w:sz w:val="20"/>
          <w:highlight w:val="lightGray"/>
        </w:rPr>
      </w:pPr>
      <w:r w:rsidRPr="00510672">
        <w:rPr>
          <w:noProof/>
          <w:lang w:val="en-US" w:eastAsia="en-US"/>
        </w:rPr>
        <w:drawing>
          <wp:inline distT="0" distB="0" distL="0" distR="0" wp14:anchorId="5E3026D0" wp14:editId="784DE60E">
            <wp:extent cx="5676900" cy="213614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76900" cy="2136140"/>
                    </a:xfrm>
                    <a:prstGeom prst="rect">
                      <a:avLst/>
                    </a:prstGeom>
                    <a:noFill/>
                    <a:ln>
                      <a:noFill/>
                    </a:ln>
                  </pic:spPr>
                </pic:pic>
              </a:graphicData>
            </a:graphic>
          </wp:inline>
        </w:drawing>
      </w:r>
    </w:p>
    <w:p w:rsidR="00236E18" w:rsidRPr="00C74E58" w:rsidRDefault="00236E18" w:rsidP="00236E18">
      <w:pPr>
        <w:autoSpaceDE w:val="0"/>
        <w:autoSpaceDN w:val="0"/>
        <w:jc w:val="center"/>
        <w:rPr>
          <w:i/>
          <w:sz w:val="20"/>
          <w:highlight w:val="lightGray"/>
        </w:rPr>
      </w:pPr>
    </w:p>
    <w:p w:rsidR="00236E18" w:rsidRPr="00C74E58" w:rsidRDefault="00236E18" w:rsidP="00236E18">
      <w:pPr>
        <w:autoSpaceDE w:val="0"/>
        <w:autoSpaceDN w:val="0"/>
        <w:jc w:val="center"/>
        <w:rPr>
          <w:i/>
          <w:sz w:val="20"/>
          <w:highlight w:val="lightGray"/>
        </w:rPr>
      </w:pPr>
    </w:p>
    <w:p w:rsidR="00236E18" w:rsidRPr="005D524D" w:rsidRDefault="00236E18" w:rsidP="00236E18">
      <w:pPr>
        <w:keepNext/>
        <w:keepLines/>
        <w:tabs>
          <w:tab w:val="center" w:pos="4513"/>
          <w:tab w:val="right" w:pos="9027"/>
        </w:tabs>
        <w:autoSpaceDE w:val="0"/>
        <w:autoSpaceDN w:val="0"/>
        <w:jc w:val="center"/>
        <w:rPr>
          <w:b/>
          <w:sz w:val="20"/>
          <w:lang w:val="es-ES_tradnl"/>
        </w:rPr>
      </w:pPr>
      <w:r w:rsidRPr="005D524D">
        <w:rPr>
          <w:b/>
          <w:sz w:val="20"/>
          <w:lang w:val="es-ES_tradnl"/>
        </w:rPr>
        <w:lastRenderedPageBreak/>
        <w:t>Programa 5</w:t>
      </w:r>
      <w:proofErr w:type="gramStart"/>
      <w:r w:rsidRPr="005D524D">
        <w:rPr>
          <w:b/>
          <w:sz w:val="20"/>
          <w:lang w:val="es-ES_tradnl"/>
        </w:rPr>
        <w:t>:  Recursos</w:t>
      </w:r>
      <w:proofErr w:type="gramEnd"/>
      <w:r w:rsidRPr="005D524D">
        <w:rPr>
          <w:b/>
          <w:sz w:val="20"/>
          <w:lang w:val="es-ES_tradnl"/>
        </w:rPr>
        <w:t xml:space="preserve"> por objeto de gasto</w:t>
      </w:r>
    </w:p>
    <w:p w:rsidR="00236E18" w:rsidRPr="005D524D" w:rsidRDefault="00236E18" w:rsidP="00236E18">
      <w:pPr>
        <w:keepNext/>
        <w:keepLines/>
        <w:autoSpaceDE w:val="0"/>
        <w:autoSpaceDN w:val="0"/>
        <w:jc w:val="center"/>
        <w:rPr>
          <w:i/>
          <w:sz w:val="20"/>
          <w:highlight w:val="lightGray"/>
          <w:lang w:val="es-ES_tradnl"/>
        </w:rPr>
      </w:pPr>
      <w:r w:rsidRPr="005D524D">
        <w:rPr>
          <w:i/>
          <w:sz w:val="20"/>
          <w:lang w:val="es-ES_tradnl"/>
        </w:rPr>
        <w:t>(</w:t>
      </w:r>
      <w:proofErr w:type="gramStart"/>
      <w:r w:rsidRPr="005D524D">
        <w:rPr>
          <w:i/>
          <w:sz w:val="20"/>
          <w:lang w:val="es-ES_tradnl"/>
        </w:rPr>
        <w:t>en</w:t>
      </w:r>
      <w:proofErr w:type="gramEnd"/>
      <w:r w:rsidRPr="005D524D">
        <w:rPr>
          <w:i/>
          <w:sz w:val="20"/>
          <w:lang w:val="es-ES_tradnl"/>
        </w:rPr>
        <w:t xml:space="preserve"> miles de francos suizos)</w:t>
      </w:r>
    </w:p>
    <w:p w:rsidR="00236E18" w:rsidRPr="005D524D" w:rsidRDefault="00236E18" w:rsidP="00236E18">
      <w:pPr>
        <w:keepNext/>
        <w:keepLines/>
        <w:autoSpaceDE w:val="0"/>
        <w:autoSpaceDN w:val="0"/>
        <w:jc w:val="center"/>
        <w:rPr>
          <w:i/>
          <w:sz w:val="20"/>
          <w:highlight w:val="lightGray"/>
          <w:lang w:val="es-ES_tradnl"/>
        </w:rPr>
      </w:pPr>
    </w:p>
    <w:p w:rsidR="00236E18" w:rsidRPr="009B4A78" w:rsidRDefault="00236E18" w:rsidP="00236E18">
      <w:pPr>
        <w:tabs>
          <w:tab w:val="left" w:pos="567"/>
          <w:tab w:val="left" w:pos="1985"/>
        </w:tabs>
        <w:jc w:val="center"/>
        <w:rPr>
          <w:bCs/>
          <w:sz w:val="20"/>
          <w:szCs w:val="16"/>
        </w:rPr>
      </w:pPr>
      <w:r>
        <w:rPr>
          <w:noProof/>
          <w:lang w:val="en-US" w:eastAsia="en-US"/>
        </w:rPr>
        <w:drawing>
          <wp:inline distT="0" distB="0" distL="0" distR="0" wp14:anchorId="39B4C29D" wp14:editId="669AE403">
            <wp:extent cx="5940425" cy="6041971"/>
            <wp:effectExtent l="0" t="0" r="3175" b="0"/>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0425" cy="6041971"/>
                    </a:xfrm>
                    <a:prstGeom prst="rect">
                      <a:avLst/>
                    </a:prstGeom>
                    <a:noFill/>
                    <a:ln>
                      <a:noFill/>
                    </a:ln>
                  </pic:spPr>
                </pic:pic>
              </a:graphicData>
            </a:graphic>
          </wp:inline>
        </w:drawing>
      </w:r>
    </w:p>
    <w:p w:rsidR="00236E18" w:rsidRPr="009B4A78" w:rsidRDefault="00236E18" w:rsidP="00236E18">
      <w:pPr>
        <w:tabs>
          <w:tab w:val="left" w:pos="567"/>
          <w:tab w:val="left" w:pos="1985"/>
        </w:tabs>
        <w:jc w:val="both"/>
        <w:rPr>
          <w:bCs/>
          <w:sz w:val="20"/>
          <w:szCs w:val="16"/>
        </w:rPr>
      </w:pPr>
    </w:p>
    <w:p w:rsidR="00236E18" w:rsidRDefault="00236E18" w:rsidP="00236E18">
      <w:pPr>
        <w:rPr>
          <w:szCs w:val="22"/>
        </w:rPr>
      </w:pPr>
      <w:r>
        <w:rPr>
          <w:szCs w:val="22"/>
        </w:rPr>
        <w:br w:type="page"/>
      </w:r>
    </w:p>
    <w:p w:rsidR="00236E18" w:rsidRPr="00F4741E" w:rsidRDefault="00236E18" w:rsidP="00236E18">
      <w:pPr>
        <w:pStyle w:val="StyleStyleHeading3ComplexItalicLatin12pt"/>
        <w:rPr>
          <w:lang w:val="es-ES"/>
        </w:rPr>
      </w:pPr>
      <w:bookmarkStart w:id="50" w:name="_Toc431573545"/>
      <w:bookmarkStart w:id="51" w:name="_Toc431573946"/>
      <w:r w:rsidRPr="00F4741E">
        <w:rPr>
          <w:lang w:val="es-ES"/>
        </w:rPr>
        <w:lastRenderedPageBreak/>
        <w:t>PROGRAMA 6</w:t>
      </w:r>
      <w:r w:rsidRPr="00F4741E">
        <w:rPr>
          <w:lang w:val="es-ES"/>
        </w:rPr>
        <w:tab/>
        <w:t>SISTEMA DE MADRID</w:t>
      </w:r>
      <w:bookmarkEnd w:id="50"/>
      <w:bookmarkEnd w:id="51"/>
    </w:p>
    <w:p w:rsidR="00236E18" w:rsidRPr="00755F79" w:rsidRDefault="00236E18" w:rsidP="00236E18">
      <w:pPr>
        <w:jc w:val="both"/>
        <w:rPr>
          <w:b/>
          <w:sz w:val="20"/>
        </w:rPr>
      </w:pPr>
    </w:p>
    <w:p w:rsidR="00236E18" w:rsidRPr="00755F79" w:rsidRDefault="00236E18" w:rsidP="00236E18">
      <w:pPr>
        <w:jc w:val="both"/>
        <w:rPr>
          <w:b/>
          <w:sz w:val="20"/>
        </w:rPr>
      </w:pPr>
    </w:p>
    <w:p w:rsidR="00236E18" w:rsidRPr="00755F79" w:rsidRDefault="00236E18" w:rsidP="00236E18">
      <w:pPr>
        <w:jc w:val="both"/>
      </w:pPr>
      <w:r w:rsidRPr="00755F79">
        <w:t>CONTEXTO DE PLANIFICACIÓN</w:t>
      </w:r>
    </w:p>
    <w:p w:rsidR="00236E18" w:rsidRPr="00755F79" w:rsidRDefault="00236E18" w:rsidP="00236E18">
      <w:pPr>
        <w:jc w:val="both"/>
      </w:pPr>
    </w:p>
    <w:p w:rsidR="00236E18" w:rsidRPr="00755F79" w:rsidRDefault="00236E18" w:rsidP="00236E18">
      <w:pPr>
        <w:pStyle w:val="ListParagraph"/>
        <w:numPr>
          <w:ilvl w:val="0"/>
          <w:numId w:val="16"/>
        </w:numPr>
        <w:tabs>
          <w:tab w:val="left" w:pos="567"/>
        </w:tabs>
        <w:ind w:left="0" w:firstLine="0"/>
        <w:contextualSpacing w:val="0"/>
        <w:jc w:val="both"/>
        <w:rPr>
          <w:rFonts w:ascii="Arial" w:hAnsi="Arial" w:cs="Arial"/>
          <w:sz w:val="20"/>
          <w:szCs w:val="20"/>
          <w:lang w:val="es-ES"/>
        </w:rPr>
      </w:pPr>
      <w:r w:rsidRPr="00755F79">
        <w:rPr>
          <w:rFonts w:ascii="Arial" w:hAnsi="Arial" w:cs="Arial"/>
          <w:sz w:val="20"/>
          <w:szCs w:val="20"/>
          <w:lang w:val="es-ES"/>
        </w:rPr>
        <w:t xml:space="preserve">En el bienio 2016/17, el Sistema de Madrid tendrá que hacer frente a los siguientes desafíos:  i) realizar una estimación precisa del número de solicitudes de registro que serán presentadas en virtud del Sistema, habida cuenta de que la economía mundial continúa siendo frágil; ii) ser capaz de absorber el aumento probable del número de adhesiones de nuevos países;  iii) perfeccionar su funcionamiento para ofrecer un servicio mejor a los usuarios del sector privado y también a las Oficinas, incluidas las de los nuevos países miembros;  iv), mejora de la coherencia, la previsibilidad y calidad global de la labor de la Oficina Internacional de la forma más eficaz posible en función de los costos;  y v) determinar, aprovechar y sacar el mayor partido posible de las oportunidades que ofrece el mayor nivel de automatización en todos los aspectos del procedimiento internacional. </w:t>
      </w:r>
    </w:p>
    <w:p w:rsidR="00236E18" w:rsidRPr="00755F79" w:rsidRDefault="00236E18" w:rsidP="00236E18">
      <w:pPr>
        <w:jc w:val="both"/>
        <w:rPr>
          <w:sz w:val="20"/>
        </w:rPr>
      </w:pPr>
    </w:p>
    <w:p w:rsidR="00236E18" w:rsidRPr="00755F79" w:rsidRDefault="00236E18" w:rsidP="00236E18">
      <w:pPr>
        <w:jc w:val="both"/>
        <w:rPr>
          <w:sz w:val="20"/>
        </w:rPr>
      </w:pPr>
    </w:p>
    <w:p w:rsidR="00236E18" w:rsidRPr="00755F79" w:rsidRDefault="00236E18" w:rsidP="00236E18">
      <w:pPr>
        <w:jc w:val="both"/>
      </w:pPr>
      <w:r w:rsidRPr="00755F79">
        <w:t>ESTRATEGIAS DE EJECUCIÓN</w:t>
      </w:r>
    </w:p>
    <w:p w:rsidR="00236E18" w:rsidRPr="00755F79" w:rsidRDefault="00236E18" w:rsidP="00236E18">
      <w:pPr>
        <w:jc w:val="both"/>
      </w:pPr>
    </w:p>
    <w:p w:rsidR="00236E18" w:rsidRPr="00755F79" w:rsidRDefault="00236E18" w:rsidP="00236E18">
      <w:pPr>
        <w:pStyle w:val="ListParagraph"/>
        <w:numPr>
          <w:ilvl w:val="0"/>
          <w:numId w:val="16"/>
        </w:numPr>
        <w:tabs>
          <w:tab w:val="left" w:pos="567"/>
        </w:tabs>
        <w:ind w:left="0" w:firstLine="0"/>
        <w:contextualSpacing w:val="0"/>
        <w:jc w:val="both"/>
        <w:rPr>
          <w:rFonts w:ascii="Arial" w:hAnsi="Arial" w:cs="Arial"/>
          <w:sz w:val="20"/>
          <w:szCs w:val="20"/>
          <w:lang w:val="es-ES"/>
        </w:rPr>
      </w:pPr>
      <w:r w:rsidRPr="00755F79">
        <w:rPr>
          <w:rFonts w:ascii="Arial" w:hAnsi="Arial" w:cs="Arial"/>
          <w:sz w:val="20"/>
          <w:szCs w:val="20"/>
          <w:lang w:val="es-ES"/>
        </w:rPr>
        <w:t>La Oficina Internacional se mantendrá en contacto con los nuevos miembros potenciales en las primeras etapas del proceso de adhesión a los fines de ofrecerles orientación sobre la labor preparatoria necesaria, como determinar a quién incumbe efectuar los cambios, consideraciones en materia  legislativa, organizativa e institucional, cuestiones de procedimiento y funcionamiento, automatización de las TT.II. y cambios en la comunidad de usuarios.  La Oficina Internacional prestará también apoyo operativo y orientación a los nuevos miembros en las etapas inmediatamente posteriores a la entrada en vigor del Protocolo de Madrid.  Dada la cantidad de trabajo que será necesario efectuar con probabilidad y de la necesidad de examinar las cuestiones desde varios ángulos, la Oficina Internacional recurrirá a las Oficinas de la OMPI en el exterior, las oficinas nacionales y regionales y otras partes interesadas importantes a fin de llevar esos esfuerzos a buen puerto.</w:t>
      </w:r>
    </w:p>
    <w:p w:rsidR="00236E18" w:rsidRPr="00755F79" w:rsidRDefault="00236E18" w:rsidP="00236E18">
      <w:pPr>
        <w:pStyle w:val="ListParagraph"/>
        <w:tabs>
          <w:tab w:val="left" w:pos="567"/>
        </w:tabs>
        <w:ind w:left="0"/>
        <w:jc w:val="both"/>
        <w:rPr>
          <w:rFonts w:ascii="Arial" w:hAnsi="Arial" w:cs="Arial"/>
          <w:sz w:val="20"/>
          <w:szCs w:val="20"/>
          <w:lang w:val="es-ES"/>
        </w:rPr>
      </w:pPr>
    </w:p>
    <w:p w:rsidR="00236E18" w:rsidRPr="00755F79" w:rsidRDefault="00236E18" w:rsidP="00236E18">
      <w:pPr>
        <w:pStyle w:val="ListParagraph"/>
        <w:numPr>
          <w:ilvl w:val="0"/>
          <w:numId w:val="16"/>
        </w:numPr>
        <w:tabs>
          <w:tab w:val="left" w:pos="567"/>
        </w:tabs>
        <w:ind w:left="0" w:firstLine="0"/>
        <w:contextualSpacing w:val="0"/>
        <w:jc w:val="both"/>
        <w:rPr>
          <w:rFonts w:ascii="Arial" w:hAnsi="Arial" w:cs="Arial"/>
          <w:sz w:val="20"/>
          <w:szCs w:val="20"/>
          <w:lang w:val="es-ES"/>
        </w:rPr>
      </w:pPr>
      <w:r w:rsidRPr="00755F79">
        <w:rPr>
          <w:rFonts w:ascii="Arial" w:hAnsi="Arial" w:cs="Arial"/>
          <w:sz w:val="20"/>
          <w:szCs w:val="20"/>
          <w:lang w:val="es-ES"/>
        </w:rPr>
        <w:t>Se respaldarán, además, las iniciativas emprendidas a principios de 2014 para mejorar la tramitación de las solicitudes internacionales presentadas en virtud del Sistema de Madrid así como la gestión del Registro Internacional.  Se consolidarán los progresos esenciales que se han realizado en los ámbitos de la planificación del volumen de trabajo y de los recursos, los servicios a los clientes y la formación del personal de modo que redunde en beneficio concreto de los usuarios del sector privado y de las Oficinas.  A medida que vayan perfeccionándose esos aspectos de la labor, empezará a prestarse cada vez más atención a la calidad, lo que entraña resultados más coherentes y previsibles en los exámenes gracias a una mejora de la documentación de examen y del control de los procedimientos.  Paralelamente se realizarán esfuerzos especiales para que el proceso de clasificación de la Oficina Internacional sea más eficaz, progresando en el desarrollo de una plataforma impecable para los productos y servicios de Niza y la base de datos Gestor de Productos y Servicios de Madrid</w:t>
      </w:r>
      <w:r w:rsidRPr="00755F79">
        <w:rPr>
          <w:rFonts w:ascii="Arial" w:eastAsia="MS Mincho" w:hAnsi="Arial" w:cs="Arial"/>
          <w:sz w:val="20"/>
          <w:szCs w:val="20"/>
          <w:lang w:val="es-ES"/>
        </w:rPr>
        <w:t xml:space="preserve"> (MSG) a fin de que las prácticas de clasificación de todas las Oficinas interesadas sean más transparentes</w:t>
      </w:r>
      <w:r w:rsidRPr="00755F79">
        <w:rPr>
          <w:rFonts w:ascii="Arial" w:hAnsi="Arial" w:cs="Arial"/>
          <w:sz w:val="20"/>
          <w:szCs w:val="20"/>
          <w:lang w:val="es-ES"/>
        </w:rPr>
        <w:t xml:space="preserve">.  </w:t>
      </w:r>
    </w:p>
    <w:p w:rsidR="00236E18" w:rsidRPr="00755F79" w:rsidRDefault="00236E18" w:rsidP="00236E18">
      <w:pPr>
        <w:pStyle w:val="ListParagraph"/>
        <w:tabs>
          <w:tab w:val="left" w:pos="567"/>
        </w:tabs>
        <w:ind w:left="0"/>
        <w:jc w:val="both"/>
        <w:rPr>
          <w:rFonts w:ascii="Arial" w:hAnsi="Arial" w:cs="Arial"/>
          <w:sz w:val="20"/>
          <w:szCs w:val="20"/>
          <w:lang w:val="es-ES"/>
        </w:rPr>
      </w:pPr>
    </w:p>
    <w:p w:rsidR="00236E18" w:rsidRPr="00755F79" w:rsidRDefault="00236E18" w:rsidP="00236E18">
      <w:pPr>
        <w:pStyle w:val="ListParagraph"/>
        <w:numPr>
          <w:ilvl w:val="0"/>
          <w:numId w:val="16"/>
        </w:numPr>
        <w:tabs>
          <w:tab w:val="left" w:pos="567"/>
        </w:tabs>
        <w:ind w:left="0" w:firstLine="0"/>
        <w:contextualSpacing w:val="0"/>
        <w:jc w:val="both"/>
        <w:rPr>
          <w:rFonts w:ascii="Arial" w:hAnsi="Arial" w:cs="Arial"/>
          <w:sz w:val="20"/>
          <w:szCs w:val="20"/>
          <w:lang w:val="es-ES"/>
        </w:rPr>
      </w:pPr>
      <w:r w:rsidRPr="00755F79">
        <w:rPr>
          <w:rFonts w:ascii="Arial" w:hAnsi="Arial" w:cs="Arial"/>
          <w:sz w:val="20"/>
          <w:szCs w:val="20"/>
          <w:lang w:val="es-ES"/>
        </w:rPr>
        <w:t xml:space="preserve">En la esfera de la promoción, se dará mayor importancia a la investigación de mercado y los planes de comercialización y sensibilización que estén en sintonía con las necesidades y el perfil específicos de usuarios locales potenciales.  En el sitio web de la Oficina Internacional se ofrecerá </w:t>
      </w:r>
      <w:proofErr w:type="gramStart"/>
      <w:r w:rsidRPr="00755F79">
        <w:rPr>
          <w:rFonts w:ascii="Arial" w:hAnsi="Arial" w:cs="Arial"/>
          <w:sz w:val="20"/>
          <w:szCs w:val="20"/>
          <w:lang w:val="es-ES"/>
        </w:rPr>
        <w:t xml:space="preserve">información adicional y de mejor calidad </w:t>
      </w:r>
      <w:r>
        <w:rPr>
          <w:rFonts w:ascii="Arial" w:hAnsi="Arial" w:cs="Arial"/>
          <w:sz w:val="20"/>
          <w:szCs w:val="20"/>
          <w:lang w:val="es-ES"/>
        </w:rPr>
        <w:t>sobre</w:t>
      </w:r>
      <w:r w:rsidRPr="00755F79">
        <w:rPr>
          <w:rFonts w:ascii="Arial" w:hAnsi="Arial" w:cs="Arial"/>
          <w:sz w:val="20"/>
          <w:szCs w:val="20"/>
          <w:lang w:val="es-ES"/>
        </w:rPr>
        <w:t xml:space="preserve"> el Sistema de Madrid, incluidas</w:t>
      </w:r>
      <w:proofErr w:type="gramEnd"/>
      <w:r w:rsidRPr="00755F79">
        <w:rPr>
          <w:rFonts w:ascii="Arial" w:hAnsi="Arial" w:cs="Arial"/>
          <w:sz w:val="20"/>
          <w:szCs w:val="20"/>
          <w:lang w:val="es-ES"/>
        </w:rPr>
        <w:t xml:space="preserve"> las prácticas de examen tanto en la Oficina Internacional como en las Partes Contratantes designadas, respondiendo así a las necesidades de los nuevos usuarios y los usuarios con mayor experiencia.  Se racionalizarán las herramientas </w:t>
      </w:r>
      <w:r>
        <w:rPr>
          <w:rFonts w:ascii="Arial" w:hAnsi="Arial" w:cs="Arial"/>
          <w:sz w:val="20"/>
          <w:szCs w:val="20"/>
          <w:lang w:val="es-ES"/>
        </w:rPr>
        <w:t xml:space="preserve">disponibles en Internet, que permiten que los propietarios de marcas </w:t>
      </w:r>
      <w:r w:rsidRPr="00755F79">
        <w:rPr>
          <w:rFonts w:ascii="Arial" w:hAnsi="Arial" w:cs="Arial"/>
          <w:sz w:val="20"/>
          <w:szCs w:val="20"/>
          <w:lang w:val="es-ES"/>
        </w:rPr>
        <w:t>gestion</w:t>
      </w:r>
      <w:r>
        <w:rPr>
          <w:rFonts w:ascii="Arial" w:hAnsi="Arial" w:cs="Arial"/>
          <w:sz w:val="20"/>
          <w:szCs w:val="20"/>
          <w:lang w:val="es-ES"/>
        </w:rPr>
        <w:t>en</w:t>
      </w:r>
      <w:r w:rsidRPr="00755F79">
        <w:rPr>
          <w:rFonts w:ascii="Arial" w:hAnsi="Arial" w:cs="Arial"/>
          <w:sz w:val="20"/>
          <w:szCs w:val="20"/>
          <w:lang w:val="es-ES"/>
        </w:rPr>
        <w:t xml:space="preserve"> </w:t>
      </w:r>
      <w:r>
        <w:rPr>
          <w:rFonts w:ascii="Arial" w:hAnsi="Arial" w:cs="Arial"/>
          <w:sz w:val="20"/>
          <w:szCs w:val="20"/>
          <w:lang w:val="es-ES"/>
        </w:rPr>
        <w:t>sus</w:t>
      </w:r>
      <w:r w:rsidRPr="00755F79">
        <w:rPr>
          <w:rFonts w:ascii="Arial" w:hAnsi="Arial" w:cs="Arial"/>
          <w:sz w:val="20"/>
          <w:szCs w:val="20"/>
          <w:lang w:val="es-ES"/>
        </w:rPr>
        <w:t xml:space="preserve"> carteras de marcas</w:t>
      </w:r>
      <w:r>
        <w:rPr>
          <w:rFonts w:ascii="Arial" w:hAnsi="Arial" w:cs="Arial"/>
          <w:sz w:val="20"/>
          <w:szCs w:val="20"/>
          <w:lang w:val="es-ES"/>
        </w:rPr>
        <w:t>, con el fin de que</w:t>
      </w:r>
      <w:r w:rsidRPr="00755F79">
        <w:rPr>
          <w:rFonts w:ascii="Arial" w:hAnsi="Arial" w:cs="Arial"/>
          <w:sz w:val="20"/>
          <w:szCs w:val="20"/>
          <w:lang w:val="es-ES"/>
        </w:rPr>
        <w:t xml:space="preserve"> form</w:t>
      </w:r>
      <w:r>
        <w:rPr>
          <w:rFonts w:ascii="Arial" w:hAnsi="Arial" w:cs="Arial"/>
          <w:sz w:val="20"/>
          <w:szCs w:val="20"/>
          <w:lang w:val="es-ES"/>
        </w:rPr>
        <w:t>en</w:t>
      </w:r>
      <w:r w:rsidRPr="00755F79">
        <w:rPr>
          <w:rFonts w:ascii="Arial" w:hAnsi="Arial" w:cs="Arial"/>
          <w:sz w:val="20"/>
          <w:szCs w:val="20"/>
          <w:lang w:val="es-ES"/>
        </w:rPr>
        <w:t xml:space="preserve"> parte de un marco electrónico integrado, de modo que los usuarios </w:t>
      </w:r>
      <w:r>
        <w:rPr>
          <w:rFonts w:ascii="Arial" w:hAnsi="Arial" w:cs="Arial"/>
          <w:sz w:val="20"/>
          <w:szCs w:val="20"/>
          <w:lang w:val="es-ES"/>
        </w:rPr>
        <w:t>puedan, sin dificultad,</w:t>
      </w:r>
      <w:r w:rsidRPr="00755F79">
        <w:rPr>
          <w:rFonts w:ascii="Arial" w:hAnsi="Arial" w:cs="Arial"/>
          <w:sz w:val="20"/>
          <w:szCs w:val="20"/>
          <w:lang w:val="es-ES"/>
        </w:rPr>
        <w:t xml:space="preserve"> realizar búsquedas, presentar solicitudes de registro y supervisar y administrar sus marcas en línea.</w:t>
      </w:r>
    </w:p>
    <w:p w:rsidR="00236E18" w:rsidRPr="00755F79" w:rsidRDefault="00236E18" w:rsidP="00236E18">
      <w:pPr>
        <w:pStyle w:val="ListParagraph"/>
        <w:tabs>
          <w:tab w:val="left" w:pos="567"/>
        </w:tabs>
        <w:ind w:left="0"/>
        <w:jc w:val="both"/>
        <w:rPr>
          <w:rFonts w:ascii="Arial" w:hAnsi="Arial" w:cs="Arial"/>
          <w:sz w:val="20"/>
          <w:szCs w:val="20"/>
          <w:lang w:val="es-ES"/>
        </w:rPr>
      </w:pPr>
    </w:p>
    <w:p w:rsidR="00236E18" w:rsidRPr="00755F79" w:rsidRDefault="00236E18" w:rsidP="00236E18">
      <w:pPr>
        <w:pStyle w:val="ListParagraph"/>
        <w:numPr>
          <w:ilvl w:val="0"/>
          <w:numId w:val="16"/>
        </w:numPr>
        <w:tabs>
          <w:tab w:val="left" w:pos="567"/>
        </w:tabs>
        <w:ind w:left="0" w:firstLine="0"/>
        <w:contextualSpacing w:val="0"/>
        <w:jc w:val="both"/>
        <w:rPr>
          <w:rFonts w:ascii="Arial" w:hAnsi="Arial" w:cs="Arial"/>
          <w:sz w:val="20"/>
          <w:szCs w:val="20"/>
          <w:lang w:val="es-ES"/>
        </w:rPr>
      </w:pPr>
      <w:r w:rsidRPr="00755F79">
        <w:rPr>
          <w:rFonts w:ascii="Arial" w:hAnsi="Arial" w:cs="Arial"/>
          <w:sz w:val="20"/>
          <w:szCs w:val="20"/>
          <w:lang w:val="es-ES"/>
        </w:rPr>
        <w:t>Con la rápida expansión de su alcance geográfico, el Sistema de Madrid deberá servir los intereses de tod</w:t>
      </w:r>
      <w:r>
        <w:rPr>
          <w:rFonts w:ascii="Arial" w:hAnsi="Arial" w:cs="Arial"/>
          <w:sz w:val="20"/>
          <w:szCs w:val="20"/>
          <w:lang w:val="es-ES"/>
        </w:rPr>
        <w:t>a</w:t>
      </w:r>
      <w:r w:rsidRPr="00755F79">
        <w:rPr>
          <w:rFonts w:ascii="Arial" w:hAnsi="Arial" w:cs="Arial"/>
          <w:sz w:val="20"/>
          <w:szCs w:val="20"/>
          <w:lang w:val="es-ES"/>
        </w:rPr>
        <w:t>s l</w:t>
      </w:r>
      <w:r>
        <w:rPr>
          <w:rFonts w:ascii="Arial" w:hAnsi="Arial" w:cs="Arial"/>
          <w:sz w:val="20"/>
          <w:szCs w:val="20"/>
          <w:lang w:val="es-ES"/>
        </w:rPr>
        <w:t>a</w:t>
      </w:r>
      <w:r w:rsidRPr="00755F79">
        <w:rPr>
          <w:rFonts w:ascii="Arial" w:hAnsi="Arial" w:cs="Arial"/>
          <w:sz w:val="20"/>
          <w:szCs w:val="20"/>
          <w:lang w:val="es-ES"/>
        </w:rPr>
        <w:t xml:space="preserve">s </w:t>
      </w:r>
      <w:r>
        <w:rPr>
          <w:rFonts w:ascii="Arial" w:hAnsi="Arial" w:cs="Arial"/>
          <w:sz w:val="20"/>
          <w:szCs w:val="20"/>
          <w:lang w:val="es-ES"/>
        </w:rPr>
        <w:t>partes interesadas</w:t>
      </w:r>
      <w:r w:rsidRPr="00755F79">
        <w:rPr>
          <w:rFonts w:ascii="Arial" w:hAnsi="Arial" w:cs="Arial"/>
          <w:sz w:val="20"/>
          <w:szCs w:val="20"/>
          <w:lang w:val="es-ES"/>
        </w:rPr>
        <w:t xml:space="preserve"> por igual a los fines de explotar al máximo su potencial en el nuevo entorno.  El Grupo de Trabajo sobre el Desarrollo Jurídico del Sistema de Madrid estudiará la forma de velar por que el marco jurídico evolucione a la par de las necesidades cambiantes.</w:t>
      </w:r>
    </w:p>
    <w:p w:rsidR="00236E18" w:rsidRPr="00755F79" w:rsidRDefault="00236E18" w:rsidP="00236E18">
      <w:pPr>
        <w:pStyle w:val="ListParagraph"/>
        <w:tabs>
          <w:tab w:val="left" w:pos="567"/>
        </w:tabs>
        <w:ind w:left="0"/>
        <w:jc w:val="both"/>
        <w:rPr>
          <w:rFonts w:ascii="Arial" w:hAnsi="Arial" w:cs="Arial"/>
          <w:sz w:val="20"/>
          <w:szCs w:val="20"/>
          <w:lang w:val="es-ES"/>
        </w:rPr>
      </w:pPr>
    </w:p>
    <w:p w:rsidR="00236E18" w:rsidRPr="00755F79" w:rsidRDefault="00236E18" w:rsidP="00236E18">
      <w:pPr>
        <w:pStyle w:val="ListParagraph"/>
        <w:numPr>
          <w:ilvl w:val="0"/>
          <w:numId w:val="16"/>
        </w:numPr>
        <w:tabs>
          <w:tab w:val="left" w:pos="567"/>
        </w:tabs>
        <w:ind w:left="0" w:firstLine="0"/>
        <w:contextualSpacing w:val="0"/>
        <w:jc w:val="both"/>
        <w:rPr>
          <w:rFonts w:ascii="Arial" w:hAnsi="Arial" w:cs="Arial"/>
          <w:sz w:val="20"/>
          <w:szCs w:val="20"/>
          <w:lang w:val="es-ES"/>
        </w:rPr>
      </w:pPr>
      <w:r w:rsidRPr="00755F79">
        <w:rPr>
          <w:rFonts w:ascii="Arial" w:hAnsi="Arial" w:cs="Arial"/>
          <w:sz w:val="20"/>
          <w:szCs w:val="20"/>
          <w:lang w:val="es-ES"/>
        </w:rPr>
        <w:t xml:space="preserve">A medida que vayan presentándose oportunidades de aplicar mejor las tecnologías de la información y la comunicación, la Oficina Internacional adoptará una serie de políticas en materia de aplicación a los fines de responder a las expectativas de unas y otras partes interesadas en el Sistema de Madrid, incluidas las Oficinas, los solicitantes, los titulares de derechos y los profesionales de la P.I., </w:t>
      </w:r>
      <w:r w:rsidRPr="00755F79">
        <w:rPr>
          <w:rFonts w:ascii="Arial" w:hAnsi="Arial" w:cs="Arial"/>
          <w:sz w:val="20"/>
          <w:szCs w:val="20"/>
          <w:lang w:val="es-ES"/>
        </w:rPr>
        <w:lastRenderedPageBreak/>
        <w:t>en el marco de los esfuerzos encaminados a trabajar en un entorno totalmente electrónico.  Con esas políticas se garantizará que las partes interesadas puedan acceder al Registro Internacional en línea y de forma simultánea, en tiempo real y en régimen de autoservicio.  Se prestará mucha atención a la necesidad de prestar mejores servicios en línea que ofrezcan servicios y un funcionamiento idénticos a todas las partes interesadas, sea cual sea su ubicación geográfica.</w:t>
      </w:r>
    </w:p>
    <w:p w:rsidR="00236E18" w:rsidRDefault="00236E18" w:rsidP="00236E18">
      <w:pPr>
        <w:jc w:val="both"/>
      </w:pPr>
    </w:p>
    <w:p w:rsidR="00236E18" w:rsidRPr="00171EF4" w:rsidRDefault="00236E18" w:rsidP="00236E18">
      <w:pPr>
        <w:numPr>
          <w:ilvl w:val="0"/>
          <w:numId w:val="16"/>
        </w:numPr>
        <w:ind w:left="540" w:hanging="540"/>
        <w:jc w:val="both"/>
        <w:rPr>
          <w:sz w:val="20"/>
        </w:rPr>
      </w:pPr>
      <w:r w:rsidRPr="00171EF4">
        <w:rPr>
          <w:sz w:val="20"/>
        </w:rPr>
        <w:t>El program</w:t>
      </w:r>
      <w:r>
        <w:rPr>
          <w:sz w:val="20"/>
        </w:rPr>
        <w:t>a</w:t>
      </w:r>
      <w:r w:rsidRPr="00171EF4">
        <w:rPr>
          <w:sz w:val="20"/>
        </w:rPr>
        <w:t xml:space="preserve"> 6 </w:t>
      </w:r>
      <w:r w:rsidRPr="00C37CCD">
        <w:rPr>
          <w:sz w:val="20"/>
        </w:rPr>
        <w:t>colabora</w:t>
      </w:r>
      <w:r>
        <w:rPr>
          <w:sz w:val="20"/>
        </w:rPr>
        <w:t xml:space="preserve"> principalmente con los programas siguientes</w:t>
      </w:r>
      <w:r w:rsidRPr="00171EF4">
        <w:rPr>
          <w:sz w:val="20"/>
        </w:rPr>
        <w:t xml:space="preserve">: </w:t>
      </w:r>
    </w:p>
    <w:p w:rsidR="00236E18" w:rsidRPr="006A3CA4" w:rsidRDefault="00236E18" w:rsidP="00236E18">
      <w:pPr>
        <w:jc w:val="both"/>
        <w:rPr>
          <w:lang w:val="es-ES_tradnl"/>
        </w:rPr>
      </w:pPr>
    </w:p>
    <w:p w:rsidR="00236E18" w:rsidRPr="00755F79" w:rsidRDefault="00236E18" w:rsidP="00236E18">
      <w:pPr>
        <w:jc w:val="both"/>
      </w:pPr>
      <w:r>
        <w:rPr>
          <w:noProof/>
          <w:lang w:val="en-US" w:eastAsia="en-US"/>
        </w:rPr>
        <w:drawing>
          <wp:inline distT="0" distB="0" distL="0" distR="0" wp14:anchorId="05D4CAF0" wp14:editId="4F7A1428">
            <wp:extent cx="5940425" cy="1480029"/>
            <wp:effectExtent l="0" t="0" r="0" b="82550"/>
            <wp:docPr id="33" name="Diagram 3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rsidR="00236E18" w:rsidRPr="00755F79" w:rsidRDefault="00236E18" w:rsidP="00236E18">
      <w:pPr>
        <w:jc w:val="both"/>
        <w:rPr>
          <w:sz w:val="20"/>
        </w:rPr>
      </w:pPr>
    </w:p>
    <w:p w:rsidR="00236E18" w:rsidRPr="00755F79" w:rsidRDefault="00236E18" w:rsidP="00236E18">
      <w:pPr>
        <w:jc w:val="both"/>
        <w:rPr>
          <w:sz w:val="20"/>
        </w:rPr>
      </w:pPr>
    </w:p>
    <w:p w:rsidR="00236E18" w:rsidRPr="00755F79" w:rsidRDefault="00236E18" w:rsidP="00236E18">
      <w:pPr>
        <w:keepNext/>
        <w:keepLines/>
      </w:pPr>
      <w:r w:rsidRPr="00755F79">
        <w:t>PRINCIPALES RIESGOS Y ESTRATEGIAS DE MITIGACIÓN</w:t>
      </w:r>
    </w:p>
    <w:p w:rsidR="00236E18" w:rsidRPr="00755F79" w:rsidRDefault="00236E18" w:rsidP="00236E18">
      <w:pPr>
        <w:keepNext/>
        <w:keepLines/>
        <w:rPr>
          <w:rFonts w:eastAsia="Times New Roman"/>
        </w:rPr>
      </w:pPr>
    </w:p>
    <w:tbl>
      <w:tblPr>
        <w:tblW w:w="949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387"/>
      </w:tblGrid>
      <w:tr w:rsidR="00236E18" w:rsidRPr="00755F79" w:rsidTr="00294272">
        <w:trPr>
          <w:trHeight w:val="478"/>
        </w:trPr>
        <w:tc>
          <w:tcPr>
            <w:tcW w:w="4111" w:type="dxa"/>
            <w:tcBorders>
              <w:top w:val="single" w:sz="4" w:space="0" w:color="auto"/>
              <w:left w:val="single" w:sz="4" w:space="0" w:color="auto"/>
              <w:bottom w:val="single" w:sz="4" w:space="0" w:color="auto"/>
              <w:right w:val="nil"/>
            </w:tcBorders>
            <w:shd w:val="clear" w:color="auto" w:fill="C6D9F1" w:themeFill="text2" w:themeFillTint="33"/>
            <w:vAlign w:val="center"/>
          </w:tcPr>
          <w:p w:rsidR="00236E18" w:rsidRPr="00755F79" w:rsidRDefault="00236E18" w:rsidP="00294272">
            <w:pPr>
              <w:keepNext/>
              <w:keepLines/>
              <w:jc w:val="center"/>
              <w:rPr>
                <w:rFonts w:eastAsia="Times New Roman"/>
                <w:b/>
                <w:bCs/>
                <w:sz w:val="18"/>
                <w:szCs w:val="18"/>
              </w:rPr>
            </w:pPr>
            <w:r w:rsidRPr="00755F79">
              <w:rPr>
                <w:rFonts w:eastAsia="Times New Roman"/>
                <w:b/>
                <w:bCs/>
                <w:sz w:val="18"/>
                <w:szCs w:val="18"/>
              </w:rPr>
              <w:t>Riesgo</w:t>
            </w:r>
          </w:p>
        </w:tc>
        <w:tc>
          <w:tcPr>
            <w:tcW w:w="5387" w:type="dxa"/>
            <w:tcBorders>
              <w:top w:val="single" w:sz="4" w:space="0" w:color="auto"/>
              <w:left w:val="nil"/>
              <w:bottom w:val="single" w:sz="4" w:space="0" w:color="auto"/>
              <w:right w:val="single" w:sz="4" w:space="0" w:color="auto"/>
            </w:tcBorders>
            <w:shd w:val="clear" w:color="auto" w:fill="C6D9F1" w:themeFill="text2" w:themeFillTint="33"/>
            <w:vAlign w:val="center"/>
          </w:tcPr>
          <w:p w:rsidR="00236E18" w:rsidRPr="00755F79" w:rsidRDefault="00236E18" w:rsidP="00294272">
            <w:pPr>
              <w:keepNext/>
              <w:keepLines/>
              <w:jc w:val="center"/>
              <w:rPr>
                <w:rFonts w:eastAsia="Times New Roman"/>
                <w:b/>
                <w:bCs/>
                <w:sz w:val="18"/>
                <w:szCs w:val="18"/>
              </w:rPr>
            </w:pPr>
            <w:r w:rsidRPr="00755F79">
              <w:rPr>
                <w:rFonts w:eastAsia="Times New Roman"/>
                <w:b/>
                <w:bCs/>
                <w:sz w:val="18"/>
                <w:szCs w:val="18"/>
              </w:rPr>
              <w:t>Mitigación</w:t>
            </w:r>
          </w:p>
        </w:tc>
      </w:tr>
      <w:tr w:rsidR="00236E18" w:rsidRPr="00755F79" w:rsidTr="00294272">
        <w:trPr>
          <w:trHeight w:val="211"/>
        </w:trPr>
        <w:tc>
          <w:tcPr>
            <w:tcW w:w="4111" w:type="dxa"/>
            <w:tcBorders>
              <w:top w:val="single" w:sz="4" w:space="0" w:color="auto"/>
              <w:left w:val="single" w:sz="4" w:space="0" w:color="auto"/>
              <w:bottom w:val="nil"/>
              <w:right w:val="nil"/>
            </w:tcBorders>
            <w:shd w:val="clear" w:color="auto" w:fill="auto"/>
            <w:tcMar>
              <w:top w:w="113" w:type="dxa"/>
              <w:bottom w:w="113" w:type="dxa"/>
            </w:tcMar>
          </w:tcPr>
          <w:p w:rsidR="00236E18" w:rsidRPr="00755F79" w:rsidRDefault="00236E18" w:rsidP="00294272">
            <w:pPr>
              <w:rPr>
                <w:rFonts w:eastAsia="Times New Roman"/>
                <w:sz w:val="16"/>
                <w:szCs w:val="16"/>
              </w:rPr>
            </w:pPr>
            <w:r w:rsidRPr="00755F79">
              <w:rPr>
                <w:rFonts w:eastAsia="Times New Roman"/>
                <w:sz w:val="16"/>
                <w:szCs w:val="16"/>
              </w:rPr>
              <w:t>El Sistema de Madrid podría ser considerado una opción menos interesante que la vía nacional con respecto a determinadas partes Contratantes designadas.</w:t>
            </w:r>
          </w:p>
        </w:tc>
        <w:tc>
          <w:tcPr>
            <w:tcW w:w="5387" w:type="dxa"/>
            <w:tcBorders>
              <w:top w:val="single" w:sz="4" w:space="0" w:color="auto"/>
              <w:left w:val="nil"/>
              <w:bottom w:val="nil"/>
              <w:right w:val="single" w:sz="4" w:space="0" w:color="auto"/>
            </w:tcBorders>
            <w:shd w:val="clear" w:color="auto" w:fill="auto"/>
            <w:tcMar>
              <w:top w:w="113" w:type="dxa"/>
              <w:bottom w:w="113" w:type="dxa"/>
            </w:tcMar>
          </w:tcPr>
          <w:p w:rsidR="00236E18" w:rsidRPr="00755F79" w:rsidRDefault="00236E18" w:rsidP="00294272">
            <w:pPr>
              <w:rPr>
                <w:rFonts w:eastAsia="Times New Roman"/>
                <w:sz w:val="16"/>
                <w:szCs w:val="16"/>
              </w:rPr>
            </w:pPr>
            <w:r w:rsidRPr="00755F79">
              <w:rPr>
                <w:rFonts w:eastAsia="Times New Roman"/>
                <w:sz w:val="16"/>
                <w:szCs w:val="16"/>
              </w:rPr>
              <w:t>Aumentar la eficacia del Sistema de Madrid realizando ajustes jurídicos y prácticos para que se puedan proteger las marcas en todas las Partes Contratantes designadas.</w:t>
            </w:r>
          </w:p>
          <w:p w:rsidR="00236E18" w:rsidRPr="00755F79" w:rsidRDefault="00236E18" w:rsidP="00294272">
            <w:pPr>
              <w:rPr>
                <w:rFonts w:eastAsia="Times New Roman"/>
                <w:sz w:val="16"/>
                <w:szCs w:val="16"/>
              </w:rPr>
            </w:pPr>
          </w:p>
          <w:p w:rsidR="00236E18" w:rsidRPr="00755F79" w:rsidRDefault="00236E18" w:rsidP="00294272">
            <w:pPr>
              <w:rPr>
                <w:rFonts w:eastAsia="Times New Roman"/>
                <w:sz w:val="16"/>
                <w:szCs w:val="16"/>
              </w:rPr>
            </w:pPr>
            <w:r w:rsidRPr="00755F79">
              <w:rPr>
                <w:rFonts w:eastAsia="Times New Roman"/>
                <w:sz w:val="16"/>
                <w:szCs w:val="16"/>
              </w:rPr>
              <w:t>Promover nuevas adhesiones en regiones y países clave.</w:t>
            </w:r>
          </w:p>
        </w:tc>
      </w:tr>
      <w:tr w:rsidR="00236E18" w:rsidRPr="00755F79" w:rsidTr="00294272">
        <w:trPr>
          <w:trHeight w:val="211"/>
        </w:trPr>
        <w:tc>
          <w:tcPr>
            <w:tcW w:w="4111" w:type="dxa"/>
            <w:tcBorders>
              <w:top w:val="nil"/>
              <w:left w:val="single" w:sz="4" w:space="0" w:color="auto"/>
              <w:bottom w:val="nil"/>
              <w:right w:val="nil"/>
            </w:tcBorders>
            <w:shd w:val="clear" w:color="auto" w:fill="auto"/>
            <w:tcMar>
              <w:top w:w="113" w:type="dxa"/>
              <w:bottom w:w="113" w:type="dxa"/>
            </w:tcMar>
          </w:tcPr>
          <w:p w:rsidR="00236E18" w:rsidRPr="00755F79" w:rsidRDefault="00236E18" w:rsidP="00294272">
            <w:pPr>
              <w:rPr>
                <w:rFonts w:eastAsia="Times New Roman"/>
                <w:sz w:val="16"/>
                <w:szCs w:val="16"/>
              </w:rPr>
            </w:pPr>
            <w:r w:rsidRPr="00755F79">
              <w:rPr>
                <w:rFonts w:eastAsia="Times New Roman"/>
                <w:sz w:val="16"/>
                <w:szCs w:val="16"/>
              </w:rPr>
              <w:t>La calidad de los servicios que presta la Oficina Internacional no responde a las expectativas de los clientes.</w:t>
            </w:r>
          </w:p>
        </w:tc>
        <w:tc>
          <w:tcPr>
            <w:tcW w:w="5387" w:type="dxa"/>
            <w:tcBorders>
              <w:top w:val="nil"/>
              <w:left w:val="nil"/>
              <w:bottom w:val="nil"/>
              <w:right w:val="single" w:sz="4" w:space="0" w:color="auto"/>
            </w:tcBorders>
            <w:shd w:val="clear" w:color="auto" w:fill="auto"/>
            <w:tcMar>
              <w:top w:w="113" w:type="dxa"/>
              <w:bottom w:w="113" w:type="dxa"/>
            </w:tcMar>
          </w:tcPr>
          <w:p w:rsidR="00236E18" w:rsidRPr="00755F79" w:rsidRDefault="00236E18" w:rsidP="00294272">
            <w:pPr>
              <w:rPr>
                <w:rFonts w:eastAsia="Times New Roman"/>
                <w:sz w:val="16"/>
                <w:szCs w:val="16"/>
              </w:rPr>
            </w:pPr>
            <w:r w:rsidRPr="00755F79">
              <w:rPr>
                <w:rFonts w:eastAsia="Times New Roman"/>
                <w:sz w:val="16"/>
                <w:szCs w:val="16"/>
              </w:rPr>
              <w:t>Velar por que el personal responda mejor a las necesidades, mejorar la coherencia de las prácticas operacionales y su ajuste  al marco jurídico;  continuar reforzando los procedimientos de control de la calidad y prestando apoyo para actividades de formación.</w:t>
            </w:r>
          </w:p>
        </w:tc>
      </w:tr>
      <w:tr w:rsidR="00236E18" w:rsidRPr="00755F79" w:rsidTr="00294272">
        <w:trPr>
          <w:trHeight w:val="211"/>
        </w:trPr>
        <w:tc>
          <w:tcPr>
            <w:tcW w:w="4111" w:type="dxa"/>
            <w:tcBorders>
              <w:top w:val="nil"/>
              <w:left w:val="single" w:sz="4" w:space="0" w:color="auto"/>
              <w:bottom w:val="single" w:sz="4" w:space="0" w:color="auto"/>
              <w:right w:val="nil"/>
            </w:tcBorders>
            <w:shd w:val="clear" w:color="auto" w:fill="auto"/>
            <w:tcMar>
              <w:top w:w="113" w:type="dxa"/>
              <w:bottom w:w="113" w:type="dxa"/>
            </w:tcMar>
          </w:tcPr>
          <w:p w:rsidR="00236E18" w:rsidRPr="00755F79" w:rsidRDefault="00236E18" w:rsidP="00294272">
            <w:pPr>
              <w:rPr>
                <w:rFonts w:eastAsia="Times New Roman"/>
                <w:sz w:val="16"/>
                <w:szCs w:val="16"/>
              </w:rPr>
            </w:pPr>
            <w:r w:rsidRPr="00755F79">
              <w:rPr>
                <w:rFonts w:eastAsia="Times New Roman"/>
                <w:sz w:val="16"/>
                <w:szCs w:val="16"/>
              </w:rPr>
              <w:t>Indisponibilidad prolongada de las actividades que realiza la Oficina Internacional.</w:t>
            </w:r>
          </w:p>
        </w:tc>
        <w:tc>
          <w:tcPr>
            <w:tcW w:w="5387" w:type="dxa"/>
            <w:tcBorders>
              <w:top w:val="nil"/>
              <w:left w:val="nil"/>
              <w:bottom w:val="single" w:sz="4" w:space="0" w:color="auto"/>
              <w:right w:val="single" w:sz="4" w:space="0" w:color="auto"/>
            </w:tcBorders>
            <w:shd w:val="clear" w:color="auto" w:fill="auto"/>
            <w:tcMar>
              <w:top w:w="113" w:type="dxa"/>
              <w:bottom w:w="113" w:type="dxa"/>
            </w:tcMar>
          </w:tcPr>
          <w:p w:rsidR="00236E18" w:rsidRPr="00755F79" w:rsidRDefault="00236E18" w:rsidP="00294272">
            <w:pPr>
              <w:rPr>
                <w:rFonts w:eastAsia="Times New Roman"/>
                <w:sz w:val="16"/>
                <w:szCs w:val="16"/>
              </w:rPr>
            </w:pPr>
            <w:r w:rsidRPr="00755F79">
              <w:rPr>
                <w:rFonts w:eastAsia="Times New Roman"/>
                <w:sz w:val="16"/>
                <w:szCs w:val="16"/>
              </w:rPr>
              <w:t>Consolidar el plan de continuidad de las actividades de la Oficina Internacional.</w:t>
            </w:r>
          </w:p>
        </w:tc>
      </w:tr>
    </w:tbl>
    <w:p w:rsidR="00236E18" w:rsidRPr="00755F79" w:rsidRDefault="00236E18" w:rsidP="00236E18">
      <w:pPr>
        <w:rPr>
          <w:rFonts w:eastAsia="Times New Roman"/>
        </w:rPr>
      </w:pPr>
    </w:p>
    <w:p w:rsidR="00236E18" w:rsidRPr="00755F79" w:rsidRDefault="00236E18" w:rsidP="00236E18">
      <w:pPr>
        <w:rPr>
          <w:rFonts w:eastAsia="Times New Roman"/>
        </w:rPr>
      </w:pPr>
    </w:p>
    <w:p w:rsidR="00236E18" w:rsidRPr="00755F79" w:rsidRDefault="00236E18" w:rsidP="00236E18">
      <w:pPr>
        <w:rPr>
          <w:rFonts w:eastAsia="Times New Roman"/>
        </w:rPr>
      </w:pPr>
      <w:r w:rsidRPr="00755F79">
        <w:rPr>
          <w:rFonts w:eastAsia="Times New Roman"/>
        </w:rPr>
        <w:t>MARCO DE RESULTADOS</w:t>
      </w:r>
    </w:p>
    <w:p w:rsidR="00236E18" w:rsidRPr="00755F79" w:rsidRDefault="00236E18" w:rsidP="00236E18">
      <w:pPr>
        <w:rPr>
          <w:rFonts w:eastAsia="Times New Roman"/>
        </w:rPr>
      </w:pPr>
    </w:p>
    <w:tbl>
      <w:tblPr>
        <w:tblW w:w="9371" w:type="dxa"/>
        <w:tblInd w:w="93" w:type="dxa"/>
        <w:tblLook w:val="04A0" w:firstRow="1" w:lastRow="0" w:firstColumn="1" w:lastColumn="0" w:noHBand="0" w:noVBand="1"/>
      </w:tblPr>
      <w:tblGrid>
        <w:gridCol w:w="2060"/>
        <w:gridCol w:w="2500"/>
        <w:gridCol w:w="2620"/>
        <w:gridCol w:w="2191"/>
      </w:tblGrid>
      <w:tr w:rsidR="00236E18" w:rsidRPr="00755F79" w:rsidTr="00294272">
        <w:trPr>
          <w:trHeight w:val="518"/>
          <w:tblHeader/>
        </w:trPr>
        <w:tc>
          <w:tcPr>
            <w:tcW w:w="2060"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rsidR="00236E18" w:rsidRPr="00755F79" w:rsidRDefault="00236E18" w:rsidP="00294272">
            <w:pPr>
              <w:jc w:val="center"/>
              <w:rPr>
                <w:rFonts w:eastAsia="Times New Roman"/>
                <w:b/>
                <w:bCs/>
                <w:sz w:val="18"/>
                <w:szCs w:val="18"/>
              </w:rPr>
            </w:pPr>
            <w:r w:rsidRPr="00755F79">
              <w:rPr>
                <w:rFonts w:eastAsia="Times New Roman"/>
                <w:b/>
                <w:bCs/>
                <w:sz w:val="18"/>
                <w:szCs w:val="18"/>
              </w:rPr>
              <w:t>Resultados previstos</w:t>
            </w:r>
          </w:p>
        </w:tc>
        <w:tc>
          <w:tcPr>
            <w:tcW w:w="2500" w:type="dxa"/>
            <w:tcBorders>
              <w:top w:val="single" w:sz="4" w:space="0" w:color="auto"/>
              <w:left w:val="nil"/>
              <w:bottom w:val="single" w:sz="4" w:space="0" w:color="auto"/>
              <w:right w:val="nil"/>
            </w:tcBorders>
            <w:shd w:val="clear" w:color="auto" w:fill="C6D9F1" w:themeFill="text2" w:themeFillTint="33"/>
            <w:vAlign w:val="center"/>
            <w:hideMark/>
          </w:tcPr>
          <w:p w:rsidR="00236E18" w:rsidRPr="00755F79" w:rsidRDefault="00236E18" w:rsidP="00294272">
            <w:pPr>
              <w:jc w:val="center"/>
              <w:rPr>
                <w:rFonts w:eastAsia="Times New Roman"/>
                <w:b/>
                <w:bCs/>
                <w:sz w:val="18"/>
                <w:szCs w:val="18"/>
              </w:rPr>
            </w:pPr>
            <w:r w:rsidRPr="00755F79">
              <w:rPr>
                <w:rFonts w:eastAsia="Times New Roman"/>
                <w:b/>
                <w:bCs/>
                <w:sz w:val="18"/>
                <w:szCs w:val="18"/>
              </w:rPr>
              <w:t>Indicadores de rendimiento</w:t>
            </w:r>
          </w:p>
        </w:tc>
        <w:tc>
          <w:tcPr>
            <w:tcW w:w="2620" w:type="dxa"/>
            <w:tcBorders>
              <w:top w:val="single" w:sz="4" w:space="0" w:color="auto"/>
              <w:left w:val="nil"/>
              <w:bottom w:val="single" w:sz="4" w:space="0" w:color="auto"/>
              <w:right w:val="nil"/>
            </w:tcBorders>
            <w:shd w:val="clear" w:color="auto" w:fill="C6D9F1" w:themeFill="text2" w:themeFillTint="33"/>
            <w:vAlign w:val="center"/>
            <w:hideMark/>
          </w:tcPr>
          <w:p w:rsidR="00236E18" w:rsidRPr="00755F79" w:rsidRDefault="00236E18" w:rsidP="00294272">
            <w:pPr>
              <w:jc w:val="center"/>
              <w:rPr>
                <w:rFonts w:eastAsia="Times New Roman"/>
                <w:b/>
                <w:bCs/>
                <w:sz w:val="18"/>
                <w:szCs w:val="18"/>
              </w:rPr>
            </w:pPr>
            <w:r w:rsidRPr="00755F79">
              <w:rPr>
                <w:rFonts w:eastAsia="Times New Roman"/>
                <w:b/>
                <w:bCs/>
                <w:sz w:val="18"/>
                <w:szCs w:val="18"/>
              </w:rPr>
              <w:t>Referencia</w:t>
            </w:r>
          </w:p>
        </w:tc>
        <w:tc>
          <w:tcPr>
            <w:tcW w:w="219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36E18" w:rsidRPr="00755F79" w:rsidRDefault="00236E18" w:rsidP="00294272">
            <w:pPr>
              <w:jc w:val="center"/>
              <w:rPr>
                <w:rFonts w:eastAsia="Times New Roman"/>
                <w:b/>
                <w:bCs/>
                <w:sz w:val="18"/>
                <w:szCs w:val="18"/>
              </w:rPr>
            </w:pPr>
            <w:r w:rsidRPr="00755F79">
              <w:rPr>
                <w:rFonts w:eastAsia="Times New Roman"/>
                <w:b/>
                <w:bCs/>
                <w:sz w:val="18"/>
                <w:szCs w:val="18"/>
              </w:rPr>
              <w:t>Objetivos</w:t>
            </w:r>
          </w:p>
        </w:tc>
      </w:tr>
      <w:tr w:rsidR="00236E18" w:rsidRPr="00755F79" w:rsidTr="00294272">
        <w:trPr>
          <w:trHeight w:val="1304"/>
        </w:trPr>
        <w:tc>
          <w:tcPr>
            <w:tcW w:w="2060" w:type="dxa"/>
            <w:tcBorders>
              <w:top w:val="nil"/>
              <w:left w:val="single" w:sz="4" w:space="0" w:color="auto"/>
              <w:bottom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br/>
              <w:t>II.</w:t>
            </w:r>
            <w:r w:rsidRPr="00BE77EA">
              <w:rPr>
                <w:rFonts w:eastAsia="Times New Roman"/>
                <w:sz w:val="16"/>
                <w:szCs w:val="16"/>
              </w:rPr>
              <w:t xml:space="preserve">6  </w:t>
            </w:r>
            <w:r w:rsidRPr="00171EF4">
              <w:rPr>
                <w:sz w:val="16"/>
                <w:szCs w:val="16"/>
                <w:lang w:val="es-ES_tradnl"/>
              </w:rPr>
              <w:t>Mayor y más eficaz utilización del Sistema de Madrid, entre otros por los países en desarrollo y los PMA</w:t>
            </w:r>
          </w:p>
        </w:tc>
        <w:tc>
          <w:tcPr>
            <w:tcW w:w="2500" w:type="dxa"/>
            <w:tcBorders>
              <w:top w:val="nil"/>
              <w:left w:val="nil"/>
              <w:bottom w:val="nil"/>
              <w:right w:val="nil"/>
            </w:tcBorders>
            <w:shd w:val="clear" w:color="000000" w:fill="FFFFFF"/>
            <w:hideMark/>
          </w:tcPr>
          <w:p w:rsidR="00236E18" w:rsidRPr="00755F79" w:rsidRDefault="00236E18" w:rsidP="00294272">
            <w:pPr>
              <w:ind w:firstLineChars="200" w:firstLine="320"/>
              <w:rPr>
                <w:rFonts w:eastAsia="Times New Roman"/>
                <w:sz w:val="16"/>
                <w:szCs w:val="16"/>
              </w:rPr>
            </w:pPr>
            <w:r w:rsidRPr="00755F79">
              <w:rPr>
                <w:rFonts w:eastAsia="Times New Roman"/>
                <w:sz w:val="16"/>
                <w:szCs w:val="16"/>
              </w:rPr>
              <w:br/>
              <w:t>N</w:t>
            </w:r>
            <w:r>
              <w:rPr>
                <w:rFonts w:eastAsia="Times New Roman"/>
                <w:sz w:val="16"/>
                <w:szCs w:val="16"/>
              </w:rPr>
              <w:t>º</w:t>
            </w:r>
            <w:r w:rsidRPr="00755F79">
              <w:rPr>
                <w:rFonts w:eastAsia="Times New Roman"/>
                <w:sz w:val="16"/>
                <w:szCs w:val="16"/>
              </w:rPr>
              <w:t xml:space="preserve"> total de miembros de la Unión de Madrid </w:t>
            </w:r>
            <w:r w:rsidRPr="00755F79">
              <w:rPr>
                <w:rFonts w:eastAsia="Times New Roman"/>
                <w:sz w:val="16"/>
                <w:szCs w:val="16"/>
              </w:rPr>
              <w:br/>
            </w:r>
            <w:r w:rsidRPr="00755F79">
              <w:rPr>
                <w:rFonts w:eastAsia="Times New Roman"/>
                <w:sz w:val="16"/>
                <w:szCs w:val="16"/>
              </w:rPr>
              <w:br/>
              <w:t>Cuota de mercado (es decir, vía nacional, en contraposición al Sistema de Madrid)</w:t>
            </w:r>
            <w:r>
              <w:rPr>
                <w:rFonts w:eastAsia="Times New Roman"/>
                <w:sz w:val="16"/>
                <w:szCs w:val="16"/>
              </w:rPr>
              <w:t xml:space="preserve"> (Madrid)</w:t>
            </w:r>
            <w:r>
              <w:rPr>
                <w:rFonts w:eastAsia="Times New Roman"/>
                <w:sz w:val="16"/>
                <w:szCs w:val="16"/>
              </w:rPr>
              <w:br/>
            </w:r>
          </w:p>
        </w:tc>
        <w:tc>
          <w:tcPr>
            <w:tcW w:w="2620" w:type="dxa"/>
            <w:tcBorders>
              <w:top w:val="nil"/>
              <w:left w:val="nil"/>
              <w:bottom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br/>
              <w:t>95 miembros (al 15 de abril de 2015)</w:t>
            </w:r>
            <w:r w:rsidRPr="00755F79">
              <w:rPr>
                <w:rFonts w:eastAsia="Times New Roman"/>
                <w:sz w:val="16"/>
                <w:szCs w:val="16"/>
              </w:rPr>
              <w:br/>
            </w:r>
            <w:r w:rsidRPr="00755F79">
              <w:rPr>
                <w:rFonts w:eastAsia="Times New Roman"/>
                <w:sz w:val="16"/>
                <w:szCs w:val="16"/>
              </w:rPr>
              <w:br/>
              <w:t xml:space="preserve">Cuota de mercado del 63,4% (al 31 de dic. de 2012) </w:t>
            </w:r>
          </w:p>
        </w:tc>
        <w:tc>
          <w:tcPr>
            <w:tcW w:w="2191" w:type="dxa"/>
            <w:tcBorders>
              <w:top w:val="nil"/>
              <w:left w:val="nil"/>
              <w:bottom w:val="nil"/>
              <w:right w:val="single" w:sz="4" w:space="0" w:color="auto"/>
            </w:tcBorders>
            <w:shd w:val="clear" w:color="000000" w:fill="FFFFFF"/>
            <w:hideMark/>
          </w:tcPr>
          <w:p w:rsidR="00236E18" w:rsidRPr="00755F79" w:rsidRDefault="00236E18" w:rsidP="00294272">
            <w:pPr>
              <w:ind w:firstLineChars="200" w:firstLine="320"/>
              <w:rPr>
                <w:rFonts w:eastAsia="Times New Roman"/>
                <w:sz w:val="16"/>
                <w:szCs w:val="16"/>
              </w:rPr>
            </w:pPr>
            <w:r w:rsidRPr="00755F79">
              <w:rPr>
                <w:rFonts w:eastAsia="Times New Roman"/>
                <w:sz w:val="16"/>
                <w:szCs w:val="16"/>
              </w:rPr>
              <w:br/>
              <w:t>103</w:t>
            </w:r>
            <w:r w:rsidRPr="00755F79">
              <w:rPr>
                <w:rFonts w:eastAsia="Times New Roman"/>
                <w:sz w:val="16"/>
                <w:szCs w:val="16"/>
              </w:rPr>
              <w:br/>
            </w:r>
            <w:r w:rsidRPr="00755F79">
              <w:rPr>
                <w:rFonts w:eastAsia="Times New Roman"/>
                <w:sz w:val="16"/>
                <w:szCs w:val="16"/>
              </w:rPr>
              <w:br/>
            </w:r>
            <w:r w:rsidRPr="00755F79">
              <w:rPr>
                <w:rFonts w:eastAsia="Times New Roman"/>
                <w:sz w:val="16"/>
                <w:szCs w:val="16"/>
              </w:rPr>
              <w:br/>
              <w:t>Aumento de la cuota de mercado</w:t>
            </w:r>
          </w:p>
        </w:tc>
      </w:tr>
      <w:tr w:rsidR="00236E18" w:rsidRPr="00755F79" w:rsidTr="00294272">
        <w:trPr>
          <w:trHeight w:val="441"/>
        </w:trPr>
        <w:tc>
          <w:tcPr>
            <w:tcW w:w="2060" w:type="dxa"/>
            <w:tcBorders>
              <w:top w:val="nil"/>
              <w:left w:val="single" w:sz="4" w:space="0" w:color="auto"/>
              <w:right w:val="nil"/>
            </w:tcBorders>
            <w:shd w:val="clear" w:color="000000" w:fill="FFFFFF"/>
            <w:hideMark/>
          </w:tcPr>
          <w:p w:rsidR="00236E18" w:rsidRPr="00755F79" w:rsidRDefault="00236E18" w:rsidP="00294272">
            <w:pPr>
              <w:rPr>
                <w:rFonts w:eastAsia="Times New Roman"/>
                <w:sz w:val="16"/>
                <w:szCs w:val="16"/>
              </w:rPr>
            </w:pPr>
          </w:p>
        </w:tc>
        <w:tc>
          <w:tcPr>
            <w:tcW w:w="2500" w:type="dxa"/>
            <w:tcBorders>
              <w:top w:val="nil"/>
              <w:left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Índice de presentación de solicitudes</w:t>
            </w:r>
            <w:r>
              <w:rPr>
                <w:rFonts w:eastAsia="Times New Roman"/>
                <w:sz w:val="16"/>
                <w:szCs w:val="16"/>
              </w:rPr>
              <w:t xml:space="preserve"> (Madrid)</w:t>
            </w:r>
          </w:p>
        </w:tc>
        <w:tc>
          <w:tcPr>
            <w:tcW w:w="2620" w:type="dxa"/>
            <w:tcBorders>
              <w:top w:val="nil"/>
              <w:left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47.885  solicitudes</w:t>
            </w:r>
          </w:p>
          <w:p w:rsidR="00236E18" w:rsidRPr="00755F79" w:rsidRDefault="00236E18" w:rsidP="00294272">
            <w:pPr>
              <w:rPr>
                <w:rFonts w:eastAsia="Times New Roman"/>
                <w:sz w:val="16"/>
                <w:szCs w:val="16"/>
              </w:rPr>
            </w:pPr>
            <w:r w:rsidRPr="00755F79">
              <w:rPr>
                <w:rFonts w:eastAsia="Times New Roman"/>
                <w:sz w:val="16"/>
                <w:szCs w:val="16"/>
              </w:rPr>
              <w:t>Índice de presentación del 2,3% (al 31 de diciembre de 2014)</w:t>
            </w:r>
          </w:p>
        </w:tc>
        <w:tc>
          <w:tcPr>
            <w:tcW w:w="2191" w:type="dxa"/>
            <w:tcBorders>
              <w:top w:val="nil"/>
              <w:left w:val="nil"/>
              <w:right w:val="single" w:sz="4" w:space="0" w:color="auto"/>
            </w:tcBorders>
            <w:shd w:val="clear" w:color="000000" w:fill="FFFFFF"/>
            <w:hideMark/>
          </w:tcPr>
          <w:p w:rsidR="00236E18" w:rsidRDefault="00236E18" w:rsidP="00294272">
            <w:pPr>
              <w:rPr>
                <w:rFonts w:eastAsia="Times New Roman"/>
                <w:sz w:val="16"/>
                <w:szCs w:val="16"/>
              </w:rPr>
            </w:pPr>
            <w:r w:rsidRPr="00755F79">
              <w:rPr>
                <w:rFonts w:eastAsia="Times New Roman"/>
                <w:sz w:val="16"/>
                <w:szCs w:val="16"/>
              </w:rPr>
              <w:t xml:space="preserve">2016: + 4,6% del índice de presentación </w:t>
            </w:r>
            <w:r w:rsidRPr="00755F79">
              <w:rPr>
                <w:rFonts w:eastAsia="Times New Roman"/>
                <w:sz w:val="16"/>
                <w:szCs w:val="16"/>
              </w:rPr>
              <w:br/>
              <w:t>2017: + 2,3% del índice de presentación</w:t>
            </w:r>
          </w:p>
          <w:p w:rsidR="00236E18" w:rsidRPr="00755F79" w:rsidRDefault="00236E18" w:rsidP="00294272">
            <w:pPr>
              <w:rPr>
                <w:rFonts w:eastAsia="Times New Roman"/>
                <w:sz w:val="16"/>
                <w:szCs w:val="16"/>
              </w:rPr>
            </w:pPr>
          </w:p>
        </w:tc>
      </w:tr>
      <w:tr w:rsidR="00236E18" w:rsidRPr="00755F79" w:rsidTr="00294272">
        <w:trPr>
          <w:trHeight w:val="630"/>
        </w:trPr>
        <w:tc>
          <w:tcPr>
            <w:tcW w:w="2060" w:type="dxa"/>
            <w:tcBorders>
              <w:top w:val="nil"/>
              <w:left w:val="single" w:sz="4" w:space="0" w:color="auto"/>
              <w:bottom w:val="single" w:sz="4" w:space="0" w:color="auto"/>
              <w:right w:val="nil"/>
            </w:tcBorders>
            <w:shd w:val="clear" w:color="000000" w:fill="FFFFFF"/>
            <w:hideMark/>
          </w:tcPr>
          <w:p w:rsidR="00236E18" w:rsidRPr="00755F79" w:rsidRDefault="00236E18" w:rsidP="00294272">
            <w:pPr>
              <w:rPr>
                <w:rFonts w:eastAsia="Times New Roman"/>
                <w:sz w:val="16"/>
                <w:szCs w:val="16"/>
              </w:rPr>
            </w:pPr>
          </w:p>
        </w:tc>
        <w:tc>
          <w:tcPr>
            <w:tcW w:w="2500" w:type="dxa"/>
            <w:tcBorders>
              <w:top w:val="nil"/>
              <w:left w:val="nil"/>
              <w:bottom w:val="single" w:sz="4" w:space="0" w:color="auto"/>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Registros</w:t>
            </w:r>
            <w:r>
              <w:rPr>
                <w:rFonts w:eastAsia="Times New Roman"/>
                <w:sz w:val="16"/>
                <w:szCs w:val="16"/>
              </w:rPr>
              <w:t xml:space="preserve"> (Madrid)</w:t>
            </w:r>
          </w:p>
          <w:p w:rsidR="00236E18" w:rsidRPr="00755F79" w:rsidRDefault="00236E18" w:rsidP="00294272">
            <w:pPr>
              <w:rPr>
                <w:rFonts w:eastAsia="Times New Roman"/>
                <w:sz w:val="16"/>
                <w:szCs w:val="16"/>
              </w:rPr>
            </w:pPr>
          </w:p>
          <w:p w:rsidR="00236E18" w:rsidRPr="00755F79" w:rsidRDefault="00236E18" w:rsidP="00294272">
            <w:pPr>
              <w:rPr>
                <w:rFonts w:eastAsia="Times New Roman"/>
                <w:sz w:val="16"/>
                <w:szCs w:val="16"/>
              </w:rPr>
            </w:pPr>
            <w:r w:rsidRPr="00755F79">
              <w:rPr>
                <w:rFonts w:eastAsia="Times New Roman"/>
                <w:sz w:val="16"/>
                <w:szCs w:val="16"/>
              </w:rPr>
              <w:t>Renovaciones</w:t>
            </w:r>
            <w:r>
              <w:rPr>
                <w:rFonts w:eastAsia="Times New Roman"/>
                <w:sz w:val="16"/>
                <w:szCs w:val="16"/>
              </w:rPr>
              <w:t xml:space="preserve"> (Madrid)</w:t>
            </w:r>
          </w:p>
          <w:p w:rsidR="00236E18" w:rsidRDefault="00236E18" w:rsidP="00294272">
            <w:pPr>
              <w:rPr>
                <w:rFonts w:eastAsia="Times New Roman"/>
                <w:sz w:val="16"/>
                <w:szCs w:val="16"/>
              </w:rPr>
            </w:pPr>
          </w:p>
          <w:p w:rsidR="00236E18" w:rsidRPr="00755F79" w:rsidRDefault="00236E18" w:rsidP="00294272">
            <w:pPr>
              <w:rPr>
                <w:rFonts w:eastAsia="Times New Roman"/>
                <w:sz w:val="16"/>
                <w:szCs w:val="16"/>
              </w:rPr>
            </w:pPr>
          </w:p>
          <w:p w:rsidR="00236E18" w:rsidRDefault="00236E18" w:rsidP="00294272">
            <w:pPr>
              <w:rPr>
                <w:rFonts w:eastAsia="Times New Roman"/>
                <w:sz w:val="16"/>
                <w:szCs w:val="16"/>
              </w:rPr>
            </w:pPr>
            <w:r w:rsidRPr="00755F79">
              <w:rPr>
                <w:rFonts w:eastAsia="Times New Roman"/>
                <w:sz w:val="16"/>
                <w:szCs w:val="16"/>
              </w:rPr>
              <w:t>N</w:t>
            </w:r>
            <w:r>
              <w:rPr>
                <w:rFonts w:eastAsia="Times New Roman"/>
                <w:sz w:val="16"/>
                <w:szCs w:val="16"/>
              </w:rPr>
              <w:t>º</w:t>
            </w:r>
            <w:r w:rsidRPr="00755F79">
              <w:rPr>
                <w:rFonts w:eastAsia="Times New Roman"/>
                <w:sz w:val="16"/>
                <w:szCs w:val="16"/>
              </w:rPr>
              <w:t xml:space="preserve"> total de registros </w:t>
            </w:r>
            <w:r>
              <w:rPr>
                <w:rFonts w:eastAsia="Times New Roman"/>
                <w:sz w:val="16"/>
                <w:szCs w:val="16"/>
              </w:rPr>
              <w:t>(Madrid)</w:t>
            </w:r>
            <w:r w:rsidRPr="00755F79">
              <w:rPr>
                <w:rFonts w:eastAsia="Times New Roman"/>
                <w:sz w:val="16"/>
                <w:szCs w:val="16"/>
              </w:rPr>
              <w:br/>
            </w:r>
          </w:p>
          <w:p w:rsidR="00236E18" w:rsidRPr="00755F79" w:rsidRDefault="00236E18" w:rsidP="00294272">
            <w:pPr>
              <w:keepNext/>
              <w:keepLines/>
              <w:rPr>
                <w:rFonts w:eastAsia="Times New Roman"/>
                <w:sz w:val="16"/>
                <w:szCs w:val="16"/>
              </w:rPr>
            </w:pPr>
          </w:p>
        </w:tc>
        <w:tc>
          <w:tcPr>
            <w:tcW w:w="2620" w:type="dxa"/>
            <w:tcBorders>
              <w:top w:val="nil"/>
              <w:left w:val="nil"/>
              <w:bottom w:val="single" w:sz="4" w:space="0" w:color="auto"/>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42.430 (2014)</w:t>
            </w:r>
          </w:p>
          <w:p w:rsidR="00236E18" w:rsidRPr="00755F79" w:rsidRDefault="00236E18" w:rsidP="00294272">
            <w:pPr>
              <w:rPr>
                <w:rFonts w:eastAsia="Times New Roman"/>
                <w:sz w:val="16"/>
                <w:szCs w:val="16"/>
              </w:rPr>
            </w:pPr>
          </w:p>
          <w:p w:rsidR="00236E18" w:rsidRPr="00755F79" w:rsidRDefault="00236E18" w:rsidP="00294272">
            <w:pPr>
              <w:rPr>
                <w:rFonts w:eastAsia="Times New Roman"/>
                <w:sz w:val="16"/>
                <w:szCs w:val="16"/>
              </w:rPr>
            </w:pPr>
            <w:r w:rsidRPr="00755F79">
              <w:rPr>
                <w:rFonts w:eastAsia="Times New Roman"/>
                <w:sz w:val="16"/>
                <w:szCs w:val="16"/>
              </w:rPr>
              <w:t>25.729 (2014)</w:t>
            </w:r>
          </w:p>
          <w:p w:rsidR="00236E18" w:rsidRDefault="00236E18" w:rsidP="00294272">
            <w:pPr>
              <w:rPr>
                <w:rFonts w:eastAsia="Times New Roman"/>
                <w:sz w:val="16"/>
                <w:szCs w:val="16"/>
              </w:rPr>
            </w:pPr>
          </w:p>
          <w:p w:rsidR="00236E18" w:rsidRPr="00755F79" w:rsidRDefault="00236E18" w:rsidP="00294272">
            <w:pPr>
              <w:rPr>
                <w:rFonts w:eastAsia="Times New Roman"/>
                <w:sz w:val="16"/>
                <w:szCs w:val="16"/>
              </w:rPr>
            </w:pPr>
          </w:p>
          <w:p w:rsidR="00236E18" w:rsidRPr="00755F79" w:rsidRDefault="00236E18" w:rsidP="00294272">
            <w:pPr>
              <w:rPr>
                <w:rFonts w:eastAsia="Times New Roman"/>
                <w:sz w:val="16"/>
                <w:szCs w:val="16"/>
              </w:rPr>
            </w:pPr>
            <w:r w:rsidRPr="00755F79">
              <w:rPr>
                <w:rFonts w:eastAsia="Times New Roman"/>
                <w:sz w:val="16"/>
                <w:szCs w:val="16"/>
              </w:rPr>
              <w:t xml:space="preserve">594.477 registros </w:t>
            </w:r>
          </w:p>
          <w:p w:rsidR="00236E18" w:rsidRDefault="00236E18" w:rsidP="00294272">
            <w:pPr>
              <w:rPr>
                <w:rFonts w:eastAsia="Times New Roman"/>
                <w:sz w:val="16"/>
                <w:szCs w:val="16"/>
              </w:rPr>
            </w:pPr>
            <w:r w:rsidRPr="00755F79">
              <w:rPr>
                <w:rFonts w:eastAsia="Times New Roman"/>
                <w:sz w:val="16"/>
                <w:szCs w:val="16"/>
              </w:rPr>
              <w:t>(al 31 de diciembre de 2014)</w:t>
            </w:r>
          </w:p>
          <w:p w:rsidR="00236E18" w:rsidRPr="00755F79" w:rsidRDefault="00236E18" w:rsidP="00294272">
            <w:pPr>
              <w:rPr>
                <w:rFonts w:eastAsia="Times New Roman"/>
                <w:sz w:val="16"/>
                <w:szCs w:val="16"/>
              </w:rPr>
            </w:pPr>
          </w:p>
        </w:tc>
        <w:tc>
          <w:tcPr>
            <w:tcW w:w="2191" w:type="dxa"/>
            <w:tcBorders>
              <w:top w:val="nil"/>
              <w:left w:val="nil"/>
              <w:bottom w:val="single" w:sz="4" w:space="0" w:color="auto"/>
              <w:right w:val="single" w:sz="4" w:space="0" w:color="auto"/>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47.387 (2016)</w:t>
            </w:r>
          </w:p>
          <w:p w:rsidR="00236E18" w:rsidRPr="00755F79" w:rsidRDefault="00236E18" w:rsidP="00294272">
            <w:pPr>
              <w:rPr>
                <w:rFonts w:eastAsia="Times New Roman"/>
                <w:sz w:val="16"/>
                <w:szCs w:val="16"/>
              </w:rPr>
            </w:pPr>
            <w:r w:rsidRPr="00755F79">
              <w:rPr>
                <w:rFonts w:eastAsia="Times New Roman"/>
                <w:sz w:val="16"/>
                <w:szCs w:val="16"/>
              </w:rPr>
              <w:t>48.652 (2017)</w:t>
            </w:r>
          </w:p>
          <w:p w:rsidR="00236E18" w:rsidRPr="00755F79" w:rsidRDefault="00236E18" w:rsidP="00294272">
            <w:pPr>
              <w:rPr>
                <w:rFonts w:eastAsia="Times New Roman"/>
                <w:sz w:val="16"/>
                <w:szCs w:val="16"/>
              </w:rPr>
            </w:pPr>
            <w:r w:rsidRPr="00755F79">
              <w:rPr>
                <w:rFonts w:eastAsia="Times New Roman"/>
                <w:sz w:val="16"/>
                <w:szCs w:val="16"/>
              </w:rPr>
              <w:t>29.850 (2016)</w:t>
            </w:r>
          </w:p>
          <w:p w:rsidR="00236E18" w:rsidRPr="00755F79" w:rsidRDefault="00236E18" w:rsidP="00294272">
            <w:pPr>
              <w:rPr>
                <w:rFonts w:eastAsia="Times New Roman"/>
                <w:sz w:val="16"/>
                <w:szCs w:val="16"/>
              </w:rPr>
            </w:pPr>
            <w:r w:rsidRPr="00755F79">
              <w:rPr>
                <w:rFonts w:eastAsia="Times New Roman"/>
                <w:sz w:val="16"/>
                <w:szCs w:val="16"/>
              </w:rPr>
              <w:t>31.020 (2017)</w:t>
            </w:r>
          </w:p>
          <w:p w:rsidR="00236E18" w:rsidRPr="00755F79" w:rsidRDefault="00236E18" w:rsidP="00294272">
            <w:pPr>
              <w:rPr>
                <w:rFonts w:eastAsia="Times New Roman"/>
                <w:sz w:val="16"/>
                <w:szCs w:val="16"/>
              </w:rPr>
            </w:pPr>
          </w:p>
          <w:p w:rsidR="00236E18" w:rsidRDefault="00236E18" w:rsidP="00294272">
            <w:pPr>
              <w:rPr>
                <w:rFonts w:eastAsia="Times New Roman"/>
                <w:sz w:val="16"/>
                <w:szCs w:val="16"/>
              </w:rPr>
            </w:pPr>
            <w:r w:rsidRPr="00755F79">
              <w:rPr>
                <w:rFonts w:eastAsia="Times New Roman"/>
                <w:sz w:val="16"/>
                <w:szCs w:val="16"/>
              </w:rPr>
              <w:t>2016: 630.000 registros</w:t>
            </w:r>
            <w:r w:rsidRPr="00755F79">
              <w:rPr>
                <w:rFonts w:eastAsia="Times New Roman"/>
                <w:sz w:val="16"/>
                <w:szCs w:val="16"/>
              </w:rPr>
              <w:br/>
              <w:t>2017: 650.000 registros</w:t>
            </w:r>
          </w:p>
          <w:p w:rsidR="00236E18" w:rsidRPr="00755F79" w:rsidRDefault="00236E18" w:rsidP="00294272">
            <w:pPr>
              <w:rPr>
                <w:rFonts w:eastAsia="Times New Roman"/>
                <w:sz w:val="16"/>
                <w:szCs w:val="16"/>
              </w:rPr>
            </w:pPr>
          </w:p>
        </w:tc>
      </w:tr>
      <w:tr w:rsidR="00236E18" w:rsidRPr="00755F79" w:rsidTr="00294272">
        <w:trPr>
          <w:trHeight w:val="1030"/>
        </w:trPr>
        <w:tc>
          <w:tcPr>
            <w:tcW w:w="2060" w:type="dxa"/>
            <w:tcBorders>
              <w:top w:val="single" w:sz="4" w:space="0" w:color="auto"/>
              <w:left w:val="single" w:sz="4" w:space="0" w:color="auto"/>
              <w:bottom w:val="nil"/>
              <w:right w:val="nil"/>
            </w:tcBorders>
            <w:shd w:val="clear" w:color="000000" w:fill="FFFFFF"/>
          </w:tcPr>
          <w:p w:rsidR="00236E18" w:rsidRPr="00755F79" w:rsidRDefault="00236E18" w:rsidP="00294272">
            <w:pPr>
              <w:rPr>
                <w:rFonts w:eastAsia="Times New Roman"/>
                <w:sz w:val="16"/>
                <w:szCs w:val="16"/>
              </w:rPr>
            </w:pPr>
          </w:p>
        </w:tc>
        <w:tc>
          <w:tcPr>
            <w:tcW w:w="2500" w:type="dxa"/>
            <w:tcBorders>
              <w:top w:val="single" w:sz="4" w:space="0" w:color="auto"/>
              <w:left w:val="nil"/>
              <w:bottom w:val="nil"/>
              <w:right w:val="nil"/>
            </w:tcBorders>
            <w:shd w:val="clear" w:color="000000" w:fill="FFFFFF"/>
          </w:tcPr>
          <w:p w:rsidR="00236E18" w:rsidRPr="00755F79" w:rsidRDefault="00236E18" w:rsidP="00294272">
            <w:pPr>
              <w:rPr>
                <w:rFonts w:eastAsia="Times New Roman"/>
                <w:sz w:val="16"/>
                <w:szCs w:val="16"/>
              </w:rPr>
            </w:pPr>
            <w:r>
              <w:rPr>
                <w:rFonts w:eastAsia="Times New Roman"/>
                <w:sz w:val="16"/>
                <w:szCs w:val="16"/>
              </w:rPr>
              <w:br/>
              <w:t>Nº</w:t>
            </w:r>
            <w:r w:rsidRPr="00755F79">
              <w:rPr>
                <w:rFonts w:eastAsia="Times New Roman"/>
                <w:sz w:val="16"/>
                <w:szCs w:val="16"/>
              </w:rPr>
              <w:t xml:space="preserve"> total de designaciones</w:t>
            </w:r>
            <w:r>
              <w:rPr>
                <w:rFonts w:eastAsia="Times New Roman"/>
                <w:sz w:val="16"/>
                <w:szCs w:val="16"/>
              </w:rPr>
              <w:t xml:space="preserve"> (Madrid)</w:t>
            </w:r>
          </w:p>
        </w:tc>
        <w:tc>
          <w:tcPr>
            <w:tcW w:w="2620" w:type="dxa"/>
            <w:tcBorders>
              <w:top w:val="single" w:sz="4" w:space="0" w:color="auto"/>
              <w:left w:val="nil"/>
              <w:bottom w:val="nil"/>
              <w:right w:val="nil"/>
            </w:tcBorders>
            <w:shd w:val="clear" w:color="000000" w:fill="FFFFFF"/>
          </w:tcPr>
          <w:p w:rsidR="00236E18" w:rsidRPr="00755F79" w:rsidRDefault="00236E18" w:rsidP="00294272">
            <w:pPr>
              <w:rPr>
                <w:rFonts w:eastAsia="Times New Roman"/>
                <w:sz w:val="16"/>
                <w:szCs w:val="16"/>
              </w:rPr>
            </w:pPr>
            <w:r>
              <w:rPr>
                <w:rFonts w:eastAsia="Times New Roman"/>
                <w:sz w:val="16"/>
                <w:szCs w:val="16"/>
              </w:rPr>
              <w:br/>
            </w:r>
            <w:r w:rsidRPr="00755F79">
              <w:rPr>
                <w:rFonts w:eastAsia="Times New Roman"/>
                <w:sz w:val="16"/>
                <w:szCs w:val="16"/>
              </w:rPr>
              <w:t xml:space="preserve">5,61 millones de designaciones </w:t>
            </w:r>
          </w:p>
          <w:p w:rsidR="00236E18" w:rsidRPr="00755F79" w:rsidRDefault="00236E18" w:rsidP="00294272">
            <w:pPr>
              <w:rPr>
                <w:rFonts w:eastAsia="Times New Roman"/>
                <w:sz w:val="16"/>
                <w:szCs w:val="16"/>
              </w:rPr>
            </w:pPr>
            <w:r w:rsidRPr="00755F79">
              <w:rPr>
                <w:rFonts w:eastAsia="Times New Roman"/>
                <w:sz w:val="16"/>
                <w:szCs w:val="16"/>
              </w:rPr>
              <w:t>(al 31 de diciembre de 2014)</w:t>
            </w:r>
          </w:p>
        </w:tc>
        <w:tc>
          <w:tcPr>
            <w:tcW w:w="2191" w:type="dxa"/>
            <w:tcBorders>
              <w:top w:val="single" w:sz="4" w:space="0" w:color="auto"/>
              <w:left w:val="nil"/>
              <w:bottom w:val="nil"/>
              <w:right w:val="single" w:sz="4" w:space="0" w:color="auto"/>
            </w:tcBorders>
            <w:shd w:val="clear" w:color="000000" w:fill="FFFFFF"/>
          </w:tcPr>
          <w:p w:rsidR="00236E18" w:rsidRPr="00755F79" w:rsidRDefault="00236E18" w:rsidP="00294272">
            <w:pPr>
              <w:rPr>
                <w:rFonts w:eastAsia="Times New Roman"/>
                <w:sz w:val="16"/>
                <w:szCs w:val="16"/>
              </w:rPr>
            </w:pPr>
            <w:r>
              <w:rPr>
                <w:rFonts w:eastAsia="Times New Roman"/>
                <w:sz w:val="16"/>
                <w:szCs w:val="16"/>
              </w:rPr>
              <w:br/>
            </w:r>
            <w:r w:rsidRPr="00755F79">
              <w:rPr>
                <w:rFonts w:eastAsia="Times New Roman"/>
                <w:sz w:val="16"/>
                <w:szCs w:val="16"/>
              </w:rPr>
              <w:t xml:space="preserve">2016: 5,68 millones de designaciones </w:t>
            </w:r>
            <w:r w:rsidRPr="00755F79">
              <w:rPr>
                <w:rFonts w:eastAsia="Times New Roman"/>
                <w:sz w:val="16"/>
                <w:szCs w:val="16"/>
              </w:rPr>
              <w:br/>
              <w:t>2017: 5,7 millones de designaciones</w:t>
            </w:r>
          </w:p>
        </w:tc>
      </w:tr>
      <w:tr w:rsidR="00236E18" w:rsidRPr="00755F79" w:rsidTr="00294272">
        <w:trPr>
          <w:trHeight w:val="1260"/>
        </w:trPr>
        <w:tc>
          <w:tcPr>
            <w:tcW w:w="2060" w:type="dxa"/>
            <w:tcBorders>
              <w:left w:val="single" w:sz="4" w:space="0" w:color="auto"/>
              <w:bottom w:val="nil"/>
              <w:right w:val="nil"/>
            </w:tcBorders>
            <w:shd w:val="clear" w:color="000000" w:fill="FFFFFF"/>
            <w:hideMark/>
          </w:tcPr>
          <w:p w:rsidR="00236E18" w:rsidRPr="00755F79" w:rsidRDefault="00236E18" w:rsidP="00294272">
            <w:pPr>
              <w:rPr>
                <w:rFonts w:eastAsia="Times New Roman"/>
                <w:sz w:val="16"/>
                <w:szCs w:val="16"/>
              </w:rPr>
            </w:pPr>
          </w:p>
        </w:tc>
        <w:tc>
          <w:tcPr>
            <w:tcW w:w="2500" w:type="dxa"/>
            <w:tcBorders>
              <w:left w:val="nil"/>
              <w:bottom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Índice de irregularidades (Artículos 12 y 13)</w:t>
            </w:r>
            <w:r>
              <w:rPr>
                <w:rFonts w:eastAsia="Times New Roman"/>
                <w:sz w:val="16"/>
                <w:szCs w:val="16"/>
              </w:rPr>
              <w:t xml:space="preserve"> (Madrid)</w:t>
            </w:r>
          </w:p>
        </w:tc>
        <w:tc>
          <w:tcPr>
            <w:tcW w:w="2620" w:type="dxa"/>
            <w:tcBorders>
              <w:left w:val="nil"/>
              <w:bottom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 xml:space="preserve">Índice de irregularidades del 36% </w:t>
            </w:r>
          </w:p>
          <w:p w:rsidR="00236E18" w:rsidRPr="00755F79" w:rsidRDefault="00236E18" w:rsidP="00294272">
            <w:pPr>
              <w:rPr>
                <w:rFonts w:eastAsia="Times New Roman"/>
                <w:sz w:val="16"/>
                <w:szCs w:val="16"/>
              </w:rPr>
            </w:pPr>
            <w:r w:rsidRPr="00755F79">
              <w:rPr>
                <w:rFonts w:eastAsia="Times New Roman"/>
                <w:sz w:val="16"/>
                <w:szCs w:val="16"/>
              </w:rPr>
              <w:t>(al 31 de diciembre de 2014)</w:t>
            </w:r>
            <w:r w:rsidRPr="00755F79">
              <w:rPr>
                <w:rFonts w:eastAsia="Times New Roman"/>
                <w:sz w:val="16"/>
                <w:szCs w:val="16"/>
              </w:rPr>
              <w:br/>
            </w:r>
            <w:r w:rsidRPr="00755F79">
              <w:rPr>
                <w:rFonts w:eastAsia="Times New Roman"/>
                <w:sz w:val="16"/>
                <w:szCs w:val="16"/>
              </w:rPr>
              <w:br/>
              <w:t>Términos válidos en la base de datos sobre productos y servicios del Sistema de Madrid (MGS) (en inglés) 67.050 (mayo de  2015)</w:t>
            </w:r>
            <w:r>
              <w:rPr>
                <w:rFonts w:eastAsia="Times New Roman"/>
                <w:sz w:val="16"/>
                <w:szCs w:val="16"/>
              </w:rPr>
              <w:br/>
            </w:r>
          </w:p>
        </w:tc>
        <w:tc>
          <w:tcPr>
            <w:tcW w:w="2191" w:type="dxa"/>
            <w:tcBorders>
              <w:left w:val="nil"/>
              <w:bottom w:val="nil"/>
              <w:right w:val="single" w:sz="4" w:space="0" w:color="auto"/>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Disminución</w:t>
            </w:r>
          </w:p>
          <w:p w:rsidR="00236E18" w:rsidRPr="00755F79" w:rsidRDefault="00236E18" w:rsidP="00294272">
            <w:pPr>
              <w:rPr>
                <w:rFonts w:eastAsia="Times New Roman"/>
                <w:sz w:val="16"/>
                <w:szCs w:val="16"/>
              </w:rPr>
            </w:pPr>
          </w:p>
          <w:p w:rsidR="00236E18" w:rsidRDefault="00236E18" w:rsidP="00294272">
            <w:pPr>
              <w:rPr>
                <w:rFonts w:eastAsia="Times New Roman"/>
                <w:sz w:val="16"/>
                <w:szCs w:val="16"/>
              </w:rPr>
            </w:pPr>
          </w:p>
          <w:p w:rsidR="00236E18" w:rsidRPr="00755F79" w:rsidRDefault="00236E18" w:rsidP="00294272">
            <w:pPr>
              <w:rPr>
                <w:rFonts w:eastAsia="Times New Roman"/>
                <w:sz w:val="16"/>
                <w:szCs w:val="16"/>
              </w:rPr>
            </w:pPr>
            <w:r w:rsidRPr="00755F79">
              <w:rPr>
                <w:rFonts w:eastAsia="Times New Roman"/>
                <w:sz w:val="16"/>
                <w:szCs w:val="16"/>
              </w:rPr>
              <w:t>80.000</w:t>
            </w:r>
          </w:p>
        </w:tc>
      </w:tr>
      <w:tr w:rsidR="00236E18" w:rsidRPr="00755F79" w:rsidTr="00294272">
        <w:trPr>
          <w:trHeight w:val="729"/>
        </w:trPr>
        <w:tc>
          <w:tcPr>
            <w:tcW w:w="2060" w:type="dxa"/>
            <w:tcBorders>
              <w:top w:val="nil"/>
              <w:left w:val="single" w:sz="4" w:space="0" w:color="auto"/>
              <w:right w:val="nil"/>
            </w:tcBorders>
            <w:shd w:val="clear" w:color="000000" w:fill="FFFFFF"/>
            <w:hideMark/>
          </w:tcPr>
          <w:p w:rsidR="00236E18" w:rsidRPr="00755F79" w:rsidRDefault="00236E18" w:rsidP="00294272">
            <w:pPr>
              <w:rPr>
                <w:rFonts w:eastAsia="Times New Roman"/>
                <w:sz w:val="16"/>
                <w:szCs w:val="16"/>
              </w:rPr>
            </w:pPr>
          </w:p>
        </w:tc>
        <w:tc>
          <w:tcPr>
            <w:tcW w:w="2500" w:type="dxa"/>
            <w:tcBorders>
              <w:top w:val="nil"/>
              <w:left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Mejoras del funcionamiento del Sistema de Madrid</w:t>
            </w:r>
          </w:p>
        </w:tc>
        <w:tc>
          <w:tcPr>
            <w:tcW w:w="2620" w:type="dxa"/>
            <w:tcBorders>
              <w:top w:val="nil"/>
              <w:left w:val="nil"/>
              <w:right w:val="nil"/>
            </w:tcBorders>
            <w:shd w:val="clear" w:color="000000" w:fill="FFFFFF"/>
            <w:hideMark/>
          </w:tcPr>
          <w:p w:rsidR="00236E18" w:rsidRDefault="00236E18" w:rsidP="00294272">
            <w:pPr>
              <w:rPr>
                <w:rFonts w:eastAsia="Times New Roman"/>
                <w:sz w:val="16"/>
                <w:szCs w:val="16"/>
              </w:rPr>
            </w:pPr>
            <w:r w:rsidRPr="00755F79">
              <w:rPr>
                <w:rFonts w:eastAsia="Times New Roman"/>
                <w:sz w:val="16"/>
                <w:szCs w:val="16"/>
              </w:rPr>
              <w:t>Reglamento Común e Instrucciones Administrativas en vigor al 31 de diciembre de 2014</w:t>
            </w:r>
          </w:p>
          <w:p w:rsidR="00236E18" w:rsidRPr="00755F79" w:rsidRDefault="00236E18" w:rsidP="00294272">
            <w:pPr>
              <w:ind w:left="117"/>
              <w:rPr>
                <w:rFonts w:eastAsia="Times New Roman"/>
                <w:sz w:val="16"/>
                <w:szCs w:val="16"/>
              </w:rPr>
            </w:pPr>
          </w:p>
        </w:tc>
        <w:tc>
          <w:tcPr>
            <w:tcW w:w="2191" w:type="dxa"/>
            <w:tcBorders>
              <w:top w:val="nil"/>
              <w:left w:val="nil"/>
              <w:right w:val="single" w:sz="4" w:space="0" w:color="auto"/>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Modificación del Reglamento y las Instrucciones</w:t>
            </w:r>
            <w:r>
              <w:rPr>
                <w:rFonts w:eastAsia="Times New Roman"/>
                <w:sz w:val="16"/>
                <w:szCs w:val="16"/>
              </w:rPr>
              <w:br/>
            </w:r>
          </w:p>
        </w:tc>
      </w:tr>
      <w:tr w:rsidR="00236E18" w:rsidRPr="00755F79" w:rsidTr="00294272">
        <w:trPr>
          <w:trHeight w:val="621"/>
        </w:trPr>
        <w:tc>
          <w:tcPr>
            <w:tcW w:w="2060" w:type="dxa"/>
            <w:tcBorders>
              <w:top w:val="nil"/>
              <w:left w:val="single" w:sz="4" w:space="0" w:color="auto"/>
              <w:bottom w:val="nil"/>
              <w:right w:val="nil"/>
            </w:tcBorders>
            <w:shd w:val="clear" w:color="000000" w:fill="FFFFFF"/>
            <w:hideMark/>
          </w:tcPr>
          <w:p w:rsidR="00236E18" w:rsidRPr="00755F79" w:rsidRDefault="00236E18" w:rsidP="00294272">
            <w:pPr>
              <w:rPr>
                <w:rFonts w:eastAsia="Times New Roman"/>
                <w:sz w:val="16"/>
                <w:szCs w:val="16"/>
              </w:rPr>
            </w:pPr>
            <w:r>
              <w:rPr>
                <w:rFonts w:eastAsia="Times New Roman"/>
                <w:sz w:val="16"/>
                <w:szCs w:val="16"/>
              </w:rPr>
              <w:t xml:space="preserve">II.7 </w:t>
            </w:r>
            <w:r w:rsidRPr="00755F79">
              <w:rPr>
                <w:rFonts w:eastAsia="Times New Roman"/>
                <w:sz w:val="16"/>
                <w:szCs w:val="16"/>
              </w:rPr>
              <w:t xml:space="preserve"> </w:t>
            </w:r>
            <w:r w:rsidRPr="00171EF4">
              <w:rPr>
                <w:sz w:val="16"/>
                <w:szCs w:val="16"/>
                <w:lang w:val="es-ES_tradnl"/>
              </w:rPr>
              <w:t xml:space="preserve">Mejora de la productividad y de la calidad de los servicios en las operaciones </w:t>
            </w:r>
            <w:r>
              <w:rPr>
                <w:sz w:val="16"/>
                <w:szCs w:val="16"/>
                <w:lang w:val="es-ES_tradnl"/>
              </w:rPr>
              <w:t>de</w:t>
            </w:r>
            <w:r w:rsidRPr="00171EF4">
              <w:rPr>
                <w:sz w:val="16"/>
                <w:szCs w:val="16"/>
                <w:lang w:val="es-ES_tradnl"/>
              </w:rPr>
              <w:t>l Sistema de Madrid</w:t>
            </w:r>
            <w:r>
              <w:rPr>
                <w:sz w:val="16"/>
                <w:szCs w:val="16"/>
                <w:lang w:val="es-ES_tradnl"/>
              </w:rPr>
              <w:t>.</w:t>
            </w:r>
          </w:p>
        </w:tc>
        <w:tc>
          <w:tcPr>
            <w:tcW w:w="2500" w:type="dxa"/>
            <w:tcBorders>
              <w:top w:val="nil"/>
              <w:left w:val="nil"/>
              <w:bottom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Satisfacción del cliente</w:t>
            </w:r>
            <w:r>
              <w:rPr>
                <w:rFonts w:eastAsia="Times New Roman"/>
                <w:sz w:val="16"/>
                <w:szCs w:val="16"/>
              </w:rPr>
              <w:t xml:space="preserve"> (Madrid)</w:t>
            </w:r>
          </w:p>
        </w:tc>
        <w:tc>
          <w:tcPr>
            <w:tcW w:w="2620" w:type="dxa"/>
            <w:tcBorders>
              <w:top w:val="nil"/>
              <w:left w:val="nil"/>
              <w:bottom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Índice de prestación de servicios en 2014 (39)</w:t>
            </w:r>
          </w:p>
        </w:tc>
        <w:tc>
          <w:tcPr>
            <w:tcW w:w="2191" w:type="dxa"/>
            <w:tcBorders>
              <w:top w:val="nil"/>
              <w:left w:val="nil"/>
              <w:bottom w:val="nil"/>
              <w:right w:val="single" w:sz="4" w:space="0" w:color="auto"/>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Mejora del índice</w:t>
            </w:r>
          </w:p>
        </w:tc>
      </w:tr>
      <w:tr w:rsidR="00236E18" w:rsidRPr="00755F79" w:rsidTr="00294272">
        <w:trPr>
          <w:trHeight w:val="486"/>
        </w:trPr>
        <w:tc>
          <w:tcPr>
            <w:tcW w:w="2060" w:type="dxa"/>
            <w:tcBorders>
              <w:top w:val="nil"/>
              <w:left w:val="single" w:sz="4" w:space="0" w:color="auto"/>
              <w:bottom w:val="nil"/>
              <w:right w:val="nil"/>
            </w:tcBorders>
            <w:shd w:val="clear" w:color="000000" w:fill="FFFFFF"/>
            <w:hideMark/>
          </w:tcPr>
          <w:p w:rsidR="00236E18" w:rsidRPr="00755F79" w:rsidRDefault="00236E18" w:rsidP="00294272">
            <w:pPr>
              <w:rPr>
                <w:rFonts w:eastAsia="Times New Roman"/>
                <w:sz w:val="16"/>
                <w:szCs w:val="16"/>
              </w:rPr>
            </w:pPr>
          </w:p>
        </w:tc>
        <w:tc>
          <w:tcPr>
            <w:tcW w:w="2500" w:type="dxa"/>
            <w:tcBorders>
              <w:top w:val="nil"/>
              <w:left w:val="nil"/>
              <w:bottom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Costo unitario</w:t>
            </w:r>
            <w:r>
              <w:rPr>
                <w:rFonts w:eastAsia="Times New Roman"/>
                <w:sz w:val="16"/>
                <w:szCs w:val="16"/>
              </w:rPr>
              <w:t xml:space="preserve"> (Madrid)</w:t>
            </w:r>
          </w:p>
        </w:tc>
        <w:tc>
          <w:tcPr>
            <w:tcW w:w="2620" w:type="dxa"/>
            <w:tcBorders>
              <w:top w:val="nil"/>
              <w:left w:val="nil"/>
              <w:bottom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 xml:space="preserve">Costo de registro/renovación: </w:t>
            </w:r>
          </w:p>
          <w:p w:rsidR="00236E18" w:rsidRPr="00755F79" w:rsidRDefault="00236E18" w:rsidP="00294272">
            <w:pPr>
              <w:rPr>
                <w:rFonts w:eastAsia="Times New Roman"/>
                <w:sz w:val="16"/>
                <w:szCs w:val="16"/>
              </w:rPr>
            </w:pPr>
            <w:r w:rsidRPr="00755F79">
              <w:rPr>
                <w:rFonts w:eastAsia="Times New Roman"/>
                <w:sz w:val="16"/>
                <w:szCs w:val="16"/>
              </w:rPr>
              <w:t xml:space="preserve">837 </w:t>
            </w:r>
            <w:r>
              <w:rPr>
                <w:rFonts w:eastAsia="Times New Roman"/>
                <w:sz w:val="16"/>
                <w:szCs w:val="16"/>
              </w:rPr>
              <w:t>francos suizos</w:t>
            </w:r>
            <w:r w:rsidRPr="00755F79">
              <w:rPr>
                <w:rFonts w:eastAsia="Times New Roman"/>
                <w:sz w:val="16"/>
                <w:szCs w:val="16"/>
              </w:rPr>
              <w:br/>
              <w:t xml:space="preserve">Costo unitario </w:t>
            </w:r>
            <w:r w:rsidRPr="00171EF4">
              <w:rPr>
                <w:rFonts w:eastAsia="Times New Roman"/>
                <w:sz w:val="16"/>
                <w:szCs w:val="16"/>
              </w:rPr>
              <w:t>inscripción: 320</w:t>
            </w:r>
            <w:r w:rsidRPr="00755F79">
              <w:rPr>
                <w:rFonts w:eastAsia="Times New Roman"/>
                <w:sz w:val="16"/>
                <w:szCs w:val="16"/>
              </w:rPr>
              <w:t xml:space="preserve"> </w:t>
            </w:r>
            <w:r>
              <w:rPr>
                <w:rFonts w:eastAsia="Times New Roman"/>
                <w:sz w:val="16"/>
                <w:szCs w:val="16"/>
              </w:rPr>
              <w:t>francos suizos</w:t>
            </w:r>
            <w:r>
              <w:rPr>
                <w:rFonts w:eastAsia="Times New Roman"/>
                <w:sz w:val="16"/>
                <w:szCs w:val="16"/>
              </w:rPr>
              <w:br/>
            </w:r>
          </w:p>
        </w:tc>
        <w:tc>
          <w:tcPr>
            <w:tcW w:w="2191" w:type="dxa"/>
            <w:tcBorders>
              <w:top w:val="nil"/>
              <w:left w:val="nil"/>
              <w:bottom w:val="nil"/>
              <w:right w:val="single" w:sz="4" w:space="0" w:color="auto"/>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Reducción en ambas categorías de costos unitarios</w:t>
            </w:r>
          </w:p>
        </w:tc>
      </w:tr>
      <w:tr w:rsidR="00236E18" w:rsidRPr="00755F79" w:rsidTr="00294272">
        <w:trPr>
          <w:trHeight w:val="1521"/>
        </w:trPr>
        <w:tc>
          <w:tcPr>
            <w:tcW w:w="2060" w:type="dxa"/>
            <w:tcBorders>
              <w:top w:val="nil"/>
              <w:left w:val="single" w:sz="4" w:space="0" w:color="auto"/>
              <w:right w:val="nil"/>
            </w:tcBorders>
            <w:shd w:val="clear" w:color="000000" w:fill="FFFFFF"/>
            <w:hideMark/>
          </w:tcPr>
          <w:p w:rsidR="00236E18" w:rsidRPr="00755F79" w:rsidRDefault="00236E18" w:rsidP="00294272">
            <w:pPr>
              <w:rPr>
                <w:rFonts w:eastAsia="Times New Roman"/>
                <w:sz w:val="16"/>
                <w:szCs w:val="16"/>
              </w:rPr>
            </w:pPr>
          </w:p>
        </w:tc>
        <w:tc>
          <w:tcPr>
            <w:tcW w:w="2500" w:type="dxa"/>
            <w:tcBorders>
              <w:top w:val="nil"/>
              <w:left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Puntualidad de las transacciones</w:t>
            </w:r>
          </w:p>
          <w:p w:rsidR="00236E18" w:rsidRPr="00755F79" w:rsidRDefault="00236E18" w:rsidP="00294272">
            <w:pPr>
              <w:ind w:left="97"/>
              <w:rPr>
                <w:rFonts w:eastAsia="Times New Roman"/>
                <w:sz w:val="16"/>
                <w:szCs w:val="16"/>
              </w:rPr>
            </w:pPr>
            <w:r w:rsidRPr="00755F79">
              <w:rPr>
                <w:rFonts w:eastAsia="Times New Roman"/>
                <w:sz w:val="16"/>
                <w:szCs w:val="16"/>
              </w:rPr>
              <w:t>(días)</w:t>
            </w:r>
            <w:r>
              <w:rPr>
                <w:rFonts w:eastAsia="Times New Roman"/>
                <w:sz w:val="16"/>
                <w:szCs w:val="16"/>
              </w:rPr>
              <w:t xml:space="preserve"> (Madrid)</w:t>
            </w:r>
          </w:p>
        </w:tc>
        <w:tc>
          <w:tcPr>
            <w:tcW w:w="2620" w:type="dxa"/>
            <w:tcBorders>
              <w:top w:val="nil"/>
              <w:left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 xml:space="preserve">Solicitudes: 70 </w:t>
            </w:r>
            <w:r w:rsidRPr="00755F79">
              <w:rPr>
                <w:rFonts w:eastAsia="Times New Roman"/>
                <w:sz w:val="16"/>
                <w:szCs w:val="16"/>
              </w:rPr>
              <w:br/>
              <w:t xml:space="preserve">Renovaciones: 63 </w:t>
            </w:r>
            <w:r w:rsidRPr="00755F79">
              <w:rPr>
                <w:rFonts w:eastAsia="Times New Roman"/>
                <w:sz w:val="16"/>
                <w:szCs w:val="16"/>
              </w:rPr>
              <w:br/>
              <w:t>Designaciones posteriores: 56</w:t>
            </w:r>
            <w:r w:rsidRPr="00755F79">
              <w:rPr>
                <w:rFonts w:eastAsia="Times New Roman"/>
                <w:sz w:val="16"/>
                <w:szCs w:val="16"/>
              </w:rPr>
              <w:br/>
              <w:t>Decisiones:12</w:t>
            </w:r>
            <w:r w:rsidRPr="00755F79">
              <w:rPr>
                <w:rFonts w:eastAsia="Times New Roman"/>
                <w:sz w:val="16"/>
                <w:szCs w:val="16"/>
              </w:rPr>
              <w:br/>
              <w:t>Modificaciones:79</w:t>
            </w:r>
            <w:r w:rsidRPr="00755F79">
              <w:rPr>
                <w:rFonts w:eastAsia="Times New Roman"/>
                <w:sz w:val="16"/>
                <w:szCs w:val="16"/>
              </w:rPr>
              <w:br/>
              <w:t>Correcciones 232</w:t>
            </w:r>
            <w:r w:rsidRPr="00755F79">
              <w:rPr>
                <w:rFonts w:eastAsia="Times New Roman"/>
                <w:sz w:val="16"/>
                <w:szCs w:val="16"/>
              </w:rPr>
              <w:br/>
              <w:t>(al 31 de diciembre de,2014)</w:t>
            </w:r>
          </w:p>
        </w:tc>
        <w:tc>
          <w:tcPr>
            <w:tcW w:w="2191" w:type="dxa"/>
            <w:tcBorders>
              <w:top w:val="nil"/>
              <w:left w:val="nil"/>
              <w:right w:val="single" w:sz="4" w:space="0" w:color="auto"/>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 xml:space="preserve">Mejoras en todas las transacciones </w:t>
            </w:r>
            <w:r w:rsidRPr="00755F79">
              <w:rPr>
                <w:rFonts w:eastAsia="Times New Roman"/>
                <w:sz w:val="16"/>
                <w:szCs w:val="16"/>
              </w:rPr>
              <w:br/>
            </w:r>
            <w:r w:rsidRPr="00755F79">
              <w:rPr>
                <w:rFonts w:eastAsia="Times New Roman"/>
                <w:sz w:val="16"/>
                <w:szCs w:val="16"/>
              </w:rPr>
              <w:br/>
            </w:r>
            <w:r w:rsidRPr="00755F79">
              <w:rPr>
                <w:rFonts w:eastAsia="Times New Roman"/>
                <w:sz w:val="16"/>
                <w:szCs w:val="16"/>
              </w:rPr>
              <w:br/>
            </w:r>
            <w:r w:rsidRPr="00755F79">
              <w:rPr>
                <w:rFonts w:eastAsia="Times New Roman"/>
                <w:sz w:val="16"/>
                <w:szCs w:val="16"/>
              </w:rPr>
              <w:br/>
            </w:r>
            <w:r w:rsidRPr="00755F79">
              <w:rPr>
                <w:rFonts w:eastAsia="Times New Roman"/>
                <w:sz w:val="16"/>
                <w:szCs w:val="16"/>
              </w:rPr>
              <w:br/>
            </w:r>
          </w:p>
        </w:tc>
      </w:tr>
      <w:tr w:rsidR="00236E18" w:rsidRPr="00755F79" w:rsidTr="00294272">
        <w:trPr>
          <w:trHeight w:val="360"/>
        </w:trPr>
        <w:tc>
          <w:tcPr>
            <w:tcW w:w="2060" w:type="dxa"/>
            <w:tcBorders>
              <w:top w:val="nil"/>
              <w:left w:val="single" w:sz="4" w:space="0" w:color="auto"/>
              <w:right w:val="nil"/>
            </w:tcBorders>
            <w:shd w:val="clear" w:color="000000" w:fill="FFFFFF"/>
            <w:hideMark/>
          </w:tcPr>
          <w:p w:rsidR="00236E18" w:rsidRPr="00755F79" w:rsidRDefault="00236E18" w:rsidP="00294272">
            <w:pPr>
              <w:rPr>
                <w:rFonts w:eastAsia="Times New Roman"/>
                <w:sz w:val="16"/>
                <w:szCs w:val="16"/>
              </w:rPr>
            </w:pPr>
          </w:p>
        </w:tc>
        <w:tc>
          <w:tcPr>
            <w:tcW w:w="2500" w:type="dxa"/>
            <w:tcBorders>
              <w:top w:val="nil"/>
              <w:left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Calidad</w:t>
            </w:r>
            <w:r>
              <w:rPr>
                <w:rFonts w:eastAsia="Times New Roman"/>
                <w:sz w:val="16"/>
                <w:szCs w:val="16"/>
              </w:rPr>
              <w:t xml:space="preserve"> (Madrid)</w:t>
            </w:r>
          </w:p>
        </w:tc>
        <w:tc>
          <w:tcPr>
            <w:tcW w:w="2620" w:type="dxa"/>
            <w:tcBorders>
              <w:top w:val="nil"/>
              <w:left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Por determinar.</w:t>
            </w:r>
          </w:p>
        </w:tc>
        <w:tc>
          <w:tcPr>
            <w:tcW w:w="2191" w:type="dxa"/>
            <w:tcBorders>
              <w:top w:val="nil"/>
              <w:left w:val="nil"/>
              <w:right w:val="single" w:sz="4" w:space="0" w:color="auto"/>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Por determinar.</w:t>
            </w:r>
          </w:p>
        </w:tc>
      </w:tr>
      <w:tr w:rsidR="00236E18" w:rsidRPr="00755F79" w:rsidTr="00294272">
        <w:trPr>
          <w:trHeight w:val="3150"/>
        </w:trPr>
        <w:tc>
          <w:tcPr>
            <w:tcW w:w="2060" w:type="dxa"/>
            <w:tcBorders>
              <w:left w:val="single" w:sz="4" w:space="0" w:color="auto"/>
              <w:bottom w:val="nil"/>
              <w:right w:val="nil"/>
            </w:tcBorders>
            <w:shd w:val="clear" w:color="000000" w:fill="FFFFFF"/>
            <w:hideMark/>
          </w:tcPr>
          <w:p w:rsidR="00236E18" w:rsidRPr="00755F79" w:rsidRDefault="00236E18" w:rsidP="00294272">
            <w:pPr>
              <w:rPr>
                <w:rFonts w:eastAsia="Times New Roman"/>
                <w:sz w:val="16"/>
                <w:szCs w:val="16"/>
              </w:rPr>
            </w:pPr>
          </w:p>
        </w:tc>
        <w:tc>
          <w:tcPr>
            <w:tcW w:w="2500" w:type="dxa"/>
            <w:tcBorders>
              <w:left w:val="nil"/>
              <w:bottom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Mejor funcionamiento del Registro de Madrid, también de los procesos y procedimientos electrónicos</w:t>
            </w:r>
            <w:r>
              <w:rPr>
                <w:rFonts w:eastAsia="Times New Roman"/>
                <w:sz w:val="16"/>
                <w:szCs w:val="16"/>
              </w:rPr>
              <w:t xml:space="preserve"> (Madrid)</w:t>
            </w:r>
          </w:p>
        </w:tc>
        <w:tc>
          <w:tcPr>
            <w:tcW w:w="2620" w:type="dxa"/>
            <w:tcBorders>
              <w:left w:val="nil"/>
              <w:bottom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 xml:space="preserve">70% de los documentos se recibe electrónicamente </w:t>
            </w:r>
            <w:r w:rsidRPr="00755F79">
              <w:rPr>
                <w:rFonts w:eastAsia="Times New Roman"/>
                <w:sz w:val="16"/>
                <w:szCs w:val="16"/>
              </w:rPr>
              <w:br/>
            </w:r>
            <w:r>
              <w:rPr>
                <w:rFonts w:eastAsia="Times New Roman"/>
                <w:sz w:val="16"/>
                <w:szCs w:val="16"/>
              </w:rPr>
              <w:br/>
            </w:r>
            <w:r w:rsidRPr="00755F79">
              <w:rPr>
                <w:rFonts w:eastAsia="Times New Roman"/>
                <w:sz w:val="16"/>
                <w:szCs w:val="16"/>
              </w:rPr>
              <w:br/>
              <w:t xml:space="preserve">220.000 notificaciones por correo-e </w:t>
            </w:r>
            <w:r w:rsidRPr="00755F79">
              <w:rPr>
                <w:rFonts w:eastAsia="Times New Roman"/>
                <w:sz w:val="16"/>
                <w:szCs w:val="16"/>
              </w:rPr>
              <w:br/>
            </w:r>
            <w:r w:rsidRPr="00755F79">
              <w:rPr>
                <w:rFonts w:eastAsia="Times New Roman"/>
                <w:sz w:val="16"/>
                <w:szCs w:val="16"/>
              </w:rPr>
              <w:br/>
              <w:t xml:space="preserve">1800 clientes del MPM </w:t>
            </w:r>
            <w:r w:rsidRPr="00755F79">
              <w:rPr>
                <w:rFonts w:eastAsia="Times New Roman"/>
                <w:sz w:val="16"/>
                <w:szCs w:val="16"/>
              </w:rPr>
              <w:br/>
            </w:r>
            <w:r w:rsidRPr="00755F79">
              <w:rPr>
                <w:rFonts w:eastAsia="Times New Roman"/>
                <w:sz w:val="16"/>
                <w:szCs w:val="16"/>
              </w:rPr>
              <w:br/>
              <w:t>17 oficinas que envían solicitudes en XML</w:t>
            </w:r>
            <w:r w:rsidRPr="00755F79">
              <w:rPr>
                <w:rFonts w:eastAsia="Times New Roman"/>
                <w:sz w:val="16"/>
                <w:szCs w:val="16"/>
              </w:rPr>
              <w:br/>
            </w:r>
            <w:r w:rsidRPr="00755F79">
              <w:rPr>
                <w:rFonts w:eastAsia="Times New Roman"/>
                <w:sz w:val="16"/>
                <w:szCs w:val="16"/>
              </w:rPr>
              <w:br/>
              <w:t>1 Formulario web inteligente</w:t>
            </w:r>
            <w:r>
              <w:rPr>
                <w:rFonts w:eastAsia="Times New Roman"/>
                <w:sz w:val="16"/>
                <w:szCs w:val="16"/>
              </w:rPr>
              <w:br/>
            </w:r>
            <w:r w:rsidRPr="00755F79">
              <w:rPr>
                <w:rFonts w:eastAsia="Times New Roman"/>
                <w:sz w:val="16"/>
                <w:szCs w:val="16"/>
              </w:rPr>
              <w:t xml:space="preserve"> </w:t>
            </w:r>
            <w:r w:rsidRPr="00755F79">
              <w:rPr>
                <w:rFonts w:eastAsia="Times New Roman"/>
                <w:sz w:val="16"/>
                <w:szCs w:val="16"/>
              </w:rPr>
              <w:br/>
            </w:r>
            <w:r w:rsidRPr="00755F79">
              <w:rPr>
                <w:rFonts w:eastAsia="Times New Roman"/>
                <w:sz w:val="16"/>
                <w:szCs w:val="16"/>
              </w:rPr>
              <w:br/>
              <w:t>Se reciben</w:t>
            </w:r>
            <w:r>
              <w:rPr>
                <w:rFonts w:eastAsia="Times New Roman"/>
                <w:sz w:val="16"/>
                <w:szCs w:val="16"/>
              </w:rPr>
              <w:t xml:space="preserve"> 690.000 documentos </w:t>
            </w:r>
            <w:r>
              <w:rPr>
                <w:rFonts w:eastAsia="Times New Roman"/>
                <w:sz w:val="16"/>
                <w:szCs w:val="16"/>
              </w:rPr>
              <w:br/>
            </w:r>
            <w:r w:rsidRPr="00755F79">
              <w:rPr>
                <w:rFonts w:eastAsia="Times New Roman"/>
                <w:sz w:val="16"/>
                <w:szCs w:val="16"/>
              </w:rPr>
              <w:br/>
              <w:t xml:space="preserve">Se envían 1.750.000 documentos </w:t>
            </w:r>
            <w:r w:rsidRPr="00755F79">
              <w:rPr>
                <w:rFonts w:eastAsia="Times New Roman"/>
                <w:sz w:val="16"/>
                <w:szCs w:val="16"/>
              </w:rPr>
              <w:br/>
            </w:r>
          </w:p>
        </w:tc>
        <w:tc>
          <w:tcPr>
            <w:tcW w:w="2191" w:type="dxa"/>
            <w:tcBorders>
              <w:left w:val="nil"/>
              <w:bottom w:val="nil"/>
              <w:right w:val="single" w:sz="4" w:space="0" w:color="auto"/>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75% de los documentos se recibe electrónicamente</w:t>
            </w:r>
            <w:r w:rsidRPr="00755F79">
              <w:rPr>
                <w:rFonts w:eastAsia="Times New Roman"/>
                <w:sz w:val="16"/>
                <w:szCs w:val="16"/>
              </w:rPr>
              <w:br/>
            </w:r>
            <w:r w:rsidRPr="00755F79">
              <w:rPr>
                <w:rFonts w:eastAsia="Times New Roman"/>
                <w:sz w:val="16"/>
                <w:szCs w:val="16"/>
              </w:rPr>
              <w:br/>
              <w:t>250.000 notificaciones por correo-e</w:t>
            </w:r>
            <w:r w:rsidRPr="00755F79">
              <w:rPr>
                <w:rFonts w:eastAsia="Times New Roman"/>
                <w:sz w:val="16"/>
                <w:szCs w:val="16"/>
              </w:rPr>
              <w:br/>
            </w:r>
            <w:r w:rsidRPr="00755F79">
              <w:rPr>
                <w:rFonts w:eastAsia="Times New Roman"/>
                <w:sz w:val="16"/>
                <w:szCs w:val="16"/>
              </w:rPr>
              <w:br/>
              <w:t xml:space="preserve">2000 clientes del MPM </w:t>
            </w:r>
            <w:r w:rsidRPr="00755F79">
              <w:rPr>
                <w:rFonts w:eastAsia="Times New Roman"/>
                <w:sz w:val="16"/>
                <w:szCs w:val="16"/>
              </w:rPr>
              <w:br/>
            </w:r>
            <w:r w:rsidRPr="00755F79">
              <w:rPr>
                <w:rFonts w:eastAsia="Times New Roman"/>
                <w:sz w:val="16"/>
                <w:szCs w:val="16"/>
              </w:rPr>
              <w:br/>
              <w:t>20 oficinas que envían solicitudes en XML</w:t>
            </w:r>
            <w:r w:rsidRPr="00755F79">
              <w:rPr>
                <w:rFonts w:eastAsia="Times New Roman"/>
                <w:sz w:val="16"/>
                <w:szCs w:val="16"/>
              </w:rPr>
              <w:br/>
            </w:r>
            <w:r w:rsidRPr="00755F79">
              <w:rPr>
                <w:rFonts w:eastAsia="Times New Roman"/>
                <w:sz w:val="16"/>
                <w:szCs w:val="16"/>
              </w:rPr>
              <w:br/>
              <w:t>6 Formularios web  inteligentes</w:t>
            </w:r>
            <w:r w:rsidRPr="00755F79">
              <w:rPr>
                <w:rFonts w:eastAsia="Times New Roman"/>
                <w:sz w:val="16"/>
                <w:szCs w:val="16"/>
              </w:rPr>
              <w:br/>
            </w:r>
            <w:r w:rsidRPr="00755F79">
              <w:rPr>
                <w:rFonts w:eastAsia="Times New Roman"/>
                <w:sz w:val="16"/>
                <w:szCs w:val="16"/>
              </w:rPr>
              <w:br/>
              <w:t xml:space="preserve">Se reciben 750.000 documentos </w:t>
            </w:r>
            <w:r w:rsidRPr="00755F79">
              <w:rPr>
                <w:rFonts w:eastAsia="Times New Roman"/>
                <w:sz w:val="16"/>
                <w:szCs w:val="16"/>
              </w:rPr>
              <w:br/>
            </w:r>
            <w:r w:rsidRPr="00755F79">
              <w:rPr>
                <w:rFonts w:eastAsia="Times New Roman"/>
                <w:sz w:val="16"/>
                <w:szCs w:val="16"/>
              </w:rPr>
              <w:br/>
              <w:t>Se envían 2.000.000 documentos</w:t>
            </w:r>
            <w:r>
              <w:rPr>
                <w:rFonts w:eastAsia="Times New Roman"/>
                <w:sz w:val="16"/>
                <w:szCs w:val="16"/>
              </w:rPr>
              <w:br/>
            </w:r>
          </w:p>
        </w:tc>
      </w:tr>
      <w:tr w:rsidR="00236E18" w:rsidRPr="00755F79" w:rsidTr="00294272">
        <w:trPr>
          <w:trHeight w:val="1224"/>
        </w:trPr>
        <w:tc>
          <w:tcPr>
            <w:tcW w:w="2060" w:type="dxa"/>
            <w:tcBorders>
              <w:top w:val="nil"/>
              <w:left w:val="single" w:sz="4" w:space="0" w:color="auto"/>
              <w:right w:val="nil"/>
            </w:tcBorders>
            <w:shd w:val="clear" w:color="000000" w:fill="FFFFFF"/>
            <w:hideMark/>
          </w:tcPr>
          <w:p w:rsidR="00236E18" w:rsidRPr="00755F79" w:rsidRDefault="00236E18" w:rsidP="00294272">
            <w:pPr>
              <w:rPr>
                <w:rFonts w:eastAsia="Times New Roman"/>
                <w:sz w:val="16"/>
                <w:szCs w:val="16"/>
              </w:rPr>
            </w:pPr>
          </w:p>
        </w:tc>
        <w:tc>
          <w:tcPr>
            <w:tcW w:w="2500" w:type="dxa"/>
            <w:tcBorders>
              <w:top w:val="nil"/>
              <w:left w:val="nil"/>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Prestación estable de servicios auxiliares de TT.II. del Sistema de Madrid,, que van perfeccionándose</w:t>
            </w:r>
          </w:p>
        </w:tc>
        <w:tc>
          <w:tcPr>
            <w:tcW w:w="2620" w:type="dxa"/>
            <w:tcBorders>
              <w:top w:val="nil"/>
              <w:left w:val="nil"/>
              <w:right w:val="nil"/>
            </w:tcBorders>
            <w:shd w:val="clear" w:color="000000" w:fill="FFFFFF"/>
            <w:hideMark/>
          </w:tcPr>
          <w:p w:rsidR="00236E18" w:rsidRPr="00755F79" w:rsidRDefault="00236E18" w:rsidP="00294272">
            <w:pPr>
              <w:rPr>
                <w:rFonts w:eastAsia="Times New Roman"/>
                <w:sz w:val="16"/>
                <w:szCs w:val="16"/>
              </w:rPr>
            </w:pPr>
            <w:r>
              <w:rPr>
                <w:rFonts w:eastAsia="Times New Roman"/>
                <w:sz w:val="16"/>
                <w:szCs w:val="16"/>
              </w:rPr>
              <w:t>Sin</w:t>
            </w:r>
            <w:r w:rsidRPr="00755F79">
              <w:rPr>
                <w:rFonts w:eastAsia="Times New Roman"/>
                <w:sz w:val="16"/>
                <w:szCs w:val="16"/>
              </w:rPr>
              <w:t xml:space="preserve"> incidentes de interrupción de servicios </w:t>
            </w:r>
            <w:r w:rsidRPr="00755F79">
              <w:rPr>
                <w:rFonts w:eastAsia="Times New Roman"/>
                <w:sz w:val="16"/>
                <w:szCs w:val="16"/>
              </w:rPr>
              <w:br/>
              <w:t>(n</w:t>
            </w:r>
            <w:r>
              <w:rPr>
                <w:rFonts w:eastAsia="Times New Roman"/>
                <w:sz w:val="16"/>
                <w:szCs w:val="16"/>
              </w:rPr>
              <w:t>º</w:t>
            </w:r>
            <w:r w:rsidRPr="00755F79">
              <w:rPr>
                <w:rFonts w:eastAsia="Times New Roman"/>
                <w:sz w:val="16"/>
                <w:szCs w:val="16"/>
              </w:rPr>
              <w:t xml:space="preserve"> de incidentes de TIC)</w:t>
            </w:r>
            <w:r w:rsidRPr="00755F79">
              <w:rPr>
                <w:rFonts w:eastAsia="Times New Roman"/>
                <w:sz w:val="16"/>
                <w:szCs w:val="16"/>
              </w:rPr>
              <w:br/>
            </w:r>
            <w:r>
              <w:rPr>
                <w:rFonts w:eastAsia="Times New Roman"/>
                <w:sz w:val="16"/>
                <w:szCs w:val="16"/>
              </w:rPr>
              <w:br/>
            </w:r>
            <w:r w:rsidRPr="00755F79">
              <w:rPr>
                <w:rFonts w:eastAsia="Times New Roman"/>
                <w:sz w:val="16"/>
                <w:szCs w:val="16"/>
              </w:rPr>
              <w:br/>
              <w:t>Mejoras introducidas y aplicadas a tiempo</w:t>
            </w:r>
            <w:r>
              <w:rPr>
                <w:rFonts w:eastAsia="Times New Roman"/>
                <w:sz w:val="16"/>
                <w:szCs w:val="16"/>
              </w:rPr>
              <w:br/>
            </w:r>
          </w:p>
        </w:tc>
        <w:tc>
          <w:tcPr>
            <w:tcW w:w="2191" w:type="dxa"/>
            <w:tcBorders>
              <w:top w:val="nil"/>
              <w:left w:val="nil"/>
              <w:right w:val="single" w:sz="4" w:space="0" w:color="auto"/>
            </w:tcBorders>
            <w:shd w:val="clear" w:color="000000" w:fill="FFFFFF"/>
            <w:hideMark/>
          </w:tcPr>
          <w:p w:rsidR="00236E18" w:rsidRPr="00755F79" w:rsidRDefault="00236E18" w:rsidP="00294272">
            <w:pPr>
              <w:rPr>
                <w:rFonts w:eastAsia="Times New Roman"/>
                <w:sz w:val="16"/>
                <w:szCs w:val="16"/>
              </w:rPr>
            </w:pPr>
            <w:r>
              <w:rPr>
                <w:rFonts w:eastAsia="Times New Roman"/>
                <w:sz w:val="16"/>
                <w:szCs w:val="16"/>
              </w:rPr>
              <w:t>Sin</w:t>
            </w:r>
            <w:r w:rsidRPr="00755F79">
              <w:rPr>
                <w:rFonts w:eastAsia="Times New Roman"/>
                <w:sz w:val="16"/>
                <w:szCs w:val="16"/>
              </w:rPr>
              <w:t xml:space="preserve"> incidentes de interrupción de servicios </w:t>
            </w:r>
            <w:r w:rsidRPr="00755F79">
              <w:rPr>
                <w:rFonts w:eastAsia="Times New Roman"/>
                <w:sz w:val="16"/>
                <w:szCs w:val="16"/>
              </w:rPr>
              <w:br/>
              <w:t>(n</w:t>
            </w:r>
            <w:r>
              <w:rPr>
                <w:rFonts w:eastAsia="Times New Roman"/>
                <w:sz w:val="16"/>
                <w:szCs w:val="16"/>
              </w:rPr>
              <w:t>º de incidentes de TIC)</w:t>
            </w:r>
            <w:r w:rsidRPr="00755F79">
              <w:rPr>
                <w:rFonts w:eastAsia="Times New Roman"/>
                <w:sz w:val="16"/>
                <w:szCs w:val="16"/>
              </w:rPr>
              <w:br/>
            </w:r>
            <w:r w:rsidRPr="00755F79">
              <w:rPr>
                <w:rFonts w:eastAsia="Times New Roman"/>
                <w:sz w:val="16"/>
                <w:szCs w:val="16"/>
              </w:rPr>
              <w:br/>
              <w:t>Mejoras introducidas y aplicadas a tiempo</w:t>
            </w:r>
          </w:p>
        </w:tc>
      </w:tr>
      <w:tr w:rsidR="00236E18" w:rsidRPr="00755F79" w:rsidTr="00294272">
        <w:trPr>
          <w:trHeight w:val="461"/>
        </w:trPr>
        <w:tc>
          <w:tcPr>
            <w:tcW w:w="2060" w:type="dxa"/>
            <w:tcBorders>
              <w:top w:val="nil"/>
              <w:left w:val="single" w:sz="4" w:space="0" w:color="auto"/>
              <w:bottom w:val="single" w:sz="4" w:space="0" w:color="auto"/>
              <w:right w:val="nil"/>
            </w:tcBorders>
            <w:shd w:val="clear" w:color="000000" w:fill="FFFFFF"/>
            <w:hideMark/>
          </w:tcPr>
          <w:p w:rsidR="00236E18" w:rsidRPr="00755F79" w:rsidRDefault="00236E18" w:rsidP="00294272">
            <w:pPr>
              <w:rPr>
                <w:rFonts w:eastAsia="Times New Roman"/>
                <w:sz w:val="16"/>
                <w:szCs w:val="16"/>
              </w:rPr>
            </w:pPr>
          </w:p>
        </w:tc>
        <w:tc>
          <w:tcPr>
            <w:tcW w:w="2500" w:type="dxa"/>
            <w:tcBorders>
              <w:top w:val="nil"/>
              <w:left w:val="nil"/>
              <w:bottom w:val="single" w:sz="4" w:space="0" w:color="auto"/>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3 versiones de M-IRIS  y 3 versiones de presentación-e de Madrid (IRPI) en funcionamiento</w:t>
            </w:r>
          </w:p>
        </w:tc>
        <w:tc>
          <w:tcPr>
            <w:tcW w:w="2620" w:type="dxa"/>
            <w:tcBorders>
              <w:top w:val="nil"/>
              <w:left w:val="nil"/>
              <w:bottom w:val="single" w:sz="4" w:space="0" w:color="auto"/>
              <w:right w:val="nil"/>
            </w:tcBorders>
            <w:shd w:val="clear" w:color="000000" w:fill="FFFFFF"/>
            <w:hideMark/>
          </w:tcPr>
          <w:p w:rsidR="00236E18" w:rsidRPr="00755F79" w:rsidRDefault="00236E18" w:rsidP="00294272">
            <w:pPr>
              <w:rPr>
                <w:rFonts w:eastAsia="Times New Roman"/>
                <w:sz w:val="16"/>
                <w:szCs w:val="16"/>
              </w:rPr>
            </w:pPr>
            <w:r w:rsidRPr="00755F79">
              <w:rPr>
                <w:rFonts w:eastAsia="Times New Roman"/>
                <w:sz w:val="16"/>
                <w:szCs w:val="16"/>
              </w:rPr>
              <w:t>M-IRIS en funcionamiento</w:t>
            </w:r>
            <w:r w:rsidRPr="00755F79">
              <w:rPr>
                <w:rFonts w:eastAsia="Times New Roman"/>
                <w:sz w:val="16"/>
                <w:szCs w:val="16"/>
              </w:rPr>
              <w:br/>
            </w:r>
            <w:r>
              <w:rPr>
                <w:rFonts w:eastAsia="Times New Roman"/>
                <w:sz w:val="16"/>
                <w:szCs w:val="16"/>
              </w:rPr>
              <w:br/>
            </w:r>
            <w:r w:rsidRPr="00755F79">
              <w:rPr>
                <w:rFonts w:eastAsia="Times New Roman"/>
                <w:sz w:val="16"/>
                <w:szCs w:val="16"/>
              </w:rPr>
              <w:br/>
              <w:t>Presentación-e del Sistema de Madrid  en funcionamiento</w:t>
            </w:r>
            <w:r w:rsidRPr="00755F79">
              <w:rPr>
                <w:rFonts w:eastAsia="Times New Roman"/>
                <w:sz w:val="16"/>
                <w:szCs w:val="16"/>
              </w:rPr>
              <w:br/>
            </w:r>
          </w:p>
        </w:tc>
        <w:tc>
          <w:tcPr>
            <w:tcW w:w="2191" w:type="dxa"/>
            <w:tcBorders>
              <w:top w:val="nil"/>
              <w:left w:val="nil"/>
              <w:bottom w:val="single" w:sz="4" w:space="0" w:color="auto"/>
              <w:right w:val="single" w:sz="4" w:space="0" w:color="auto"/>
            </w:tcBorders>
            <w:shd w:val="clear" w:color="000000" w:fill="FFFFFF"/>
            <w:hideMark/>
          </w:tcPr>
          <w:p w:rsidR="00236E18" w:rsidRPr="00755F79" w:rsidRDefault="00236E18" w:rsidP="00294272">
            <w:pPr>
              <w:rPr>
                <w:rFonts w:eastAsia="Times New Roman"/>
                <w:sz w:val="16"/>
                <w:szCs w:val="16"/>
              </w:rPr>
            </w:pPr>
            <w:r>
              <w:rPr>
                <w:rFonts w:eastAsia="Times New Roman"/>
                <w:sz w:val="16"/>
                <w:szCs w:val="16"/>
              </w:rPr>
              <w:t>3 nuevas versiones de M</w:t>
            </w:r>
            <w:r>
              <w:rPr>
                <w:rFonts w:eastAsia="Times New Roman"/>
                <w:sz w:val="16"/>
                <w:szCs w:val="16"/>
              </w:rPr>
              <w:noBreakHyphen/>
            </w:r>
            <w:r w:rsidRPr="00755F79">
              <w:rPr>
                <w:rFonts w:eastAsia="Times New Roman"/>
                <w:sz w:val="16"/>
                <w:szCs w:val="16"/>
              </w:rPr>
              <w:t>IRIS/D-IRIS</w:t>
            </w:r>
            <w:r w:rsidRPr="00755F79">
              <w:rPr>
                <w:rFonts w:eastAsia="Times New Roman"/>
                <w:sz w:val="16"/>
                <w:szCs w:val="16"/>
              </w:rPr>
              <w:br/>
            </w:r>
            <w:r w:rsidRPr="00755F79">
              <w:rPr>
                <w:rFonts w:eastAsia="Times New Roman"/>
                <w:sz w:val="16"/>
                <w:szCs w:val="16"/>
              </w:rPr>
              <w:br/>
              <w:t>3 nuevas versiones de presentación-e del</w:t>
            </w:r>
            <w:r>
              <w:rPr>
                <w:rFonts w:eastAsia="Times New Roman"/>
                <w:sz w:val="16"/>
                <w:szCs w:val="16"/>
              </w:rPr>
              <w:t xml:space="preserve"> Sistema</w:t>
            </w:r>
            <w:r w:rsidRPr="00755F79">
              <w:rPr>
                <w:rFonts w:eastAsia="Times New Roman"/>
                <w:sz w:val="16"/>
                <w:szCs w:val="16"/>
              </w:rPr>
              <w:t xml:space="preserve"> de Madrid </w:t>
            </w:r>
            <w:r>
              <w:rPr>
                <w:rFonts w:eastAsia="Times New Roman"/>
                <w:sz w:val="16"/>
                <w:szCs w:val="16"/>
              </w:rPr>
              <w:br/>
            </w:r>
          </w:p>
        </w:tc>
      </w:tr>
    </w:tbl>
    <w:p w:rsidR="00236E18" w:rsidRPr="00755F79" w:rsidRDefault="00236E18" w:rsidP="00236E18">
      <w:pPr>
        <w:rPr>
          <w:rFonts w:eastAsia="Times New Roman"/>
          <w:sz w:val="20"/>
        </w:rPr>
      </w:pPr>
    </w:p>
    <w:p w:rsidR="00236E18" w:rsidRPr="00755F79" w:rsidRDefault="00236E18" w:rsidP="00236E18">
      <w:pPr>
        <w:rPr>
          <w:rFonts w:eastAsia="Times New Roman"/>
          <w:sz w:val="20"/>
        </w:rPr>
      </w:pPr>
    </w:p>
    <w:p w:rsidR="00236E18" w:rsidRPr="00755F79" w:rsidRDefault="00236E18" w:rsidP="00236E18">
      <w:pPr>
        <w:keepNext/>
        <w:keepLines/>
        <w:jc w:val="both"/>
        <w:rPr>
          <w:bCs/>
          <w:iCs/>
          <w:caps/>
          <w:szCs w:val="28"/>
        </w:rPr>
      </w:pPr>
      <w:r>
        <w:rPr>
          <w:bCs/>
          <w:iCs/>
          <w:caps/>
          <w:szCs w:val="28"/>
        </w:rPr>
        <w:lastRenderedPageBreak/>
        <w:t>RECURSOS PARA EL PROGRAMA 6</w:t>
      </w:r>
    </w:p>
    <w:p w:rsidR="00236E18" w:rsidRPr="00DB4F15" w:rsidRDefault="00236E18" w:rsidP="00236E18">
      <w:pPr>
        <w:keepNext/>
        <w:keepLines/>
        <w:jc w:val="both"/>
        <w:rPr>
          <w:bCs/>
          <w:iCs/>
          <w:caps/>
          <w:sz w:val="20"/>
          <w:szCs w:val="28"/>
        </w:rPr>
      </w:pPr>
    </w:p>
    <w:p w:rsidR="00236E18" w:rsidRPr="00B4623A" w:rsidRDefault="00236E18" w:rsidP="00236E18">
      <w:pPr>
        <w:pStyle w:val="ListParagraph"/>
        <w:keepNext/>
        <w:keepLines/>
        <w:numPr>
          <w:ilvl w:val="0"/>
          <w:numId w:val="16"/>
        </w:numPr>
        <w:tabs>
          <w:tab w:val="left" w:pos="567"/>
        </w:tabs>
        <w:ind w:left="0" w:firstLine="0"/>
        <w:contextualSpacing w:val="0"/>
        <w:jc w:val="both"/>
        <w:rPr>
          <w:rFonts w:ascii="Arial" w:eastAsia="SimSun" w:hAnsi="Arial" w:cs="Arial"/>
          <w:bCs/>
          <w:iCs/>
          <w:sz w:val="20"/>
          <w:szCs w:val="28"/>
          <w:lang w:val="es-ES"/>
        </w:rPr>
      </w:pPr>
      <w:r w:rsidRPr="00B4623A">
        <w:rPr>
          <w:rFonts w:ascii="Arial" w:eastAsia="SimSun" w:hAnsi="Arial" w:cs="Arial"/>
          <w:bCs/>
          <w:iCs/>
          <w:sz w:val="20"/>
          <w:szCs w:val="28"/>
          <w:lang w:val="es-ES"/>
        </w:rPr>
        <w:t>La dotación de recursos de este programa es reflejo de la separación del S</w:t>
      </w:r>
      <w:r>
        <w:rPr>
          <w:rFonts w:ascii="Arial" w:eastAsia="SimSun" w:hAnsi="Arial" w:cs="Arial"/>
          <w:bCs/>
          <w:iCs/>
          <w:sz w:val="20"/>
          <w:szCs w:val="28"/>
          <w:lang w:val="es-ES"/>
        </w:rPr>
        <w:t>istema de Lisboa del programa 6, que ahora ha pasado a constituir el programa 32, así como la transferencia de los recursos de personal y no relativos a personal correspondientes.</w:t>
      </w:r>
    </w:p>
    <w:p w:rsidR="00236E18" w:rsidRPr="000F4435" w:rsidRDefault="00236E18" w:rsidP="00236E18">
      <w:pPr>
        <w:pStyle w:val="ListParagraph"/>
        <w:tabs>
          <w:tab w:val="left" w:pos="567"/>
        </w:tabs>
        <w:ind w:left="0"/>
        <w:contextualSpacing w:val="0"/>
        <w:jc w:val="both"/>
        <w:rPr>
          <w:rFonts w:ascii="Arial" w:eastAsia="SimSun" w:hAnsi="Arial" w:cs="Arial"/>
          <w:bCs/>
          <w:iCs/>
          <w:sz w:val="20"/>
          <w:szCs w:val="28"/>
          <w:lang w:val="es-ES"/>
        </w:rPr>
      </w:pPr>
    </w:p>
    <w:p w:rsidR="00236E18" w:rsidRPr="005D524D" w:rsidRDefault="00236E18" w:rsidP="00236E18">
      <w:pPr>
        <w:pStyle w:val="ListParagraph"/>
        <w:numPr>
          <w:ilvl w:val="0"/>
          <w:numId w:val="16"/>
        </w:numPr>
        <w:tabs>
          <w:tab w:val="left" w:pos="567"/>
        </w:tabs>
        <w:ind w:left="0" w:firstLine="0"/>
        <w:contextualSpacing w:val="0"/>
        <w:jc w:val="both"/>
        <w:rPr>
          <w:rFonts w:ascii="Arial" w:eastAsia="SimSun" w:hAnsi="Arial" w:cs="Arial"/>
          <w:bCs/>
          <w:iCs/>
          <w:sz w:val="20"/>
          <w:szCs w:val="28"/>
        </w:rPr>
      </w:pPr>
      <w:r w:rsidRPr="00EB43D0">
        <w:rPr>
          <w:rFonts w:ascii="Arial" w:hAnsi="Arial" w:cs="Arial"/>
          <w:caps/>
          <w:sz w:val="20"/>
          <w:szCs w:val="20"/>
          <w:lang w:val="es-ES_tradnl"/>
        </w:rPr>
        <w:t>e</w:t>
      </w:r>
      <w:r>
        <w:rPr>
          <w:rFonts w:ascii="Arial" w:hAnsi="Arial" w:cs="Arial"/>
          <w:sz w:val="20"/>
          <w:szCs w:val="20"/>
          <w:lang w:val="es-ES_tradnl"/>
        </w:rPr>
        <w:t>l aumento en la dotación de</w:t>
      </w:r>
      <w:r w:rsidRPr="00EB43D0">
        <w:rPr>
          <w:rFonts w:ascii="Arial" w:hAnsi="Arial" w:cs="Arial"/>
          <w:sz w:val="20"/>
          <w:szCs w:val="20"/>
          <w:lang w:val="es-ES_tradnl"/>
        </w:rPr>
        <w:t xml:space="preserve"> recursos de este programa se debe al número creciente de miembros del  Sistema de Madrid y al </w:t>
      </w:r>
      <w:r w:rsidRPr="005D524D">
        <w:rPr>
          <w:rFonts w:ascii="Arial" w:hAnsi="Arial" w:cs="Arial"/>
          <w:sz w:val="20"/>
          <w:szCs w:val="20"/>
          <w:lang w:val="es-ES_tradnl"/>
        </w:rPr>
        <w:t>consecuente aumento previsto de la demanda de servicios y de asignaciones para potenciar la eficacia operativa del Sistema.  El aumento queda reflejado en el resultado previsto II.7.</w:t>
      </w:r>
    </w:p>
    <w:p w:rsidR="00236E18" w:rsidRPr="005D524D" w:rsidRDefault="00236E18" w:rsidP="00236E18">
      <w:pPr>
        <w:jc w:val="both"/>
        <w:rPr>
          <w:bCs/>
          <w:iCs/>
          <w:caps/>
          <w:szCs w:val="28"/>
          <w:lang w:val="en-US"/>
        </w:rPr>
      </w:pPr>
    </w:p>
    <w:p w:rsidR="00236E18" w:rsidRPr="005D524D" w:rsidRDefault="00236E18" w:rsidP="00236E18">
      <w:pPr>
        <w:jc w:val="center"/>
        <w:rPr>
          <w:b/>
          <w:bCs/>
          <w:iCs/>
          <w:sz w:val="20"/>
          <w:szCs w:val="28"/>
        </w:rPr>
      </w:pPr>
      <w:r w:rsidRPr="005D524D">
        <w:rPr>
          <w:b/>
          <w:bCs/>
          <w:iCs/>
          <w:sz w:val="20"/>
          <w:szCs w:val="28"/>
        </w:rPr>
        <w:t>Programa 6</w:t>
      </w:r>
      <w:proofErr w:type="gramStart"/>
      <w:r w:rsidRPr="005D524D">
        <w:rPr>
          <w:b/>
          <w:bCs/>
          <w:iCs/>
          <w:sz w:val="20"/>
          <w:szCs w:val="28"/>
        </w:rPr>
        <w:t>:  Recursos</w:t>
      </w:r>
      <w:proofErr w:type="gramEnd"/>
      <w:r w:rsidRPr="005D524D">
        <w:rPr>
          <w:b/>
          <w:bCs/>
          <w:iCs/>
          <w:sz w:val="20"/>
          <w:szCs w:val="28"/>
        </w:rPr>
        <w:t xml:space="preserve"> por resultado</w:t>
      </w:r>
    </w:p>
    <w:p w:rsidR="00236E18" w:rsidRPr="005D524D" w:rsidRDefault="00236E18" w:rsidP="00236E18">
      <w:pPr>
        <w:jc w:val="center"/>
        <w:rPr>
          <w:bCs/>
          <w:i/>
          <w:iCs/>
          <w:sz w:val="20"/>
          <w:szCs w:val="28"/>
        </w:rPr>
      </w:pPr>
      <w:r w:rsidRPr="005D524D">
        <w:rPr>
          <w:bCs/>
          <w:i/>
          <w:iCs/>
          <w:sz w:val="20"/>
          <w:szCs w:val="28"/>
        </w:rPr>
        <w:t>(</w:t>
      </w:r>
      <w:proofErr w:type="gramStart"/>
      <w:r w:rsidRPr="005D524D">
        <w:rPr>
          <w:bCs/>
          <w:i/>
          <w:iCs/>
          <w:sz w:val="20"/>
          <w:szCs w:val="28"/>
        </w:rPr>
        <w:t>en</w:t>
      </w:r>
      <w:proofErr w:type="gramEnd"/>
      <w:r w:rsidRPr="005D524D">
        <w:rPr>
          <w:bCs/>
          <w:i/>
          <w:iCs/>
          <w:sz w:val="20"/>
          <w:szCs w:val="28"/>
        </w:rPr>
        <w:t xml:space="preserve"> miles de francos suizos)</w:t>
      </w:r>
    </w:p>
    <w:p w:rsidR="00236E18" w:rsidRPr="00755F79" w:rsidRDefault="00236E18" w:rsidP="00236E18">
      <w:pPr>
        <w:jc w:val="center"/>
        <w:rPr>
          <w:bCs/>
          <w:i/>
          <w:iCs/>
          <w:sz w:val="20"/>
        </w:rPr>
      </w:pPr>
    </w:p>
    <w:p w:rsidR="00236E18" w:rsidRPr="00755F79" w:rsidRDefault="00236E18" w:rsidP="00236E18">
      <w:pPr>
        <w:keepNext/>
        <w:tabs>
          <w:tab w:val="left" w:pos="0"/>
        </w:tabs>
        <w:jc w:val="center"/>
        <w:rPr>
          <w:bCs/>
          <w:i/>
          <w:iCs/>
          <w:sz w:val="20"/>
        </w:rPr>
      </w:pPr>
      <w:r w:rsidRPr="00171EF4">
        <w:rPr>
          <w:noProof/>
          <w:lang w:val="en-US" w:eastAsia="en-US"/>
        </w:rPr>
        <w:drawing>
          <wp:inline distT="0" distB="0" distL="0" distR="0" wp14:anchorId="486ECE53" wp14:editId="5DEE1EF1">
            <wp:extent cx="5742305" cy="15652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42305" cy="1565275"/>
                    </a:xfrm>
                    <a:prstGeom prst="rect">
                      <a:avLst/>
                    </a:prstGeom>
                    <a:noFill/>
                    <a:ln>
                      <a:noFill/>
                    </a:ln>
                  </pic:spPr>
                </pic:pic>
              </a:graphicData>
            </a:graphic>
          </wp:inline>
        </w:drawing>
      </w:r>
    </w:p>
    <w:p w:rsidR="00236E18" w:rsidRPr="00171EF4" w:rsidRDefault="00236E18" w:rsidP="00236E18">
      <w:pPr>
        <w:jc w:val="center"/>
        <w:rPr>
          <w:bCs/>
          <w:iCs/>
          <w:sz w:val="20"/>
        </w:rPr>
      </w:pPr>
    </w:p>
    <w:p w:rsidR="00236E18" w:rsidRPr="00F9567D" w:rsidRDefault="00236E18" w:rsidP="00236E18">
      <w:pPr>
        <w:keepNext/>
        <w:jc w:val="center"/>
        <w:rPr>
          <w:b/>
          <w:bCs/>
          <w:iCs/>
          <w:sz w:val="20"/>
          <w:szCs w:val="28"/>
        </w:rPr>
      </w:pPr>
      <w:r w:rsidRPr="00F9567D">
        <w:rPr>
          <w:b/>
          <w:bCs/>
          <w:iCs/>
          <w:sz w:val="20"/>
          <w:szCs w:val="28"/>
        </w:rPr>
        <w:lastRenderedPageBreak/>
        <w:t>Programa 6</w:t>
      </w:r>
      <w:proofErr w:type="gramStart"/>
      <w:r w:rsidRPr="00F9567D">
        <w:rPr>
          <w:b/>
          <w:bCs/>
          <w:iCs/>
          <w:sz w:val="20"/>
          <w:szCs w:val="28"/>
        </w:rPr>
        <w:t>:  Recursos</w:t>
      </w:r>
      <w:proofErr w:type="gramEnd"/>
      <w:r w:rsidRPr="00F9567D">
        <w:rPr>
          <w:b/>
          <w:bCs/>
          <w:iCs/>
          <w:sz w:val="20"/>
          <w:szCs w:val="28"/>
        </w:rPr>
        <w:t xml:space="preserve"> por objeto de gasto</w:t>
      </w:r>
    </w:p>
    <w:p w:rsidR="00236E18" w:rsidRPr="00F9567D" w:rsidRDefault="00236E18" w:rsidP="00236E18">
      <w:pPr>
        <w:keepNext/>
        <w:jc w:val="center"/>
        <w:rPr>
          <w:bCs/>
          <w:i/>
          <w:iCs/>
          <w:sz w:val="20"/>
          <w:szCs w:val="28"/>
        </w:rPr>
      </w:pPr>
      <w:r w:rsidRPr="00F9567D">
        <w:rPr>
          <w:bCs/>
          <w:i/>
          <w:iCs/>
          <w:sz w:val="20"/>
          <w:szCs w:val="28"/>
        </w:rPr>
        <w:t>(</w:t>
      </w:r>
      <w:proofErr w:type="gramStart"/>
      <w:r w:rsidRPr="00F9567D">
        <w:rPr>
          <w:bCs/>
          <w:i/>
          <w:iCs/>
          <w:sz w:val="20"/>
          <w:szCs w:val="28"/>
        </w:rPr>
        <w:t>en</w:t>
      </w:r>
      <w:proofErr w:type="gramEnd"/>
      <w:r w:rsidRPr="00F9567D">
        <w:rPr>
          <w:bCs/>
          <w:i/>
          <w:iCs/>
          <w:sz w:val="20"/>
          <w:szCs w:val="28"/>
        </w:rPr>
        <w:t xml:space="preserve"> miles de francos suizos)</w:t>
      </w:r>
    </w:p>
    <w:p w:rsidR="00236E18" w:rsidRPr="00F9567D" w:rsidRDefault="00236E18" w:rsidP="00236E18">
      <w:pPr>
        <w:keepNext/>
        <w:jc w:val="center"/>
        <w:rPr>
          <w:bCs/>
          <w:i/>
          <w:iCs/>
          <w:sz w:val="20"/>
          <w:szCs w:val="28"/>
        </w:rPr>
      </w:pPr>
    </w:p>
    <w:p w:rsidR="00236E18" w:rsidRPr="00755F79" w:rsidRDefault="00236E18" w:rsidP="00236E18">
      <w:pPr>
        <w:jc w:val="center"/>
        <w:rPr>
          <w:bCs/>
          <w:iCs/>
          <w:sz w:val="20"/>
        </w:rPr>
      </w:pPr>
      <w:r>
        <w:rPr>
          <w:noProof/>
          <w:lang w:val="en-US" w:eastAsia="en-US"/>
        </w:rPr>
        <w:drawing>
          <wp:inline distT="0" distB="0" distL="0" distR="0" wp14:anchorId="1DE605E4" wp14:editId="1C7CBA65">
            <wp:extent cx="5940425" cy="6089570"/>
            <wp:effectExtent l="0" t="0" r="3175" b="6985"/>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0425" cy="6089570"/>
                    </a:xfrm>
                    <a:prstGeom prst="rect">
                      <a:avLst/>
                    </a:prstGeom>
                    <a:noFill/>
                    <a:ln>
                      <a:noFill/>
                    </a:ln>
                  </pic:spPr>
                </pic:pic>
              </a:graphicData>
            </a:graphic>
          </wp:inline>
        </w:drawing>
      </w:r>
    </w:p>
    <w:p w:rsidR="00236E18" w:rsidRPr="00755F79" w:rsidRDefault="00236E18" w:rsidP="00236E18">
      <w:pPr>
        <w:rPr>
          <w:bCs/>
          <w:iCs/>
          <w:sz w:val="20"/>
        </w:rPr>
      </w:pPr>
    </w:p>
    <w:p w:rsidR="00236E18" w:rsidRPr="00755F79" w:rsidRDefault="00236E18" w:rsidP="00236E18">
      <w:pPr>
        <w:rPr>
          <w:bCs/>
          <w:iCs/>
          <w:sz w:val="20"/>
        </w:rPr>
      </w:pPr>
    </w:p>
    <w:p w:rsidR="00236E18" w:rsidRPr="00755F79" w:rsidRDefault="00236E18" w:rsidP="00236E18">
      <w:pPr>
        <w:rPr>
          <w:bCs/>
          <w:iCs/>
          <w:sz w:val="20"/>
        </w:rPr>
      </w:pPr>
    </w:p>
    <w:p w:rsidR="00236E18" w:rsidRDefault="00236E18" w:rsidP="00236E18">
      <w:pPr>
        <w:rPr>
          <w:szCs w:val="22"/>
        </w:rPr>
      </w:pPr>
      <w:r>
        <w:rPr>
          <w:szCs w:val="22"/>
        </w:rPr>
        <w:br w:type="page"/>
      </w:r>
    </w:p>
    <w:p w:rsidR="00236E18" w:rsidRPr="007E7499" w:rsidRDefault="00236E18" w:rsidP="00236E18">
      <w:pPr>
        <w:pStyle w:val="StyleStyleHeading3ComplexItalicLatin12pt"/>
        <w:keepNext w:val="0"/>
        <w:widowControl w:val="0"/>
        <w:rPr>
          <w:lang w:val="es-ES"/>
        </w:rPr>
      </w:pPr>
      <w:bookmarkStart w:id="52" w:name="_Toc431573546"/>
      <w:bookmarkStart w:id="53" w:name="_Toc431573947"/>
      <w:r w:rsidRPr="007E7499">
        <w:rPr>
          <w:caps w:val="0"/>
          <w:lang w:val="es-ES"/>
        </w:rPr>
        <w:lastRenderedPageBreak/>
        <w:t>PROGRAMA 31</w:t>
      </w:r>
      <w:r w:rsidRPr="007E7499">
        <w:rPr>
          <w:b w:val="0"/>
          <w:caps w:val="0"/>
          <w:lang w:val="es-ES"/>
        </w:rPr>
        <w:tab/>
      </w:r>
      <w:r w:rsidRPr="007E7499">
        <w:rPr>
          <w:caps w:val="0"/>
          <w:lang w:val="es-ES"/>
        </w:rPr>
        <w:t>SISTEMA DE LA HAYA</w:t>
      </w:r>
      <w:bookmarkEnd w:id="52"/>
      <w:bookmarkEnd w:id="53"/>
    </w:p>
    <w:p w:rsidR="00236E18" w:rsidRPr="00DA4879" w:rsidRDefault="00236E18" w:rsidP="00236E18">
      <w:pPr>
        <w:widowControl w:val="0"/>
        <w:tabs>
          <w:tab w:val="left" w:pos="2268"/>
        </w:tabs>
        <w:ind w:left="2268" w:hanging="2268"/>
        <w:rPr>
          <w:sz w:val="20"/>
        </w:rPr>
      </w:pPr>
    </w:p>
    <w:p w:rsidR="00236E18" w:rsidRPr="00DA4879" w:rsidRDefault="00236E18" w:rsidP="00236E18">
      <w:pPr>
        <w:widowControl w:val="0"/>
        <w:tabs>
          <w:tab w:val="left" w:pos="2268"/>
        </w:tabs>
        <w:ind w:left="2268" w:hanging="2268"/>
        <w:rPr>
          <w:sz w:val="20"/>
        </w:rPr>
      </w:pPr>
    </w:p>
    <w:p w:rsidR="00236E18" w:rsidRPr="007E7499" w:rsidRDefault="00236E18" w:rsidP="00236E18">
      <w:pPr>
        <w:pStyle w:val="BodyTextIndent"/>
        <w:widowControl w:val="0"/>
        <w:spacing w:after="0"/>
        <w:ind w:left="1985" w:hanging="1985"/>
        <w:jc w:val="both"/>
        <w:rPr>
          <w:szCs w:val="22"/>
        </w:rPr>
      </w:pPr>
      <w:r w:rsidRPr="007E7499">
        <w:rPr>
          <w:szCs w:val="22"/>
        </w:rPr>
        <w:t>CONTEXTO DE PLANIFICACIÓN</w:t>
      </w:r>
    </w:p>
    <w:p w:rsidR="00236E18" w:rsidRPr="007E7499" w:rsidRDefault="00236E18" w:rsidP="00236E18">
      <w:pPr>
        <w:widowControl w:val="0"/>
        <w:rPr>
          <w:sz w:val="20"/>
        </w:rPr>
      </w:pPr>
    </w:p>
    <w:p w:rsidR="00236E18" w:rsidRPr="007E7499" w:rsidRDefault="00236E18" w:rsidP="00236E18">
      <w:pPr>
        <w:widowControl w:val="0"/>
        <w:numPr>
          <w:ilvl w:val="0"/>
          <w:numId w:val="17"/>
        </w:numPr>
        <w:jc w:val="both"/>
        <w:rPr>
          <w:sz w:val="20"/>
        </w:rPr>
      </w:pPr>
      <w:r w:rsidRPr="007E7499">
        <w:rPr>
          <w:sz w:val="20"/>
        </w:rPr>
        <w:t xml:space="preserve">Los esfuerzos encaminados a ampliar el alcance geográfico del Sistema de la Haya promoviendo la adhesión al Acta de Ginebra de 1999 del Arreglo de </w:t>
      </w:r>
      <w:r>
        <w:rPr>
          <w:sz w:val="20"/>
        </w:rPr>
        <w:t>La Haya</w:t>
      </w:r>
      <w:r w:rsidRPr="007E7499">
        <w:rPr>
          <w:sz w:val="20"/>
        </w:rPr>
        <w:t xml:space="preserve"> comenzaron a dar frutos durante el bienio 2014/15, con la adhesión o la espera de una pronta adhesión de ciertos países pertenecientes a algunas de las principales zonas comerciales del mundo.  Por más que sean nuevos en el Sistema de </w:t>
      </w:r>
      <w:r>
        <w:rPr>
          <w:sz w:val="20"/>
        </w:rPr>
        <w:t>La Haya</w:t>
      </w:r>
      <w:r w:rsidRPr="007E7499">
        <w:rPr>
          <w:sz w:val="20"/>
        </w:rPr>
        <w:t>, estos se encuentran entre los países en los que más solicitudes de registro de dibujos y modelos industriales se presentan y es probable que su incorporación estimule la adhesión de más países.  Por consiguiente, durante el bienio 2016/17 se espera que se produzca un aumento considerable del número de solicitudes internacionales.  Además, varias características del Acta de 1999 se elaboraron precisamente en vista de la incorporación de algunos de los países que se espera que se adhieran, en especial teniendo en cuenta los minuciosos exámenes de la novedad que llevan a cabo sus oficinas.  Estas características se encuentran entre las más complejas y todavía no se han puesto a prueba en la práctica.</w:t>
      </w:r>
    </w:p>
    <w:p w:rsidR="00236E18" w:rsidRPr="007E7499" w:rsidRDefault="00236E18" w:rsidP="00236E18">
      <w:pPr>
        <w:widowControl w:val="0"/>
        <w:jc w:val="both"/>
        <w:rPr>
          <w:sz w:val="20"/>
        </w:rPr>
      </w:pPr>
    </w:p>
    <w:p w:rsidR="00236E18" w:rsidRPr="007E7499" w:rsidRDefault="00236E18" w:rsidP="00236E18">
      <w:pPr>
        <w:widowControl w:val="0"/>
        <w:numPr>
          <w:ilvl w:val="0"/>
          <w:numId w:val="17"/>
        </w:numPr>
        <w:jc w:val="both"/>
        <w:rPr>
          <w:sz w:val="20"/>
        </w:rPr>
      </w:pPr>
      <w:r w:rsidRPr="007E7499">
        <w:rPr>
          <w:sz w:val="20"/>
        </w:rPr>
        <w:t>A la luz de lo antedicho, los desafíos para el bienio 2016/17 consistirán en hacer frente al crecimiento previsto, aplicar con éxito las características del Acta de Ginebra que aún no se han puesto en práctica y velar por que el sistema siga siendo atractivo para los usuarios.</w:t>
      </w:r>
    </w:p>
    <w:p w:rsidR="00236E18" w:rsidRPr="007E7499" w:rsidRDefault="00236E18" w:rsidP="00236E18">
      <w:pPr>
        <w:widowControl w:val="0"/>
        <w:jc w:val="both"/>
        <w:rPr>
          <w:sz w:val="20"/>
        </w:rPr>
      </w:pPr>
    </w:p>
    <w:p w:rsidR="00236E18" w:rsidRPr="007E7499" w:rsidRDefault="00236E18" w:rsidP="00236E18">
      <w:pPr>
        <w:widowControl w:val="0"/>
        <w:rPr>
          <w:sz w:val="20"/>
        </w:rPr>
      </w:pPr>
    </w:p>
    <w:p w:rsidR="00236E18" w:rsidRPr="007E7499" w:rsidRDefault="00236E18" w:rsidP="00236E18">
      <w:pPr>
        <w:widowControl w:val="0"/>
        <w:tabs>
          <w:tab w:val="left" w:pos="567"/>
          <w:tab w:val="left" w:pos="1985"/>
        </w:tabs>
        <w:jc w:val="both"/>
        <w:rPr>
          <w:bCs/>
          <w:szCs w:val="22"/>
        </w:rPr>
      </w:pPr>
      <w:r>
        <w:rPr>
          <w:bCs/>
          <w:szCs w:val="22"/>
        </w:rPr>
        <w:t>ESTRATEGIAS DE EJECUCIÓN</w:t>
      </w:r>
    </w:p>
    <w:p w:rsidR="00236E18" w:rsidRPr="007E7499" w:rsidRDefault="00236E18" w:rsidP="00236E18">
      <w:pPr>
        <w:widowControl w:val="0"/>
        <w:tabs>
          <w:tab w:val="left" w:pos="567"/>
          <w:tab w:val="left" w:pos="1985"/>
        </w:tabs>
        <w:jc w:val="both"/>
        <w:rPr>
          <w:bCs/>
          <w:sz w:val="20"/>
        </w:rPr>
      </w:pPr>
    </w:p>
    <w:p w:rsidR="00236E18" w:rsidRPr="007E7499" w:rsidRDefault="00236E18" w:rsidP="00236E18">
      <w:pPr>
        <w:widowControl w:val="0"/>
        <w:numPr>
          <w:ilvl w:val="0"/>
          <w:numId w:val="17"/>
        </w:numPr>
        <w:tabs>
          <w:tab w:val="clear" w:pos="680"/>
          <w:tab w:val="num" w:pos="709"/>
        </w:tabs>
        <w:jc w:val="both"/>
        <w:rPr>
          <w:sz w:val="20"/>
        </w:rPr>
      </w:pPr>
      <w:r w:rsidRPr="007E7499">
        <w:rPr>
          <w:sz w:val="20"/>
        </w:rPr>
        <w:t xml:space="preserve">La intención de la OMPI es que el Sistema de </w:t>
      </w:r>
      <w:r>
        <w:rPr>
          <w:sz w:val="20"/>
        </w:rPr>
        <w:t>La Haya</w:t>
      </w:r>
      <w:r w:rsidRPr="007E7499">
        <w:rPr>
          <w:sz w:val="20"/>
        </w:rPr>
        <w:t xml:space="preserve"> sea el sistema preferido para el registro de dibujos y modelos.  Para lograrlo, la OMPI aumentará la sensibilización acerca del Sistema de </w:t>
      </w:r>
      <w:r>
        <w:rPr>
          <w:sz w:val="20"/>
        </w:rPr>
        <w:t>La Haya</w:t>
      </w:r>
      <w:r w:rsidRPr="007E7499">
        <w:rPr>
          <w:sz w:val="20"/>
        </w:rPr>
        <w:t xml:space="preserve"> y promoverá una ampliación y mejora de su uso, perfeccionando al mismo tiempo la gestión, ante el aumento de la complejidad y del volumen de trabajo.</w:t>
      </w:r>
    </w:p>
    <w:p w:rsidR="00236E18" w:rsidRPr="007E7499" w:rsidRDefault="00236E18" w:rsidP="00236E18">
      <w:pPr>
        <w:widowControl w:val="0"/>
        <w:jc w:val="both"/>
        <w:rPr>
          <w:sz w:val="20"/>
        </w:rPr>
      </w:pPr>
    </w:p>
    <w:p w:rsidR="00236E18" w:rsidRPr="007E7499" w:rsidRDefault="00236E18" w:rsidP="00236E18">
      <w:pPr>
        <w:widowControl w:val="0"/>
        <w:numPr>
          <w:ilvl w:val="0"/>
          <w:numId w:val="17"/>
        </w:numPr>
        <w:jc w:val="both"/>
        <w:rPr>
          <w:sz w:val="20"/>
        </w:rPr>
      </w:pPr>
      <w:r w:rsidRPr="007E7499">
        <w:rPr>
          <w:sz w:val="20"/>
        </w:rPr>
        <w:t>Se tomarán medidas coordinadas que abordarán tres frentes: la visibilidad, el alcance geográfico y el desarrollo del sistema.</w:t>
      </w:r>
    </w:p>
    <w:p w:rsidR="00236E18" w:rsidRPr="007E7499" w:rsidRDefault="00236E18" w:rsidP="00236E18">
      <w:pPr>
        <w:widowControl w:val="0"/>
        <w:tabs>
          <w:tab w:val="left" w:pos="1134"/>
        </w:tabs>
        <w:ind w:left="709"/>
        <w:jc w:val="both"/>
        <w:rPr>
          <w:sz w:val="20"/>
        </w:rPr>
      </w:pPr>
    </w:p>
    <w:p w:rsidR="00236E18" w:rsidRPr="007E7499" w:rsidRDefault="00236E18" w:rsidP="00236E18">
      <w:pPr>
        <w:pStyle w:val="ListParagraph"/>
        <w:widowControl w:val="0"/>
        <w:numPr>
          <w:ilvl w:val="0"/>
          <w:numId w:val="18"/>
        </w:numPr>
        <w:tabs>
          <w:tab w:val="left" w:pos="1134"/>
        </w:tabs>
        <w:ind w:left="709" w:firstLine="0"/>
        <w:jc w:val="both"/>
        <w:rPr>
          <w:rFonts w:ascii="Arial" w:hAnsi="Arial" w:cs="Arial"/>
          <w:sz w:val="20"/>
          <w:lang w:val="es-ES"/>
        </w:rPr>
      </w:pPr>
      <w:r w:rsidRPr="007E7499">
        <w:rPr>
          <w:rFonts w:ascii="Arial" w:hAnsi="Arial" w:cs="Arial"/>
          <w:b/>
          <w:sz w:val="20"/>
          <w:lang w:val="es-ES"/>
        </w:rPr>
        <w:t>Visibilidad</w:t>
      </w:r>
      <w:proofErr w:type="gramStart"/>
      <w:r w:rsidRPr="007E7499">
        <w:rPr>
          <w:rFonts w:ascii="Arial" w:hAnsi="Arial" w:cs="Arial"/>
          <w:sz w:val="20"/>
          <w:lang w:val="es-ES"/>
        </w:rPr>
        <w:t xml:space="preserve">: </w:t>
      </w:r>
      <w:r>
        <w:rPr>
          <w:rFonts w:ascii="Arial" w:hAnsi="Arial" w:cs="Arial"/>
          <w:sz w:val="20"/>
          <w:lang w:val="es-ES"/>
        </w:rPr>
        <w:t xml:space="preserve"> </w:t>
      </w:r>
      <w:r w:rsidRPr="007E7499">
        <w:rPr>
          <w:rFonts w:ascii="Arial" w:hAnsi="Arial" w:cs="Arial"/>
          <w:sz w:val="20"/>
          <w:lang w:val="es-ES"/>
        </w:rPr>
        <w:t>se</w:t>
      </w:r>
      <w:proofErr w:type="gramEnd"/>
      <w:r w:rsidRPr="007E7499">
        <w:rPr>
          <w:rFonts w:ascii="Arial" w:hAnsi="Arial" w:cs="Arial"/>
          <w:sz w:val="20"/>
          <w:lang w:val="es-ES"/>
        </w:rPr>
        <w:t xml:space="preserve"> seguirá promoviendo el sistema entre los miembros actuales, entre los que aún existe un margen de mejora importante.  Asimismo, se va a comenzar a promover el sistema entre los países cuya adhesión sea inminente, a fin de fomentar su uso inmediato tras la adhesión.</w:t>
      </w:r>
    </w:p>
    <w:p w:rsidR="00236E18" w:rsidRPr="007E7499" w:rsidRDefault="00236E18" w:rsidP="00236E18">
      <w:pPr>
        <w:widowControl w:val="0"/>
        <w:tabs>
          <w:tab w:val="left" w:pos="540"/>
          <w:tab w:val="left" w:pos="1276"/>
        </w:tabs>
        <w:ind w:left="709"/>
        <w:jc w:val="both"/>
        <w:rPr>
          <w:sz w:val="20"/>
        </w:rPr>
      </w:pPr>
    </w:p>
    <w:p w:rsidR="00236E18" w:rsidRPr="007E7499" w:rsidRDefault="00236E18" w:rsidP="00236E18">
      <w:pPr>
        <w:pStyle w:val="ListParagraph"/>
        <w:widowControl w:val="0"/>
        <w:numPr>
          <w:ilvl w:val="0"/>
          <w:numId w:val="18"/>
        </w:numPr>
        <w:tabs>
          <w:tab w:val="left" w:pos="1134"/>
        </w:tabs>
        <w:ind w:left="709" w:firstLine="0"/>
        <w:jc w:val="both"/>
        <w:rPr>
          <w:rFonts w:ascii="Arial" w:hAnsi="Arial" w:cs="Arial"/>
          <w:sz w:val="20"/>
          <w:lang w:val="es-ES"/>
        </w:rPr>
      </w:pPr>
      <w:r w:rsidRPr="007E7499">
        <w:rPr>
          <w:rFonts w:ascii="Arial" w:hAnsi="Arial" w:cs="Arial"/>
          <w:b/>
          <w:sz w:val="20"/>
          <w:lang w:val="es-ES"/>
        </w:rPr>
        <w:t>Alcance geográfico</w:t>
      </w:r>
      <w:proofErr w:type="gramStart"/>
      <w:r w:rsidRPr="007E7499">
        <w:rPr>
          <w:rFonts w:ascii="Arial" w:hAnsi="Arial" w:cs="Arial"/>
          <w:sz w:val="20"/>
          <w:lang w:val="es-ES"/>
        </w:rPr>
        <w:t xml:space="preserve">: </w:t>
      </w:r>
      <w:r>
        <w:rPr>
          <w:rFonts w:ascii="Arial" w:hAnsi="Arial" w:cs="Arial"/>
          <w:sz w:val="20"/>
          <w:lang w:val="es-ES"/>
        </w:rPr>
        <w:t xml:space="preserve"> </w:t>
      </w:r>
      <w:r w:rsidRPr="007E7499">
        <w:rPr>
          <w:rFonts w:ascii="Arial" w:hAnsi="Arial" w:cs="Arial"/>
          <w:sz w:val="20"/>
          <w:lang w:val="es-ES"/>
        </w:rPr>
        <w:t>proseguirán</w:t>
      </w:r>
      <w:proofErr w:type="gramEnd"/>
      <w:r w:rsidRPr="007E7499">
        <w:rPr>
          <w:rFonts w:ascii="Arial" w:hAnsi="Arial" w:cs="Arial"/>
          <w:sz w:val="20"/>
          <w:lang w:val="es-ES"/>
        </w:rPr>
        <w:t xml:space="preserve"> las iniciativas de promoción y asistencia técnica para fomentar la expansión del Sistema de </w:t>
      </w:r>
      <w:r>
        <w:rPr>
          <w:rFonts w:ascii="Arial" w:hAnsi="Arial" w:cs="Arial"/>
          <w:sz w:val="20"/>
          <w:lang w:val="es-ES"/>
        </w:rPr>
        <w:t>La Haya</w:t>
      </w:r>
      <w:r w:rsidRPr="007E7499">
        <w:rPr>
          <w:rFonts w:ascii="Arial" w:hAnsi="Arial" w:cs="Arial"/>
          <w:sz w:val="20"/>
          <w:lang w:val="es-ES"/>
        </w:rPr>
        <w:t xml:space="preserve"> mediante nuevas adhesiones al Acta de Ginebra, en cooperación con los programas pertinentes.  Se dará prioridad a los países cuya adhesión pueda hacer que el sistema resulte más atractivo para los usuarios o que se produzcan nuevas adhesiones.</w:t>
      </w:r>
    </w:p>
    <w:p w:rsidR="00236E18" w:rsidRPr="007E7499" w:rsidRDefault="00236E18" w:rsidP="00236E18">
      <w:pPr>
        <w:widowControl w:val="0"/>
        <w:tabs>
          <w:tab w:val="left" w:pos="540"/>
          <w:tab w:val="left" w:pos="1276"/>
        </w:tabs>
        <w:ind w:left="709"/>
        <w:jc w:val="both"/>
        <w:rPr>
          <w:sz w:val="20"/>
        </w:rPr>
      </w:pPr>
    </w:p>
    <w:p w:rsidR="00236E18" w:rsidRDefault="00236E18" w:rsidP="00236E18">
      <w:pPr>
        <w:pStyle w:val="ListParagraph"/>
        <w:widowControl w:val="0"/>
        <w:numPr>
          <w:ilvl w:val="0"/>
          <w:numId w:val="18"/>
        </w:numPr>
        <w:tabs>
          <w:tab w:val="left" w:pos="1134"/>
        </w:tabs>
        <w:ind w:left="709" w:firstLine="0"/>
        <w:jc w:val="both"/>
        <w:rPr>
          <w:rFonts w:ascii="Arial" w:hAnsi="Arial" w:cs="Arial"/>
          <w:sz w:val="20"/>
          <w:lang w:val="es-ES"/>
        </w:rPr>
      </w:pPr>
      <w:r w:rsidRPr="007E7499">
        <w:rPr>
          <w:rFonts w:ascii="Arial" w:hAnsi="Arial" w:cs="Arial"/>
          <w:b/>
          <w:sz w:val="20"/>
          <w:lang w:val="es-ES"/>
        </w:rPr>
        <w:t>Desarrollo del sistema</w:t>
      </w:r>
      <w:proofErr w:type="gramStart"/>
      <w:r w:rsidRPr="007E7499">
        <w:rPr>
          <w:rFonts w:ascii="Arial" w:hAnsi="Arial" w:cs="Arial"/>
          <w:sz w:val="20"/>
          <w:lang w:val="es-ES"/>
        </w:rPr>
        <w:t xml:space="preserve">: </w:t>
      </w:r>
      <w:r>
        <w:rPr>
          <w:rFonts w:ascii="Arial" w:hAnsi="Arial" w:cs="Arial"/>
          <w:sz w:val="20"/>
          <w:lang w:val="es-ES"/>
        </w:rPr>
        <w:t xml:space="preserve"> </w:t>
      </w:r>
      <w:r w:rsidRPr="007E7499">
        <w:rPr>
          <w:rFonts w:ascii="Arial" w:hAnsi="Arial" w:cs="Arial"/>
          <w:sz w:val="20"/>
          <w:lang w:val="es-ES"/>
        </w:rPr>
        <w:t>a</w:t>
      </w:r>
      <w:proofErr w:type="gramEnd"/>
      <w:r w:rsidRPr="007E7499">
        <w:rPr>
          <w:rFonts w:ascii="Arial" w:hAnsi="Arial" w:cs="Arial"/>
          <w:sz w:val="20"/>
          <w:lang w:val="es-ES"/>
        </w:rPr>
        <w:t xml:space="preserve"> la par de la expansión del sistema será necesario perfeccionar los servicios de apoyo en materia de T.I. para lograr mayores niveles de productividad mediante un aumento de la eficiencia, y para satisfacer las expectativas de varias partes interesadas en el Sistema de </w:t>
      </w:r>
      <w:r>
        <w:rPr>
          <w:rFonts w:ascii="Arial" w:hAnsi="Arial" w:cs="Arial"/>
          <w:sz w:val="20"/>
          <w:lang w:val="es-ES"/>
        </w:rPr>
        <w:t>La Haya</w:t>
      </w:r>
      <w:r w:rsidRPr="007E7499">
        <w:rPr>
          <w:rFonts w:ascii="Arial" w:hAnsi="Arial" w:cs="Arial"/>
          <w:sz w:val="20"/>
          <w:lang w:val="es-ES"/>
        </w:rPr>
        <w:t>, sobre todo la posibilidad de interactuar en un entorno seguro con el Registro Internacional en línea, en tiempo real, de manera autónoma.  Se concederá especial atención a la prestación de mejores servicios en línea que ofrezcan los mismos servicios y prestaciones a todas las partes interesadas, independientemente de su ubicación geográfica.  Asimismo, será preciso seguir desarrollando el marco jurídico con el fin de que siga el ritmo de las necesidades de los usuarios y de los sistemas jurídicos de las nuevas Partes Contratantes.  Por último, con miras a simplificar los procedimientos, resulta fundamental que el sistema gire en torno al Acta de 1999, y con ese fin deberán proseguirse los esfuerzos destinados a cesar la aplicación del Acta de Londres de 1934.</w:t>
      </w:r>
    </w:p>
    <w:p w:rsidR="00236E18" w:rsidRDefault="00236E18" w:rsidP="00236E18">
      <w:pPr>
        <w:rPr>
          <w:sz w:val="20"/>
        </w:rPr>
      </w:pPr>
      <w:r>
        <w:rPr>
          <w:sz w:val="20"/>
        </w:rPr>
        <w:br w:type="page"/>
      </w:r>
    </w:p>
    <w:p w:rsidR="00236E18" w:rsidRDefault="00236E18" w:rsidP="00236E18">
      <w:pPr>
        <w:widowControl w:val="0"/>
        <w:tabs>
          <w:tab w:val="left" w:pos="1134"/>
        </w:tabs>
        <w:jc w:val="both"/>
        <w:rPr>
          <w:sz w:val="20"/>
        </w:rPr>
      </w:pPr>
    </w:p>
    <w:p w:rsidR="00236E18" w:rsidRPr="00171EF4" w:rsidRDefault="00236E18" w:rsidP="00236E18">
      <w:pPr>
        <w:numPr>
          <w:ilvl w:val="0"/>
          <w:numId w:val="17"/>
        </w:numPr>
        <w:jc w:val="both"/>
        <w:rPr>
          <w:sz w:val="20"/>
        </w:rPr>
      </w:pPr>
      <w:r w:rsidRPr="00171EF4">
        <w:rPr>
          <w:sz w:val="20"/>
        </w:rPr>
        <w:t xml:space="preserve">El programa 31 </w:t>
      </w:r>
      <w:r w:rsidRPr="00C37CCD">
        <w:rPr>
          <w:sz w:val="20"/>
        </w:rPr>
        <w:t>colabora</w:t>
      </w:r>
      <w:r>
        <w:rPr>
          <w:sz w:val="20"/>
        </w:rPr>
        <w:t xml:space="preserve"> principalmente con los programas siguientes</w:t>
      </w:r>
      <w:r w:rsidRPr="00171EF4">
        <w:rPr>
          <w:sz w:val="20"/>
        </w:rPr>
        <w:t xml:space="preserve">: </w:t>
      </w:r>
    </w:p>
    <w:p w:rsidR="00236E18" w:rsidRPr="006A3CA4" w:rsidRDefault="00236E18" w:rsidP="00236E18">
      <w:pPr>
        <w:widowControl w:val="0"/>
        <w:tabs>
          <w:tab w:val="left" w:pos="1134"/>
        </w:tabs>
        <w:jc w:val="both"/>
        <w:rPr>
          <w:sz w:val="20"/>
          <w:lang w:val="es-ES_tradnl"/>
        </w:rPr>
      </w:pPr>
    </w:p>
    <w:p w:rsidR="00236E18" w:rsidRPr="006A3CA4" w:rsidRDefault="00236E18" w:rsidP="00236E18">
      <w:pPr>
        <w:widowControl w:val="0"/>
        <w:jc w:val="both"/>
        <w:rPr>
          <w:sz w:val="20"/>
          <w:lang w:val="es-ES_tradnl"/>
        </w:rPr>
      </w:pPr>
      <w:r w:rsidRPr="007E7499">
        <w:rPr>
          <w:noProof/>
          <w:lang w:val="en-US" w:eastAsia="en-US"/>
        </w:rPr>
        <w:drawing>
          <wp:anchor distT="0" distB="0" distL="114300" distR="114300" simplePos="0" relativeHeight="251660288" behindDoc="0" locked="0" layoutInCell="1" allowOverlap="1" wp14:anchorId="267536F9" wp14:editId="79CAC18D">
            <wp:simplePos x="0" y="0"/>
            <wp:positionH relativeFrom="column">
              <wp:posOffset>-1905</wp:posOffset>
            </wp:positionH>
            <wp:positionV relativeFrom="paragraph">
              <wp:posOffset>292100</wp:posOffset>
            </wp:positionV>
            <wp:extent cx="5486400" cy="1657350"/>
            <wp:effectExtent l="0" t="19050" r="0" b="0"/>
            <wp:wrapTopAndBottom/>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14:sizeRelH relativeFrom="page">
              <wp14:pctWidth>0</wp14:pctWidth>
            </wp14:sizeRelH>
            <wp14:sizeRelV relativeFrom="page">
              <wp14:pctHeight>0</wp14:pctHeight>
            </wp14:sizeRelV>
          </wp:anchor>
        </w:drawing>
      </w:r>
    </w:p>
    <w:p w:rsidR="00236E18" w:rsidRPr="006A3CA4" w:rsidRDefault="00236E18" w:rsidP="00236E18">
      <w:pPr>
        <w:widowControl w:val="0"/>
        <w:jc w:val="both"/>
        <w:rPr>
          <w:lang w:val="es-ES_tradnl"/>
        </w:rPr>
      </w:pPr>
    </w:p>
    <w:p w:rsidR="00236E18" w:rsidRPr="006A3CA4" w:rsidRDefault="00236E18" w:rsidP="00236E18">
      <w:pPr>
        <w:widowControl w:val="0"/>
        <w:jc w:val="both"/>
        <w:rPr>
          <w:lang w:val="es-ES_tradnl"/>
        </w:rPr>
      </w:pPr>
    </w:p>
    <w:p w:rsidR="00236E18" w:rsidRPr="007E7499" w:rsidRDefault="00236E18" w:rsidP="00236E18">
      <w:pPr>
        <w:widowControl w:val="0"/>
        <w:jc w:val="both"/>
      </w:pPr>
      <w:r w:rsidRPr="007E7499">
        <w:t>PRINCIPALES RIESGOS Y ESTRATEGIAS DE MITIGACIÓN</w:t>
      </w:r>
    </w:p>
    <w:p w:rsidR="00236E18" w:rsidRPr="007E7499" w:rsidRDefault="00236E18" w:rsidP="00236E18">
      <w:pPr>
        <w:widowControl w:val="0"/>
        <w:jc w:val="both"/>
        <w:rPr>
          <w:sz w:val="20"/>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961"/>
      </w:tblGrid>
      <w:tr w:rsidR="00236E18" w:rsidRPr="007E7499" w:rsidTr="00294272">
        <w:trPr>
          <w:trHeight w:val="503"/>
        </w:trPr>
        <w:tc>
          <w:tcPr>
            <w:tcW w:w="4253" w:type="dxa"/>
            <w:tcBorders>
              <w:top w:val="single" w:sz="4" w:space="0" w:color="auto"/>
              <w:bottom w:val="single" w:sz="4" w:space="0" w:color="auto"/>
            </w:tcBorders>
            <w:shd w:val="clear" w:color="auto" w:fill="C6D9F1" w:themeFill="text2" w:themeFillTint="33"/>
            <w:vAlign w:val="center"/>
          </w:tcPr>
          <w:p w:rsidR="00236E18" w:rsidRPr="007E7499" w:rsidRDefault="00236E18" w:rsidP="00294272">
            <w:pPr>
              <w:widowControl w:val="0"/>
              <w:jc w:val="center"/>
              <w:rPr>
                <w:b/>
                <w:bCs/>
                <w:sz w:val="18"/>
                <w:szCs w:val="18"/>
              </w:rPr>
            </w:pPr>
            <w:r w:rsidRPr="007E7499">
              <w:rPr>
                <w:b/>
                <w:bCs/>
                <w:sz w:val="18"/>
                <w:szCs w:val="18"/>
              </w:rPr>
              <w:t>Riesgo</w:t>
            </w:r>
          </w:p>
        </w:tc>
        <w:tc>
          <w:tcPr>
            <w:tcW w:w="4961" w:type="dxa"/>
            <w:tcBorders>
              <w:top w:val="single" w:sz="4" w:space="0" w:color="auto"/>
              <w:bottom w:val="single" w:sz="4" w:space="0" w:color="auto"/>
            </w:tcBorders>
            <w:shd w:val="clear" w:color="auto" w:fill="C6D9F1" w:themeFill="text2" w:themeFillTint="33"/>
            <w:vAlign w:val="center"/>
          </w:tcPr>
          <w:p w:rsidR="00236E18" w:rsidRPr="007E7499" w:rsidRDefault="00236E18" w:rsidP="00294272">
            <w:pPr>
              <w:widowControl w:val="0"/>
              <w:jc w:val="center"/>
              <w:rPr>
                <w:b/>
                <w:bCs/>
                <w:sz w:val="18"/>
                <w:szCs w:val="18"/>
              </w:rPr>
            </w:pPr>
            <w:r w:rsidRPr="007E7499">
              <w:rPr>
                <w:b/>
                <w:bCs/>
                <w:sz w:val="18"/>
                <w:szCs w:val="18"/>
              </w:rPr>
              <w:t>Mitigación</w:t>
            </w:r>
          </w:p>
        </w:tc>
      </w:tr>
      <w:tr w:rsidR="00236E18" w:rsidRPr="007E7499" w:rsidTr="00294272">
        <w:trPr>
          <w:trHeight w:val="71"/>
        </w:trPr>
        <w:tc>
          <w:tcPr>
            <w:tcW w:w="4253"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236E18" w:rsidRPr="007E7499" w:rsidRDefault="00236E18" w:rsidP="00294272">
            <w:pPr>
              <w:widowControl w:val="0"/>
              <w:rPr>
                <w:sz w:val="16"/>
                <w:szCs w:val="16"/>
              </w:rPr>
            </w:pPr>
            <w:r w:rsidRPr="007E7499">
              <w:rPr>
                <w:sz w:val="16"/>
                <w:szCs w:val="16"/>
              </w:rPr>
              <w:t>Disminución del grado de satisfacción de los usuarios debido a las dificultades que plantea el aumento del número de solicitudes presentadas y de peticiones de información y a la creciente complejidad del sistema como consecuencia de la ejecución de funciones relativas al examen de la novedad en determinadas oficinas designadas.</w:t>
            </w:r>
          </w:p>
        </w:tc>
        <w:tc>
          <w:tcPr>
            <w:tcW w:w="4961"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236E18" w:rsidRPr="007E7499" w:rsidRDefault="00236E18" w:rsidP="00294272">
            <w:pPr>
              <w:widowControl w:val="0"/>
              <w:rPr>
                <w:sz w:val="16"/>
                <w:szCs w:val="16"/>
              </w:rPr>
            </w:pPr>
            <w:r w:rsidRPr="007E7499">
              <w:rPr>
                <w:sz w:val="16"/>
                <w:szCs w:val="16"/>
              </w:rPr>
              <w:t>Potenciación de la eficiencia y efectividad en todos los aspectos de la administración del sistema;  fomento de las prácticas más extendidas y de la convergencia entre las oficinas concernidas;  adopción de soluciones de T.I. para asistir a los usuarios y examinadores de las oficinas y de la Oficina Internacional.</w:t>
            </w:r>
          </w:p>
        </w:tc>
      </w:tr>
    </w:tbl>
    <w:p w:rsidR="00236E18" w:rsidRPr="007E7499" w:rsidRDefault="00236E18" w:rsidP="00236E18">
      <w:pPr>
        <w:widowControl w:val="0"/>
        <w:rPr>
          <w:szCs w:val="22"/>
        </w:rPr>
      </w:pPr>
    </w:p>
    <w:p w:rsidR="00236E18" w:rsidRPr="007E7499" w:rsidRDefault="00236E18" w:rsidP="00236E18">
      <w:pPr>
        <w:widowControl w:val="0"/>
        <w:rPr>
          <w:szCs w:val="22"/>
        </w:rPr>
      </w:pPr>
    </w:p>
    <w:p w:rsidR="00236E18" w:rsidRPr="007E7499" w:rsidRDefault="00236E18" w:rsidP="00236E18">
      <w:pPr>
        <w:widowControl w:val="0"/>
        <w:jc w:val="both"/>
      </w:pPr>
      <w:r w:rsidRPr="007E7499">
        <w:t>MARCO DE RESULTADOS</w:t>
      </w:r>
    </w:p>
    <w:p w:rsidR="00236E18" w:rsidRPr="007E7499" w:rsidRDefault="00236E18" w:rsidP="00236E18">
      <w:pPr>
        <w:widowControl w:val="0"/>
        <w:jc w:val="both"/>
        <w:rPr>
          <w:sz w:val="20"/>
        </w:rPr>
      </w:pPr>
    </w:p>
    <w:tbl>
      <w:tblPr>
        <w:tblW w:w="9195" w:type="dxa"/>
        <w:tblInd w:w="93" w:type="dxa"/>
        <w:tblLook w:val="04A0" w:firstRow="1" w:lastRow="0" w:firstColumn="1" w:lastColumn="0" w:noHBand="0" w:noVBand="1"/>
      </w:tblPr>
      <w:tblGrid>
        <w:gridCol w:w="2340"/>
        <w:gridCol w:w="2340"/>
        <w:gridCol w:w="2340"/>
        <w:gridCol w:w="2175"/>
      </w:tblGrid>
      <w:tr w:rsidR="00236E18" w:rsidRPr="007E7499" w:rsidTr="00294272">
        <w:trPr>
          <w:trHeight w:val="554"/>
          <w:tblHeader/>
        </w:trPr>
        <w:tc>
          <w:tcPr>
            <w:tcW w:w="2340" w:type="dxa"/>
            <w:tcBorders>
              <w:top w:val="single" w:sz="4" w:space="0" w:color="auto"/>
              <w:left w:val="single" w:sz="4" w:space="0" w:color="auto"/>
              <w:bottom w:val="single" w:sz="4" w:space="0" w:color="auto"/>
              <w:right w:val="nil"/>
            </w:tcBorders>
            <w:shd w:val="clear" w:color="auto" w:fill="C6D9F1" w:themeFill="text2" w:themeFillTint="33"/>
            <w:tcMar>
              <w:top w:w="85" w:type="dxa"/>
            </w:tcMar>
            <w:vAlign w:val="center"/>
            <w:hideMark/>
          </w:tcPr>
          <w:p w:rsidR="00236E18" w:rsidRPr="007E7499" w:rsidRDefault="00236E18" w:rsidP="00294272">
            <w:pPr>
              <w:widowControl w:val="0"/>
              <w:jc w:val="center"/>
              <w:rPr>
                <w:b/>
                <w:bCs/>
                <w:sz w:val="18"/>
                <w:szCs w:val="18"/>
              </w:rPr>
            </w:pPr>
            <w:r w:rsidRPr="007E7499">
              <w:rPr>
                <w:b/>
                <w:bCs/>
                <w:sz w:val="18"/>
                <w:szCs w:val="18"/>
              </w:rPr>
              <w:t xml:space="preserve">Resultados previstos </w:t>
            </w:r>
          </w:p>
        </w:tc>
        <w:tc>
          <w:tcPr>
            <w:tcW w:w="234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rsidR="00236E18" w:rsidRPr="007E7499" w:rsidRDefault="00236E18" w:rsidP="00294272">
            <w:pPr>
              <w:widowControl w:val="0"/>
              <w:jc w:val="center"/>
              <w:rPr>
                <w:b/>
                <w:bCs/>
                <w:sz w:val="18"/>
                <w:szCs w:val="18"/>
              </w:rPr>
            </w:pPr>
            <w:r w:rsidRPr="007E7499">
              <w:rPr>
                <w:b/>
                <w:bCs/>
                <w:sz w:val="18"/>
                <w:szCs w:val="18"/>
              </w:rPr>
              <w:t>Indicadores de rendimiento</w:t>
            </w:r>
          </w:p>
        </w:tc>
        <w:tc>
          <w:tcPr>
            <w:tcW w:w="234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rsidR="00236E18" w:rsidRPr="007E7499" w:rsidRDefault="00236E18" w:rsidP="00294272">
            <w:pPr>
              <w:widowControl w:val="0"/>
              <w:jc w:val="center"/>
              <w:rPr>
                <w:b/>
                <w:bCs/>
                <w:sz w:val="18"/>
                <w:szCs w:val="18"/>
              </w:rPr>
            </w:pPr>
            <w:r w:rsidRPr="007E7499">
              <w:rPr>
                <w:b/>
                <w:bCs/>
                <w:sz w:val="18"/>
                <w:szCs w:val="18"/>
              </w:rPr>
              <w:t>Referencia</w:t>
            </w:r>
          </w:p>
        </w:tc>
        <w:tc>
          <w:tcPr>
            <w:tcW w:w="2175" w:type="dxa"/>
            <w:tcBorders>
              <w:top w:val="single" w:sz="4" w:space="0" w:color="auto"/>
              <w:left w:val="nil"/>
              <w:bottom w:val="single" w:sz="4" w:space="0" w:color="auto"/>
              <w:right w:val="single" w:sz="4" w:space="0" w:color="auto"/>
            </w:tcBorders>
            <w:shd w:val="clear" w:color="auto" w:fill="C6D9F1" w:themeFill="text2" w:themeFillTint="33"/>
            <w:tcMar>
              <w:top w:w="85" w:type="dxa"/>
            </w:tcMar>
            <w:vAlign w:val="center"/>
            <w:hideMark/>
          </w:tcPr>
          <w:p w:rsidR="00236E18" w:rsidRPr="007E7499" w:rsidRDefault="00236E18" w:rsidP="00294272">
            <w:pPr>
              <w:widowControl w:val="0"/>
              <w:jc w:val="center"/>
              <w:rPr>
                <w:b/>
                <w:bCs/>
                <w:sz w:val="18"/>
                <w:szCs w:val="18"/>
              </w:rPr>
            </w:pPr>
            <w:r w:rsidRPr="007E7499">
              <w:rPr>
                <w:b/>
                <w:bCs/>
                <w:sz w:val="18"/>
                <w:szCs w:val="18"/>
              </w:rPr>
              <w:t>Objetivos</w:t>
            </w:r>
          </w:p>
        </w:tc>
      </w:tr>
      <w:tr w:rsidR="00236E18" w:rsidRPr="007E7499" w:rsidTr="00294272">
        <w:trPr>
          <w:trHeight w:val="644"/>
        </w:trPr>
        <w:tc>
          <w:tcPr>
            <w:tcW w:w="2340" w:type="dxa"/>
            <w:tcBorders>
              <w:top w:val="nil"/>
              <w:left w:val="single" w:sz="4" w:space="0" w:color="auto"/>
              <w:bottom w:val="nil"/>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 xml:space="preserve">II.4. </w:t>
            </w:r>
            <w:r>
              <w:rPr>
                <w:sz w:val="16"/>
                <w:szCs w:val="16"/>
              </w:rPr>
              <w:t xml:space="preserve"> </w:t>
            </w:r>
            <w:r w:rsidRPr="00DE56AC">
              <w:rPr>
                <w:sz w:val="16"/>
                <w:szCs w:val="16"/>
                <w:lang w:val="es-ES_tradnl"/>
              </w:rPr>
              <w:t>Mayor y más eficaz utilización del Sistema de La Haya, entre otros por los países en desarrollo y los PMA</w:t>
            </w:r>
          </w:p>
        </w:tc>
        <w:tc>
          <w:tcPr>
            <w:tcW w:w="2340" w:type="dxa"/>
            <w:tcBorders>
              <w:top w:val="nil"/>
              <w:left w:val="nil"/>
              <w:bottom w:val="nil"/>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Número de miembros del Acta de Ginebra (1999).</w:t>
            </w:r>
          </w:p>
        </w:tc>
        <w:tc>
          <w:tcPr>
            <w:tcW w:w="2340" w:type="dxa"/>
            <w:tcBorders>
              <w:top w:val="nil"/>
              <w:left w:val="nil"/>
              <w:bottom w:val="nil"/>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 xml:space="preserve">49 Partes Contratantes a partir del 13 de febrero de 2015. </w:t>
            </w:r>
          </w:p>
        </w:tc>
        <w:tc>
          <w:tcPr>
            <w:tcW w:w="2175" w:type="dxa"/>
            <w:tcBorders>
              <w:top w:val="nil"/>
              <w:left w:val="nil"/>
              <w:bottom w:val="nil"/>
              <w:right w:val="single" w:sz="4" w:space="0" w:color="auto"/>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60 Partes Contratantes.</w:t>
            </w:r>
          </w:p>
        </w:tc>
      </w:tr>
      <w:tr w:rsidR="00236E18" w:rsidRPr="007E7499" w:rsidTr="00294272">
        <w:trPr>
          <w:trHeight w:val="1076"/>
        </w:trPr>
        <w:tc>
          <w:tcPr>
            <w:tcW w:w="2340" w:type="dxa"/>
            <w:tcBorders>
              <w:top w:val="nil"/>
              <w:left w:val="single" w:sz="4" w:space="0" w:color="auto"/>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 </w:t>
            </w:r>
          </w:p>
        </w:tc>
        <w:tc>
          <w:tcPr>
            <w:tcW w:w="2340" w:type="dxa"/>
            <w:tcBorders>
              <w:top w:val="nil"/>
              <w:left w:val="nil"/>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 xml:space="preserve">Porcentaje de oficinas que proporcionan información a los usuarios sobre el Sistema de </w:t>
            </w:r>
            <w:r>
              <w:rPr>
                <w:sz w:val="16"/>
                <w:szCs w:val="16"/>
              </w:rPr>
              <w:t>La Haya</w:t>
            </w:r>
            <w:r w:rsidRPr="007E7499">
              <w:rPr>
                <w:sz w:val="16"/>
                <w:szCs w:val="16"/>
              </w:rPr>
              <w:t>.</w:t>
            </w:r>
          </w:p>
        </w:tc>
        <w:tc>
          <w:tcPr>
            <w:tcW w:w="2340" w:type="dxa"/>
            <w:tcBorders>
              <w:top w:val="nil"/>
              <w:left w:val="nil"/>
              <w:right w:val="nil"/>
            </w:tcBorders>
            <w:shd w:val="clear" w:color="auto" w:fill="auto"/>
            <w:tcMar>
              <w:top w:w="85" w:type="dxa"/>
            </w:tcMar>
            <w:hideMark/>
          </w:tcPr>
          <w:p w:rsidR="00236E18" w:rsidRPr="007E7499" w:rsidRDefault="00236E18" w:rsidP="00294272">
            <w:pPr>
              <w:widowControl w:val="0"/>
              <w:rPr>
                <w:sz w:val="16"/>
                <w:szCs w:val="16"/>
              </w:rPr>
            </w:pPr>
            <w:r w:rsidRPr="007E7499">
              <w:rPr>
                <w:sz w:val="16"/>
                <w:szCs w:val="16"/>
              </w:rPr>
              <w:t xml:space="preserve">38 oficinas nacionales o regionales proporcionan información adecuada sobre el Sistema de </w:t>
            </w:r>
            <w:r>
              <w:rPr>
                <w:sz w:val="16"/>
                <w:szCs w:val="16"/>
              </w:rPr>
              <w:t>La Haya</w:t>
            </w:r>
            <w:r w:rsidRPr="007E7499">
              <w:rPr>
                <w:sz w:val="16"/>
                <w:szCs w:val="16"/>
              </w:rPr>
              <w:t xml:space="preserve">.  Diez oficinas no disponen de sitio web. </w:t>
            </w:r>
          </w:p>
        </w:tc>
        <w:tc>
          <w:tcPr>
            <w:tcW w:w="2175" w:type="dxa"/>
            <w:tcBorders>
              <w:top w:val="nil"/>
              <w:left w:val="nil"/>
              <w:right w:val="single" w:sz="4" w:space="0" w:color="auto"/>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Porcentaje de oficinas que proporcionan información sobre el Sistema de La Haya.</w:t>
            </w:r>
          </w:p>
        </w:tc>
      </w:tr>
      <w:tr w:rsidR="00236E18" w:rsidRPr="007E7499" w:rsidTr="00294272">
        <w:trPr>
          <w:trHeight w:val="1913"/>
        </w:trPr>
        <w:tc>
          <w:tcPr>
            <w:tcW w:w="2340" w:type="dxa"/>
            <w:tcBorders>
              <w:top w:val="nil"/>
              <w:left w:val="single" w:sz="4" w:space="0" w:color="auto"/>
              <w:bottom w:val="single" w:sz="4" w:space="0" w:color="auto"/>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 </w:t>
            </w:r>
          </w:p>
        </w:tc>
        <w:tc>
          <w:tcPr>
            <w:tcW w:w="2340" w:type="dxa"/>
            <w:tcBorders>
              <w:top w:val="nil"/>
              <w:left w:val="nil"/>
              <w:bottom w:val="single" w:sz="4" w:space="0" w:color="auto"/>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Solicitudes de registro y renovaciones en virtud del Sistema de La Haya.</w:t>
            </w:r>
          </w:p>
        </w:tc>
        <w:tc>
          <w:tcPr>
            <w:tcW w:w="2340" w:type="dxa"/>
            <w:tcBorders>
              <w:top w:val="nil"/>
              <w:left w:val="nil"/>
              <w:bottom w:val="single" w:sz="4" w:space="0" w:color="auto"/>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 xml:space="preserve">2.924 solicitudes </w:t>
            </w:r>
          </w:p>
          <w:p w:rsidR="00236E18" w:rsidRPr="007E7499" w:rsidRDefault="00236E18" w:rsidP="00294272">
            <w:pPr>
              <w:widowControl w:val="0"/>
              <w:rPr>
                <w:sz w:val="16"/>
                <w:szCs w:val="16"/>
              </w:rPr>
            </w:pPr>
            <w:r w:rsidRPr="007E7499">
              <w:rPr>
                <w:sz w:val="16"/>
                <w:szCs w:val="16"/>
              </w:rPr>
              <w:t xml:space="preserve">14.441 dibujos y modelos contenidos </w:t>
            </w:r>
          </w:p>
          <w:p w:rsidR="00236E18" w:rsidRPr="007E7499" w:rsidRDefault="00236E18" w:rsidP="00294272">
            <w:pPr>
              <w:widowControl w:val="0"/>
              <w:rPr>
                <w:sz w:val="16"/>
                <w:szCs w:val="16"/>
              </w:rPr>
            </w:pPr>
            <w:r w:rsidRPr="007E7499">
              <w:rPr>
                <w:sz w:val="16"/>
                <w:szCs w:val="16"/>
              </w:rPr>
              <w:t xml:space="preserve">2.703 renovaciones </w:t>
            </w:r>
          </w:p>
          <w:p w:rsidR="00236E18" w:rsidRPr="007E7499" w:rsidRDefault="00236E18" w:rsidP="00294272">
            <w:pPr>
              <w:widowControl w:val="0"/>
              <w:rPr>
                <w:sz w:val="16"/>
                <w:szCs w:val="16"/>
              </w:rPr>
            </w:pPr>
            <w:r w:rsidRPr="007E7499">
              <w:rPr>
                <w:sz w:val="16"/>
                <w:szCs w:val="16"/>
              </w:rPr>
              <w:t>(2014).</w:t>
            </w:r>
          </w:p>
        </w:tc>
        <w:tc>
          <w:tcPr>
            <w:tcW w:w="2175" w:type="dxa"/>
            <w:tcBorders>
              <w:top w:val="nil"/>
              <w:left w:val="nil"/>
              <w:bottom w:val="single" w:sz="4" w:space="0" w:color="auto"/>
              <w:right w:val="single" w:sz="4" w:space="0" w:color="auto"/>
            </w:tcBorders>
            <w:shd w:val="clear" w:color="000000" w:fill="FFFFFF"/>
            <w:tcMar>
              <w:top w:w="85" w:type="dxa"/>
            </w:tcMar>
            <w:hideMark/>
          </w:tcPr>
          <w:p w:rsidR="00236E18" w:rsidRPr="007E7499" w:rsidRDefault="00236E18" w:rsidP="00294272">
            <w:pPr>
              <w:widowControl w:val="0"/>
              <w:autoSpaceDE w:val="0"/>
              <w:autoSpaceDN w:val="0"/>
              <w:adjustRightInd w:val="0"/>
              <w:rPr>
                <w:rFonts w:eastAsia="MS Mincho"/>
                <w:sz w:val="16"/>
                <w:szCs w:val="16"/>
              </w:rPr>
            </w:pPr>
            <w:r w:rsidRPr="007E7499">
              <w:rPr>
                <w:sz w:val="16"/>
                <w:szCs w:val="16"/>
                <w:u w:val="single"/>
              </w:rPr>
              <w:t>2016</w:t>
            </w:r>
            <w:r w:rsidRPr="007E7499">
              <w:rPr>
                <w:sz w:val="16"/>
                <w:szCs w:val="16"/>
              </w:rPr>
              <w:br/>
              <w:t>Solicitudes 4.940</w:t>
            </w:r>
            <w:r w:rsidRPr="007E7499">
              <w:rPr>
                <w:sz w:val="16"/>
                <w:szCs w:val="16"/>
              </w:rPr>
              <w:br/>
            </w:r>
            <w:r w:rsidRPr="007E7499">
              <w:rPr>
                <w:rFonts w:eastAsia="MS Mincho"/>
                <w:sz w:val="16"/>
                <w:szCs w:val="16"/>
              </w:rPr>
              <w:t>Dibujos y modelos</w:t>
            </w:r>
          </w:p>
          <w:p w:rsidR="00236E18" w:rsidRPr="007E7499" w:rsidRDefault="00236E18" w:rsidP="00294272">
            <w:pPr>
              <w:widowControl w:val="0"/>
              <w:rPr>
                <w:sz w:val="16"/>
                <w:szCs w:val="16"/>
              </w:rPr>
            </w:pPr>
            <w:r w:rsidRPr="007E7499">
              <w:rPr>
                <w:rFonts w:eastAsia="MS Mincho"/>
                <w:sz w:val="16"/>
                <w:szCs w:val="16"/>
              </w:rPr>
              <w:t xml:space="preserve">contenidos </w:t>
            </w:r>
            <w:r w:rsidRPr="007E7499">
              <w:rPr>
                <w:sz w:val="16"/>
                <w:szCs w:val="16"/>
              </w:rPr>
              <w:t>22.730</w:t>
            </w:r>
            <w:r w:rsidRPr="007E7499">
              <w:rPr>
                <w:sz w:val="16"/>
                <w:szCs w:val="16"/>
              </w:rPr>
              <w:br/>
              <w:t xml:space="preserve">Renovaciones  2.830  </w:t>
            </w:r>
          </w:p>
          <w:p w:rsidR="00236E18" w:rsidRPr="007E7499" w:rsidRDefault="00236E18" w:rsidP="00294272">
            <w:pPr>
              <w:widowControl w:val="0"/>
              <w:autoSpaceDE w:val="0"/>
              <w:autoSpaceDN w:val="0"/>
              <w:adjustRightInd w:val="0"/>
              <w:rPr>
                <w:rFonts w:eastAsia="MS Mincho"/>
                <w:sz w:val="16"/>
                <w:szCs w:val="16"/>
              </w:rPr>
            </w:pPr>
            <w:r>
              <w:rPr>
                <w:sz w:val="16"/>
                <w:szCs w:val="16"/>
              </w:rPr>
              <w:t>(-1,</w:t>
            </w:r>
            <w:r w:rsidRPr="007E7499">
              <w:rPr>
                <w:sz w:val="16"/>
                <w:szCs w:val="16"/>
              </w:rPr>
              <w:t>0%).</w:t>
            </w:r>
            <w:r w:rsidRPr="007E7499">
              <w:rPr>
                <w:sz w:val="16"/>
                <w:szCs w:val="16"/>
              </w:rPr>
              <w:br/>
            </w:r>
            <w:r w:rsidRPr="007E7499">
              <w:rPr>
                <w:sz w:val="16"/>
                <w:szCs w:val="16"/>
              </w:rPr>
              <w:br/>
            </w:r>
            <w:r w:rsidRPr="007E7499">
              <w:rPr>
                <w:sz w:val="16"/>
                <w:szCs w:val="16"/>
                <w:u w:val="single"/>
              </w:rPr>
              <w:t>2017</w:t>
            </w:r>
            <w:r w:rsidRPr="007E7499">
              <w:rPr>
                <w:sz w:val="16"/>
                <w:szCs w:val="16"/>
              </w:rPr>
              <w:br/>
              <w:t>Solicitudes 5.710</w:t>
            </w:r>
            <w:r w:rsidRPr="007E7499">
              <w:rPr>
                <w:sz w:val="16"/>
                <w:szCs w:val="16"/>
              </w:rPr>
              <w:br/>
            </w:r>
            <w:r w:rsidRPr="007E7499">
              <w:rPr>
                <w:rFonts w:eastAsia="MS Mincho"/>
                <w:sz w:val="16"/>
                <w:szCs w:val="16"/>
              </w:rPr>
              <w:t xml:space="preserve">Dibujos y modelos contenidos </w:t>
            </w:r>
            <w:r>
              <w:rPr>
                <w:sz w:val="16"/>
                <w:szCs w:val="16"/>
              </w:rPr>
              <w:t>26.140</w:t>
            </w:r>
            <w:r>
              <w:rPr>
                <w:sz w:val="16"/>
                <w:szCs w:val="16"/>
              </w:rPr>
              <w:br/>
              <w:t>Renovaciones  2.940 (+ </w:t>
            </w:r>
            <w:r w:rsidRPr="007E7499">
              <w:rPr>
                <w:sz w:val="16"/>
                <w:szCs w:val="16"/>
              </w:rPr>
              <w:t>3</w:t>
            </w:r>
            <w:r>
              <w:rPr>
                <w:sz w:val="16"/>
                <w:szCs w:val="16"/>
              </w:rPr>
              <w:t>,</w:t>
            </w:r>
            <w:r w:rsidRPr="007E7499">
              <w:rPr>
                <w:sz w:val="16"/>
                <w:szCs w:val="16"/>
              </w:rPr>
              <w:t>9%).</w:t>
            </w:r>
            <w:r>
              <w:rPr>
                <w:sz w:val="16"/>
                <w:szCs w:val="16"/>
              </w:rPr>
              <w:br/>
            </w:r>
          </w:p>
        </w:tc>
      </w:tr>
      <w:tr w:rsidR="00236E18" w:rsidRPr="007E7499" w:rsidTr="00294272">
        <w:trPr>
          <w:trHeight w:val="546"/>
        </w:trPr>
        <w:tc>
          <w:tcPr>
            <w:tcW w:w="2340" w:type="dxa"/>
            <w:tcBorders>
              <w:top w:val="single" w:sz="4" w:space="0" w:color="auto"/>
              <w:left w:val="single" w:sz="4" w:space="0" w:color="auto"/>
              <w:right w:val="nil"/>
            </w:tcBorders>
            <w:shd w:val="clear" w:color="000000" w:fill="FFFFFF"/>
            <w:tcMar>
              <w:top w:w="85" w:type="dxa"/>
            </w:tcMar>
            <w:hideMark/>
          </w:tcPr>
          <w:p w:rsidR="00236E18" w:rsidRPr="007E7499" w:rsidRDefault="00236E18" w:rsidP="00294272">
            <w:pPr>
              <w:keepNext/>
              <w:widowControl w:val="0"/>
              <w:rPr>
                <w:sz w:val="16"/>
                <w:szCs w:val="16"/>
              </w:rPr>
            </w:pPr>
            <w:r>
              <w:rPr>
                <w:sz w:val="16"/>
                <w:szCs w:val="16"/>
              </w:rPr>
              <w:lastRenderedPageBreak/>
              <w:t xml:space="preserve">II.5  </w:t>
            </w:r>
            <w:r w:rsidRPr="00ED369F">
              <w:rPr>
                <w:sz w:val="16"/>
                <w:szCs w:val="16"/>
                <w:lang w:val="es-ES_tradnl"/>
              </w:rPr>
              <w:t>Mejora de la productividad y de la calidad de los servicios en las operaciones del Sistema de La Haya</w:t>
            </w:r>
          </w:p>
        </w:tc>
        <w:tc>
          <w:tcPr>
            <w:tcW w:w="2340" w:type="dxa"/>
            <w:tcBorders>
              <w:top w:val="single" w:sz="4" w:space="0" w:color="auto"/>
              <w:left w:val="nil"/>
              <w:right w:val="nil"/>
            </w:tcBorders>
            <w:shd w:val="clear" w:color="000000" w:fill="FFFFFF"/>
            <w:tcMar>
              <w:top w:w="85" w:type="dxa"/>
            </w:tcMar>
            <w:hideMark/>
          </w:tcPr>
          <w:p w:rsidR="00236E18" w:rsidRPr="007E7499" w:rsidRDefault="00236E18" w:rsidP="00294272">
            <w:pPr>
              <w:keepNext/>
              <w:widowControl w:val="0"/>
              <w:rPr>
                <w:sz w:val="16"/>
                <w:szCs w:val="16"/>
              </w:rPr>
            </w:pPr>
            <w:r w:rsidRPr="007E7499">
              <w:rPr>
                <w:sz w:val="16"/>
                <w:szCs w:val="16"/>
              </w:rPr>
              <w:t>Predominio del Acta de Ginebra (1999) en el Sistema de La Haya.</w:t>
            </w:r>
          </w:p>
        </w:tc>
        <w:tc>
          <w:tcPr>
            <w:tcW w:w="2340" w:type="dxa"/>
            <w:tcBorders>
              <w:top w:val="single" w:sz="4" w:space="0" w:color="auto"/>
              <w:left w:val="nil"/>
              <w:right w:val="nil"/>
            </w:tcBorders>
            <w:shd w:val="clear" w:color="000000" w:fill="FFFFFF"/>
            <w:tcMar>
              <w:top w:w="85" w:type="dxa"/>
            </w:tcMar>
            <w:hideMark/>
          </w:tcPr>
          <w:p w:rsidR="00236E18" w:rsidRPr="007E7499" w:rsidRDefault="00236E18" w:rsidP="00294272">
            <w:pPr>
              <w:keepNext/>
              <w:widowControl w:val="0"/>
              <w:rPr>
                <w:sz w:val="16"/>
                <w:szCs w:val="16"/>
              </w:rPr>
            </w:pPr>
            <w:r w:rsidRPr="007E7499">
              <w:rPr>
                <w:sz w:val="16"/>
                <w:szCs w:val="16"/>
              </w:rPr>
              <w:t>10 comunicaciones de consentimiento para cesar la aplicación del Acta de 1934 (todavía faltan 3). 4 Partes Contratantes obligadas únicamente por el Acta de 1960 (que no son miembros de una organización intergubernamental parte en el Acta de 1999).</w:t>
            </w:r>
          </w:p>
        </w:tc>
        <w:tc>
          <w:tcPr>
            <w:tcW w:w="2175" w:type="dxa"/>
            <w:tcBorders>
              <w:top w:val="single" w:sz="4" w:space="0" w:color="auto"/>
              <w:left w:val="nil"/>
              <w:right w:val="single" w:sz="4" w:space="0" w:color="auto"/>
            </w:tcBorders>
            <w:shd w:val="clear" w:color="000000" w:fill="FFFFFF"/>
            <w:tcMar>
              <w:top w:w="85" w:type="dxa"/>
            </w:tcMar>
            <w:hideMark/>
          </w:tcPr>
          <w:p w:rsidR="00236E18" w:rsidRPr="007E7499" w:rsidRDefault="00236E18" w:rsidP="00294272">
            <w:pPr>
              <w:keepNext/>
              <w:widowControl w:val="0"/>
              <w:rPr>
                <w:sz w:val="16"/>
                <w:szCs w:val="16"/>
              </w:rPr>
            </w:pPr>
            <w:r w:rsidRPr="007E7499">
              <w:rPr>
                <w:sz w:val="16"/>
                <w:szCs w:val="16"/>
              </w:rPr>
              <w:t>Todas las (13) comunicaciones de consentimiento para cesar la aplicación recibidas.  Todas las Partes Contratantes obligadas por el Acta de 1999 (o miembros de una organización intergubernamental parte en el Acta de 1999).</w:t>
            </w:r>
          </w:p>
        </w:tc>
      </w:tr>
      <w:tr w:rsidR="00236E18" w:rsidRPr="007E7499" w:rsidTr="00294272">
        <w:trPr>
          <w:trHeight w:val="761"/>
        </w:trPr>
        <w:tc>
          <w:tcPr>
            <w:tcW w:w="2340" w:type="dxa"/>
            <w:tcBorders>
              <w:left w:val="single" w:sz="4" w:space="0" w:color="auto"/>
              <w:bottom w:val="nil"/>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 </w:t>
            </w:r>
          </w:p>
        </w:tc>
        <w:tc>
          <w:tcPr>
            <w:tcW w:w="2340" w:type="dxa"/>
            <w:tcBorders>
              <w:left w:val="nil"/>
              <w:bottom w:val="nil"/>
              <w:right w:val="nil"/>
            </w:tcBorders>
            <w:shd w:val="clear" w:color="auto" w:fill="auto"/>
            <w:tcMar>
              <w:top w:w="85" w:type="dxa"/>
            </w:tcMar>
            <w:hideMark/>
          </w:tcPr>
          <w:p w:rsidR="00236E18" w:rsidRPr="007E7499" w:rsidRDefault="00236E18" w:rsidP="00294272">
            <w:pPr>
              <w:widowControl w:val="0"/>
              <w:rPr>
                <w:sz w:val="16"/>
                <w:szCs w:val="16"/>
              </w:rPr>
            </w:pPr>
            <w:r w:rsidRPr="007E7499">
              <w:rPr>
                <w:sz w:val="16"/>
                <w:szCs w:val="16"/>
              </w:rPr>
              <w:t xml:space="preserve">Procesos y procedimientos adaptados a la evolución geográfica y jurídica del sistema. </w:t>
            </w:r>
          </w:p>
        </w:tc>
        <w:tc>
          <w:tcPr>
            <w:tcW w:w="2340" w:type="dxa"/>
            <w:tcBorders>
              <w:left w:val="nil"/>
              <w:bottom w:val="nil"/>
              <w:right w:val="nil"/>
            </w:tcBorders>
            <w:shd w:val="clear" w:color="auto" w:fill="auto"/>
            <w:tcMar>
              <w:top w:w="85" w:type="dxa"/>
            </w:tcMar>
            <w:hideMark/>
          </w:tcPr>
          <w:p w:rsidR="00236E18" w:rsidRPr="007E7499" w:rsidRDefault="00236E18" w:rsidP="00294272">
            <w:pPr>
              <w:widowControl w:val="0"/>
              <w:rPr>
                <w:sz w:val="16"/>
                <w:szCs w:val="16"/>
              </w:rPr>
            </w:pPr>
            <w:r w:rsidRPr="007E7499">
              <w:rPr>
                <w:sz w:val="16"/>
                <w:szCs w:val="16"/>
              </w:rPr>
              <w:t>Procesos y procedimientos adaptados.</w:t>
            </w:r>
          </w:p>
        </w:tc>
        <w:tc>
          <w:tcPr>
            <w:tcW w:w="2175" w:type="dxa"/>
            <w:tcBorders>
              <w:left w:val="nil"/>
              <w:bottom w:val="nil"/>
              <w:right w:val="single" w:sz="4" w:space="0" w:color="auto"/>
            </w:tcBorders>
            <w:shd w:val="clear" w:color="auto" w:fill="auto"/>
            <w:tcMar>
              <w:top w:w="85" w:type="dxa"/>
            </w:tcMar>
            <w:hideMark/>
          </w:tcPr>
          <w:p w:rsidR="00236E18" w:rsidRPr="007E7499" w:rsidRDefault="00236E18" w:rsidP="00294272">
            <w:pPr>
              <w:widowControl w:val="0"/>
              <w:rPr>
                <w:sz w:val="16"/>
                <w:szCs w:val="16"/>
              </w:rPr>
            </w:pPr>
            <w:r w:rsidRPr="007E7499">
              <w:rPr>
                <w:sz w:val="16"/>
                <w:szCs w:val="16"/>
              </w:rPr>
              <w:t>Procesos y procedimientos adaptados.</w:t>
            </w:r>
          </w:p>
        </w:tc>
      </w:tr>
      <w:tr w:rsidR="00236E18" w:rsidRPr="007E7499" w:rsidTr="00294272">
        <w:trPr>
          <w:trHeight w:val="1861"/>
        </w:trPr>
        <w:tc>
          <w:tcPr>
            <w:tcW w:w="2340" w:type="dxa"/>
            <w:tcBorders>
              <w:top w:val="nil"/>
              <w:left w:val="single" w:sz="4" w:space="0" w:color="auto"/>
              <w:bottom w:val="nil"/>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 </w:t>
            </w:r>
          </w:p>
        </w:tc>
        <w:tc>
          <w:tcPr>
            <w:tcW w:w="2340" w:type="dxa"/>
            <w:tcBorders>
              <w:top w:val="nil"/>
              <w:left w:val="nil"/>
              <w:bottom w:val="nil"/>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Avances en la mejora del marco jurídico.</w:t>
            </w:r>
          </w:p>
        </w:tc>
        <w:tc>
          <w:tcPr>
            <w:tcW w:w="2340" w:type="dxa"/>
            <w:tcBorders>
              <w:top w:val="nil"/>
              <w:left w:val="nil"/>
              <w:bottom w:val="nil"/>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 xml:space="preserve">Modificaciones en el Reglamento (en vigor el 1/1/2015) y en las Instrucciones Administrativas (en vigor el 1/7/2014) para adaptar el Sistema de </w:t>
            </w:r>
            <w:r>
              <w:rPr>
                <w:sz w:val="16"/>
                <w:szCs w:val="16"/>
              </w:rPr>
              <w:t>La Haya</w:t>
            </w:r>
            <w:r w:rsidRPr="007E7499">
              <w:rPr>
                <w:sz w:val="16"/>
                <w:szCs w:val="16"/>
              </w:rPr>
              <w:t xml:space="preserve"> a su expansión geográfica a nuevas y futuras Partes Contratantes con sistemas de examen.</w:t>
            </w:r>
          </w:p>
        </w:tc>
        <w:tc>
          <w:tcPr>
            <w:tcW w:w="2175" w:type="dxa"/>
            <w:tcBorders>
              <w:top w:val="nil"/>
              <w:left w:val="nil"/>
              <w:bottom w:val="nil"/>
              <w:right w:val="single" w:sz="4" w:space="0" w:color="auto"/>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Actualización del marco jurídico para seguir el ritmo de la evolución en el  sector de los dibujos y modelos en todo el mundo.</w:t>
            </w:r>
          </w:p>
        </w:tc>
      </w:tr>
      <w:tr w:rsidR="00236E18" w:rsidRPr="007E7499" w:rsidTr="00294272">
        <w:trPr>
          <w:trHeight w:val="824"/>
        </w:trPr>
        <w:tc>
          <w:tcPr>
            <w:tcW w:w="2340" w:type="dxa"/>
            <w:tcBorders>
              <w:top w:val="nil"/>
              <w:left w:val="single" w:sz="4" w:space="0" w:color="auto"/>
              <w:right w:val="nil"/>
            </w:tcBorders>
            <w:shd w:val="clear" w:color="000000" w:fill="FFFFFF"/>
            <w:tcMar>
              <w:top w:w="85" w:type="dxa"/>
            </w:tcMar>
          </w:tcPr>
          <w:p w:rsidR="00236E18" w:rsidRPr="007E7499" w:rsidRDefault="00236E18" w:rsidP="00294272">
            <w:pPr>
              <w:widowControl w:val="0"/>
              <w:rPr>
                <w:sz w:val="16"/>
                <w:szCs w:val="16"/>
              </w:rPr>
            </w:pPr>
          </w:p>
        </w:tc>
        <w:tc>
          <w:tcPr>
            <w:tcW w:w="2340" w:type="dxa"/>
            <w:tcBorders>
              <w:top w:val="nil"/>
              <w:left w:val="nil"/>
              <w:right w:val="nil"/>
            </w:tcBorders>
            <w:shd w:val="clear" w:color="000000" w:fill="FFFFFF"/>
            <w:tcMar>
              <w:top w:w="85" w:type="dxa"/>
            </w:tcMar>
          </w:tcPr>
          <w:p w:rsidR="00236E18" w:rsidRPr="007E7499" w:rsidRDefault="00236E18" w:rsidP="00294272">
            <w:pPr>
              <w:widowControl w:val="0"/>
              <w:rPr>
                <w:sz w:val="16"/>
                <w:szCs w:val="16"/>
              </w:rPr>
            </w:pPr>
            <w:r w:rsidRPr="007E7499">
              <w:rPr>
                <w:sz w:val="16"/>
                <w:szCs w:val="16"/>
              </w:rPr>
              <w:t xml:space="preserve">Mejora del funcionamiento del Registro de </w:t>
            </w:r>
            <w:r>
              <w:rPr>
                <w:sz w:val="16"/>
                <w:szCs w:val="16"/>
              </w:rPr>
              <w:t>La Haya</w:t>
            </w:r>
            <w:r w:rsidRPr="007E7499">
              <w:rPr>
                <w:sz w:val="16"/>
                <w:szCs w:val="16"/>
              </w:rPr>
              <w:t xml:space="preserve">, incluidos los procesos y procedimientos electrónicos. </w:t>
            </w:r>
          </w:p>
        </w:tc>
        <w:tc>
          <w:tcPr>
            <w:tcW w:w="2340" w:type="dxa"/>
            <w:tcBorders>
              <w:top w:val="nil"/>
              <w:left w:val="nil"/>
              <w:right w:val="nil"/>
            </w:tcBorders>
            <w:shd w:val="clear" w:color="000000" w:fill="FFFFFF"/>
            <w:tcMar>
              <w:top w:w="85" w:type="dxa"/>
            </w:tcMar>
          </w:tcPr>
          <w:p w:rsidR="00236E18" w:rsidRPr="007E7499" w:rsidRDefault="00236E18" w:rsidP="00294272">
            <w:pPr>
              <w:widowControl w:val="0"/>
              <w:rPr>
                <w:sz w:val="16"/>
                <w:szCs w:val="16"/>
              </w:rPr>
            </w:pPr>
            <w:r w:rsidRPr="007E7499">
              <w:rPr>
                <w:sz w:val="16"/>
                <w:szCs w:val="16"/>
              </w:rPr>
              <w:t>2 interfaces electrónicas del Sistema de la Haya.</w:t>
            </w:r>
          </w:p>
        </w:tc>
        <w:tc>
          <w:tcPr>
            <w:tcW w:w="2175" w:type="dxa"/>
            <w:tcBorders>
              <w:top w:val="nil"/>
              <w:left w:val="nil"/>
              <w:right w:val="single" w:sz="4" w:space="0" w:color="auto"/>
            </w:tcBorders>
            <w:shd w:val="clear" w:color="000000" w:fill="FFFFFF"/>
            <w:tcMar>
              <w:top w:w="85" w:type="dxa"/>
            </w:tcMar>
          </w:tcPr>
          <w:p w:rsidR="00236E18" w:rsidRPr="007E7499" w:rsidRDefault="00236E18" w:rsidP="00294272">
            <w:pPr>
              <w:widowControl w:val="0"/>
              <w:rPr>
                <w:sz w:val="16"/>
                <w:szCs w:val="16"/>
              </w:rPr>
            </w:pPr>
            <w:r w:rsidRPr="007E7499">
              <w:rPr>
                <w:sz w:val="16"/>
                <w:szCs w:val="16"/>
              </w:rPr>
              <w:t>6 interfaces electrónicas del Sistema de la Haya.</w:t>
            </w:r>
          </w:p>
        </w:tc>
      </w:tr>
      <w:tr w:rsidR="00236E18" w:rsidRPr="007E7499" w:rsidTr="00294272">
        <w:trPr>
          <w:trHeight w:val="827"/>
        </w:trPr>
        <w:tc>
          <w:tcPr>
            <w:tcW w:w="2340" w:type="dxa"/>
            <w:tcBorders>
              <w:left w:val="single" w:sz="4" w:space="0" w:color="auto"/>
              <w:bottom w:val="nil"/>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 </w:t>
            </w:r>
          </w:p>
        </w:tc>
        <w:tc>
          <w:tcPr>
            <w:tcW w:w="2340" w:type="dxa"/>
            <w:tcBorders>
              <w:left w:val="nil"/>
              <w:bottom w:val="nil"/>
              <w:right w:val="nil"/>
            </w:tcBorders>
            <w:shd w:val="clear" w:color="000000" w:fill="FFFFFF"/>
            <w:tcMar>
              <w:top w:w="85" w:type="dxa"/>
            </w:tcMar>
            <w:hideMark/>
          </w:tcPr>
          <w:p w:rsidR="00236E18" w:rsidRPr="007E7499" w:rsidRDefault="00236E18" w:rsidP="00294272">
            <w:pPr>
              <w:widowControl w:val="0"/>
              <w:rPr>
                <w:sz w:val="16"/>
                <w:szCs w:val="16"/>
              </w:rPr>
            </w:pPr>
            <w:r>
              <w:rPr>
                <w:sz w:val="16"/>
                <w:szCs w:val="16"/>
              </w:rPr>
              <w:t>Prestación estable</w:t>
            </w:r>
            <w:r w:rsidRPr="007E7499">
              <w:rPr>
                <w:sz w:val="16"/>
                <w:szCs w:val="16"/>
              </w:rPr>
              <w:t xml:space="preserve"> de las funciones auxiliares de gestión  de los servicios informáticos del Sistema de La Haya </w:t>
            </w:r>
          </w:p>
        </w:tc>
        <w:tc>
          <w:tcPr>
            <w:tcW w:w="2340" w:type="dxa"/>
            <w:tcBorders>
              <w:left w:val="nil"/>
              <w:bottom w:val="nil"/>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Servicio sin interrupciones. Mejoras logradas y puestas en marcha a tiempo.</w:t>
            </w:r>
          </w:p>
        </w:tc>
        <w:tc>
          <w:tcPr>
            <w:tcW w:w="2175" w:type="dxa"/>
            <w:tcBorders>
              <w:left w:val="nil"/>
              <w:bottom w:val="nil"/>
              <w:right w:val="single" w:sz="4" w:space="0" w:color="auto"/>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Servicio sin interrupciones. Mejoras logradas y puestas en marcha a tiempo.</w:t>
            </w:r>
          </w:p>
        </w:tc>
      </w:tr>
      <w:tr w:rsidR="00236E18" w:rsidRPr="007E7499" w:rsidTr="00294272">
        <w:trPr>
          <w:trHeight w:val="1619"/>
        </w:trPr>
        <w:tc>
          <w:tcPr>
            <w:tcW w:w="2340" w:type="dxa"/>
            <w:tcBorders>
              <w:top w:val="nil"/>
              <w:left w:val="single" w:sz="4" w:space="0" w:color="auto"/>
              <w:bottom w:val="nil"/>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 </w:t>
            </w:r>
          </w:p>
        </w:tc>
        <w:tc>
          <w:tcPr>
            <w:tcW w:w="2340" w:type="dxa"/>
            <w:tcBorders>
              <w:top w:val="nil"/>
              <w:left w:val="nil"/>
              <w:bottom w:val="nil"/>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Flexibilidad de los datos inscritos en el Registro Internacional.</w:t>
            </w:r>
          </w:p>
        </w:tc>
        <w:tc>
          <w:tcPr>
            <w:tcW w:w="2340" w:type="dxa"/>
            <w:tcBorders>
              <w:top w:val="nil"/>
              <w:left w:val="nil"/>
              <w:bottom w:val="nil"/>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 xml:space="preserve">De conformidad con las modificaciones introducidas en el marco jurídico del Sistema de </w:t>
            </w:r>
            <w:r>
              <w:rPr>
                <w:sz w:val="16"/>
                <w:szCs w:val="16"/>
              </w:rPr>
              <w:t>La Haya</w:t>
            </w:r>
            <w:r w:rsidRPr="007E7499">
              <w:rPr>
                <w:sz w:val="16"/>
                <w:szCs w:val="16"/>
              </w:rPr>
              <w:t xml:space="preserve">, mayor flexibilidad respecto de los contenidos opcionales de las solicitudes internacionales que se indican e inscriben en el Registro Internacional. </w:t>
            </w:r>
          </w:p>
        </w:tc>
        <w:tc>
          <w:tcPr>
            <w:tcW w:w="2175" w:type="dxa"/>
            <w:tcBorders>
              <w:top w:val="nil"/>
              <w:left w:val="nil"/>
              <w:bottom w:val="nil"/>
              <w:right w:val="single" w:sz="4" w:space="0" w:color="auto"/>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Flexibilidad de los datos inscritos en el Registro Internacional, y especificación posible de contenidos opcionales adicionales inscritos en el Registro Internacional.</w:t>
            </w:r>
          </w:p>
        </w:tc>
      </w:tr>
      <w:tr w:rsidR="00236E18" w:rsidRPr="007E7499" w:rsidTr="00294272">
        <w:trPr>
          <w:trHeight w:val="401"/>
        </w:trPr>
        <w:tc>
          <w:tcPr>
            <w:tcW w:w="2340" w:type="dxa"/>
            <w:tcBorders>
              <w:top w:val="nil"/>
              <w:left w:val="single" w:sz="4" w:space="0" w:color="auto"/>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 </w:t>
            </w:r>
          </w:p>
        </w:tc>
        <w:tc>
          <w:tcPr>
            <w:tcW w:w="2340" w:type="dxa"/>
            <w:tcBorders>
              <w:top w:val="nil"/>
              <w:left w:val="nil"/>
              <w:right w:val="nil"/>
            </w:tcBorders>
            <w:shd w:val="clear" w:color="auto" w:fill="auto"/>
            <w:tcMar>
              <w:top w:w="85" w:type="dxa"/>
            </w:tcMar>
            <w:hideMark/>
          </w:tcPr>
          <w:p w:rsidR="00236E18" w:rsidRPr="007E7499" w:rsidRDefault="00236E18" w:rsidP="00294272">
            <w:pPr>
              <w:widowControl w:val="0"/>
              <w:rPr>
                <w:sz w:val="16"/>
                <w:szCs w:val="16"/>
              </w:rPr>
            </w:pPr>
          </w:p>
        </w:tc>
        <w:tc>
          <w:tcPr>
            <w:tcW w:w="2340" w:type="dxa"/>
            <w:tcBorders>
              <w:top w:val="nil"/>
              <w:left w:val="nil"/>
              <w:right w:val="nil"/>
            </w:tcBorders>
            <w:shd w:val="clear" w:color="auto" w:fill="auto"/>
            <w:tcMar>
              <w:top w:w="85" w:type="dxa"/>
            </w:tcMar>
            <w:hideMark/>
          </w:tcPr>
          <w:p w:rsidR="00236E18" w:rsidRPr="007E7499" w:rsidRDefault="00236E18" w:rsidP="00294272">
            <w:pPr>
              <w:widowControl w:val="0"/>
              <w:rPr>
                <w:sz w:val="16"/>
                <w:szCs w:val="16"/>
              </w:rPr>
            </w:pPr>
            <w:r w:rsidRPr="007E7499">
              <w:rPr>
                <w:sz w:val="16"/>
                <w:szCs w:val="16"/>
              </w:rPr>
              <w:t>Incapacidad de registrar información detallada sobre los dibujos y modelos.</w:t>
            </w:r>
          </w:p>
        </w:tc>
        <w:tc>
          <w:tcPr>
            <w:tcW w:w="2175" w:type="dxa"/>
            <w:tcBorders>
              <w:top w:val="nil"/>
              <w:left w:val="nil"/>
              <w:right w:val="single" w:sz="4" w:space="0" w:color="auto"/>
            </w:tcBorders>
            <w:shd w:val="clear" w:color="auto" w:fill="auto"/>
            <w:tcMar>
              <w:top w:w="85" w:type="dxa"/>
            </w:tcMar>
            <w:hideMark/>
          </w:tcPr>
          <w:p w:rsidR="00236E18" w:rsidRPr="007E7499" w:rsidRDefault="00236E18" w:rsidP="00294272">
            <w:pPr>
              <w:widowControl w:val="0"/>
              <w:rPr>
                <w:sz w:val="16"/>
                <w:szCs w:val="16"/>
              </w:rPr>
            </w:pPr>
            <w:r w:rsidRPr="007E7499">
              <w:rPr>
                <w:sz w:val="16"/>
                <w:szCs w:val="16"/>
              </w:rPr>
              <w:t>Capacidad de registrar información detallada sobre los dibujos y modelos.</w:t>
            </w:r>
          </w:p>
        </w:tc>
      </w:tr>
      <w:tr w:rsidR="00236E18" w:rsidRPr="007E7499" w:rsidTr="00294272">
        <w:trPr>
          <w:trHeight w:val="1473"/>
        </w:trPr>
        <w:tc>
          <w:tcPr>
            <w:tcW w:w="2340" w:type="dxa"/>
            <w:tcBorders>
              <w:top w:val="nil"/>
              <w:left w:val="single" w:sz="4" w:space="0" w:color="auto"/>
              <w:bottom w:val="single" w:sz="4" w:space="0" w:color="auto"/>
              <w:right w:val="nil"/>
            </w:tcBorders>
            <w:shd w:val="clear" w:color="000000" w:fill="FFFFFF"/>
            <w:tcMar>
              <w:top w:w="85" w:type="dxa"/>
            </w:tcMar>
            <w:hideMark/>
          </w:tcPr>
          <w:p w:rsidR="00236E18" w:rsidRPr="007E7499" w:rsidRDefault="00236E18" w:rsidP="00294272">
            <w:pPr>
              <w:widowControl w:val="0"/>
              <w:rPr>
                <w:sz w:val="16"/>
                <w:szCs w:val="16"/>
              </w:rPr>
            </w:pPr>
          </w:p>
        </w:tc>
        <w:tc>
          <w:tcPr>
            <w:tcW w:w="2340" w:type="dxa"/>
            <w:tcBorders>
              <w:top w:val="nil"/>
              <w:left w:val="nil"/>
              <w:bottom w:val="single" w:sz="4" w:space="0" w:color="auto"/>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 xml:space="preserve">3 versiones instaladas de DIRIS y 3 versiones instaladas del sistema de presentación electrónica de solicitudes del Sistema de </w:t>
            </w:r>
            <w:r>
              <w:rPr>
                <w:sz w:val="16"/>
                <w:szCs w:val="16"/>
              </w:rPr>
              <w:t>La Haya</w:t>
            </w:r>
            <w:r w:rsidRPr="007E7499">
              <w:rPr>
                <w:sz w:val="16"/>
                <w:szCs w:val="16"/>
              </w:rPr>
              <w:t>.</w:t>
            </w:r>
          </w:p>
        </w:tc>
        <w:tc>
          <w:tcPr>
            <w:tcW w:w="2340" w:type="dxa"/>
            <w:tcBorders>
              <w:top w:val="nil"/>
              <w:left w:val="nil"/>
              <w:bottom w:val="single" w:sz="4" w:space="0" w:color="auto"/>
              <w:right w:val="nil"/>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DIRIS no instalado, sistema de presentación electrónica HPM en producción, la base de datos actual no refleja el nivel de detalle esperado, el sistema de presentación electrónica no admite la respuesta electrónica de cartas de irregularidad.</w:t>
            </w:r>
          </w:p>
        </w:tc>
        <w:tc>
          <w:tcPr>
            <w:tcW w:w="2175" w:type="dxa"/>
            <w:tcBorders>
              <w:top w:val="nil"/>
              <w:left w:val="nil"/>
              <w:bottom w:val="single" w:sz="4" w:space="0" w:color="auto"/>
              <w:right w:val="single" w:sz="4" w:space="0" w:color="auto"/>
            </w:tcBorders>
            <w:shd w:val="clear" w:color="000000" w:fill="FFFFFF"/>
            <w:tcMar>
              <w:top w:w="85" w:type="dxa"/>
            </w:tcMar>
            <w:hideMark/>
          </w:tcPr>
          <w:p w:rsidR="00236E18" w:rsidRPr="007E7499" w:rsidRDefault="00236E18" w:rsidP="00294272">
            <w:pPr>
              <w:widowControl w:val="0"/>
              <w:rPr>
                <w:sz w:val="16"/>
                <w:szCs w:val="16"/>
              </w:rPr>
            </w:pPr>
            <w:r w:rsidRPr="007E7499">
              <w:rPr>
                <w:sz w:val="16"/>
                <w:szCs w:val="16"/>
              </w:rPr>
              <w:t xml:space="preserve">3 nuevas versiones instaladas de DIRIS y 3 versiones actualizadas instaladas del sistema de presentación electrónica de solicitudes del Sistema de </w:t>
            </w:r>
            <w:r>
              <w:rPr>
                <w:sz w:val="16"/>
                <w:szCs w:val="16"/>
              </w:rPr>
              <w:t>La Haya</w:t>
            </w:r>
            <w:r w:rsidRPr="007E7499">
              <w:rPr>
                <w:sz w:val="16"/>
                <w:szCs w:val="16"/>
              </w:rPr>
              <w:t>, posibilidad de responder de manera electrónica a las cartas de irregularidad, y diseño revisado de una base</w:t>
            </w:r>
            <w:r>
              <w:rPr>
                <w:sz w:val="16"/>
                <w:szCs w:val="16"/>
              </w:rPr>
              <w:t xml:space="preserve"> lógica</w:t>
            </w:r>
            <w:r w:rsidRPr="007E7499">
              <w:rPr>
                <w:sz w:val="16"/>
                <w:szCs w:val="16"/>
              </w:rPr>
              <w:t xml:space="preserve"> de datos. </w:t>
            </w:r>
            <w:r>
              <w:rPr>
                <w:sz w:val="16"/>
                <w:szCs w:val="16"/>
              </w:rPr>
              <w:br/>
            </w:r>
          </w:p>
        </w:tc>
      </w:tr>
    </w:tbl>
    <w:p w:rsidR="00236E18" w:rsidRPr="007E7499" w:rsidRDefault="00236E18" w:rsidP="00236E18">
      <w:pPr>
        <w:widowControl w:val="0"/>
        <w:jc w:val="both"/>
        <w:rPr>
          <w:sz w:val="20"/>
        </w:rPr>
      </w:pPr>
    </w:p>
    <w:p w:rsidR="00236E18" w:rsidRPr="007E7499" w:rsidRDefault="00236E18" w:rsidP="00236E18">
      <w:pPr>
        <w:widowControl w:val="0"/>
        <w:jc w:val="both"/>
        <w:rPr>
          <w:sz w:val="20"/>
        </w:rPr>
      </w:pPr>
    </w:p>
    <w:p w:rsidR="00236E18" w:rsidRDefault="00236E18" w:rsidP="00236E18">
      <w:pPr>
        <w:rPr>
          <w:sz w:val="20"/>
        </w:rPr>
      </w:pPr>
      <w:r>
        <w:rPr>
          <w:sz w:val="20"/>
        </w:rPr>
        <w:br w:type="page"/>
      </w:r>
    </w:p>
    <w:p w:rsidR="00236E18" w:rsidRPr="00AC5C67" w:rsidRDefault="00236E18" w:rsidP="00236E18">
      <w:pPr>
        <w:widowControl w:val="0"/>
        <w:jc w:val="both"/>
        <w:rPr>
          <w:szCs w:val="22"/>
        </w:rPr>
      </w:pPr>
      <w:r w:rsidRPr="00AC5C67">
        <w:rPr>
          <w:szCs w:val="22"/>
        </w:rPr>
        <w:lastRenderedPageBreak/>
        <w:t>RECURSOS PARA EL PROGRAMA 31</w:t>
      </w:r>
    </w:p>
    <w:p w:rsidR="00236E18" w:rsidRPr="007E7499" w:rsidRDefault="00236E18" w:rsidP="00236E18">
      <w:pPr>
        <w:widowControl w:val="0"/>
        <w:jc w:val="both"/>
        <w:rPr>
          <w:sz w:val="20"/>
        </w:rPr>
      </w:pPr>
    </w:p>
    <w:p w:rsidR="00236E18" w:rsidRPr="00F9567D" w:rsidRDefault="00236E18" w:rsidP="00236E18">
      <w:pPr>
        <w:numPr>
          <w:ilvl w:val="0"/>
          <w:numId w:val="17"/>
        </w:numPr>
        <w:jc w:val="both"/>
        <w:rPr>
          <w:sz w:val="20"/>
        </w:rPr>
      </w:pPr>
      <w:r>
        <w:rPr>
          <w:sz w:val="20"/>
          <w:lang w:val="es-ES_tradnl"/>
        </w:rPr>
        <w:t xml:space="preserve">La dotación global </w:t>
      </w:r>
      <w:r w:rsidRPr="00EB43D0">
        <w:rPr>
          <w:sz w:val="20"/>
          <w:lang w:val="es-ES_tradnl"/>
        </w:rPr>
        <w:t xml:space="preserve">de recursos </w:t>
      </w:r>
      <w:r>
        <w:rPr>
          <w:sz w:val="20"/>
          <w:lang w:val="es-ES_tradnl"/>
        </w:rPr>
        <w:t xml:space="preserve">para el </w:t>
      </w:r>
      <w:r w:rsidRPr="00EB43D0">
        <w:rPr>
          <w:sz w:val="20"/>
          <w:lang w:val="es-ES_tradnl"/>
        </w:rPr>
        <w:t xml:space="preserve">Sistema de </w:t>
      </w:r>
      <w:r>
        <w:rPr>
          <w:sz w:val="20"/>
          <w:lang w:val="es-ES_tradnl"/>
        </w:rPr>
        <w:t>La Haya</w:t>
      </w:r>
      <w:r w:rsidRPr="00EB43D0">
        <w:rPr>
          <w:sz w:val="20"/>
          <w:lang w:val="es-ES_tradnl"/>
        </w:rPr>
        <w:t xml:space="preserve"> evidencia un ligero descenso en 2016/17 con respecto al presupuesto de 2014/</w:t>
      </w:r>
      <w:r>
        <w:rPr>
          <w:sz w:val="20"/>
          <w:lang w:val="es-ES_tradnl"/>
        </w:rPr>
        <w:t>15 tras las</w:t>
      </w:r>
      <w:r w:rsidRPr="00EB43D0">
        <w:rPr>
          <w:sz w:val="20"/>
          <w:lang w:val="es-ES_tradnl"/>
        </w:rPr>
        <w:t xml:space="preserve"> transferencias.  La disminución de los recursos de personal se debe al cambio en la metodología de cálculo del costo de los recursos de personal en 2016/17, basada en costos reales.  Los </w:t>
      </w:r>
      <w:r>
        <w:rPr>
          <w:sz w:val="20"/>
          <w:lang w:val="es-ES_tradnl"/>
        </w:rPr>
        <w:t>recursos no relativos</w:t>
      </w:r>
      <w:r w:rsidRPr="00EB43D0">
        <w:rPr>
          <w:sz w:val="20"/>
          <w:lang w:val="es-ES_tradnl"/>
        </w:rPr>
        <w:t xml:space="preserve"> a personal del programa se han reajustado en función de las pautas de gasto registradas en 2014/15.</w:t>
      </w:r>
    </w:p>
    <w:p w:rsidR="00236E18" w:rsidRPr="00DE56AC" w:rsidRDefault="00236E18" w:rsidP="00236E18">
      <w:pPr>
        <w:jc w:val="both"/>
        <w:rPr>
          <w:sz w:val="20"/>
        </w:rPr>
      </w:pPr>
    </w:p>
    <w:p w:rsidR="00236E18" w:rsidRPr="00F9567D" w:rsidRDefault="00236E18" w:rsidP="00236E18">
      <w:pPr>
        <w:jc w:val="both"/>
        <w:rPr>
          <w:sz w:val="20"/>
        </w:rPr>
      </w:pPr>
    </w:p>
    <w:p w:rsidR="00236E18" w:rsidRPr="00F9567D" w:rsidRDefault="00236E18" w:rsidP="00236E18">
      <w:pPr>
        <w:tabs>
          <w:tab w:val="left" w:pos="1427"/>
        </w:tabs>
        <w:jc w:val="center"/>
        <w:rPr>
          <w:sz w:val="20"/>
          <w:lang w:val="es-ES_tradnl"/>
        </w:rPr>
      </w:pPr>
      <w:r w:rsidRPr="00F9567D">
        <w:rPr>
          <w:b/>
          <w:sz w:val="20"/>
          <w:lang w:val="es-ES_tradnl"/>
        </w:rPr>
        <w:t>Programa 31</w:t>
      </w:r>
      <w:proofErr w:type="gramStart"/>
      <w:r w:rsidRPr="00F9567D">
        <w:rPr>
          <w:b/>
          <w:sz w:val="20"/>
          <w:lang w:val="es-ES_tradnl"/>
        </w:rPr>
        <w:t>:  Recursos</w:t>
      </w:r>
      <w:proofErr w:type="gramEnd"/>
      <w:r w:rsidRPr="00F9567D">
        <w:rPr>
          <w:b/>
          <w:sz w:val="20"/>
          <w:lang w:val="es-ES_tradnl"/>
        </w:rPr>
        <w:t xml:space="preserve"> por resultado</w:t>
      </w:r>
    </w:p>
    <w:p w:rsidR="00236E18" w:rsidRPr="00F9567D" w:rsidRDefault="00236E18" w:rsidP="00236E18">
      <w:pPr>
        <w:tabs>
          <w:tab w:val="left" w:pos="1427"/>
        </w:tabs>
        <w:jc w:val="center"/>
        <w:rPr>
          <w:i/>
          <w:sz w:val="20"/>
          <w:szCs w:val="24"/>
          <w:lang w:val="es-ES_tradnl"/>
        </w:rPr>
      </w:pPr>
      <w:r w:rsidRPr="00F9567D">
        <w:rPr>
          <w:i/>
          <w:sz w:val="20"/>
          <w:szCs w:val="24"/>
          <w:lang w:val="es-ES_tradnl"/>
        </w:rPr>
        <w:t>(</w:t>
      </w:r>
      <w:proofErr w:type="gramStart"/>
      <w:r w:rsidRPr="00F9567D">
        <w:rPr>
          <w:i/>
          <w:sz w:val="20"/>
          <w:szCs w:val="24"/>
          <w:lang w:val="es-ES_tradnl"/>
        </w:rPr>
        <w:t>en</w:t>
      </w:r>
      <w:proofErr w:type="gramEnd"/>
      <w:r w:rsidRPr="00F9567D">
        <w:rPr>
          <w:i/>
          <w:sz w:val="20"/>
          <w:szCs w:val="24"/>
          <w:lang w:val="es-ES_tradnl"/>
        </w:rPr>
        <w:t xml:space="preserve"> miles de francos suizos)</w:t>
      </w:r>
    </w:p>
    <w:p w:rsidR="00236E18" w:rsidRPr="009121C1" w:rsidRDefault="00236E18" w:rsidP="00236E18">
      <w:pPr>
        <w:tabs>
          <w:tab w:val="left" w:pos="1427"/>
        </w:tabs>
        <w:jc w:val="center"/>
        <w:rPr>
          <w:i/>
          <w:sz w:val="20"/>
          <w:szCs w:val="24"/>
          <w:highlight w:val="lightGray"/>
          <w:lang w:val="es-ES_tradnl"/>
        </w:rPr>
      </w:pPr>
    </w:p>
    <w:p w:rsidR="00236E18" w:rsidRPr="00A77E09" w:rsidRDefault="00236E18" w:rsidP="00236E18">
      <w:pPr>
        <w:tabs>
          <w:tab w:val="left" w:pos="1427"/>
        </w:tabs>
        <w:jc w:val="center"/>
        <w:rPr>
          <w:i/>
          <w:sz w:val="20"/>
          <w:szCs w:val="24"/>
          <w:highlight w:val="lightGray"/>
        </w:rPr>
      </w:pPr>
      <w:r w:rsidRPr="00DE56AC">
        <w:rPr>
          <w:noProof/>
          <w:lang w:val="en-US" w:eastAsia="en-US"/>
        </w:rPr>
        <w:drawing>
          <wp:inline distT="0" distB="0" distL="0" distR="0" wp14:anchorId="3CE72782" wp14:editId="0AE37727">
            <wp:extent cx="5676900" cy="160909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76900" cy="1609090"/>
                    </a:xfrm>
                    <a:prstGeom prst="rect">
                      <a:avLst/>
                    </a:prstGeom>
                    <a:noFill/>
                    <a:ln>
                      <a:noFill/>
                    </a:ln>
                  </pic:spPr>
                </pic:pic>
              </a:graphicData>
            </a:graphic>
          </wp:inline>
        </w:drawing>
      </w:r>
    </w:p>
    <w:p w:rsidR="00236E18" w:rsidRPr="00A77E09" w:rsidRDefault="00236E18" w:rsidP="00236E18">
      <w:pPr>
        <w:tabs>
          <w:tab w:val="left" w:pos="1427"/>
        </w:tabs>
        <w:jc w:val="center"/>
        <w:rPr>
          <w:i/>
          <w:sz w:val="20"/>
          <w:szCs w:val="24"/>
          <w:highlight w:val="lightGray"/>
        </w:rPr>
      </w:pPr>
    </w:p>
    <w:p w:rsidR="00236E18" w:rsidRPr="00A77E09" w:rsidRDefault="00236E18" w:rsidP="00236E18">
      <w:pPr>
        <w:tabs>
          <w:tab w:val="left" w:pos="1427"/>
        </w:tabs>
        <w:jc w:val="center"/>
        <w:rPr>
          <w:i/>
          <w:sz w:val="20"/>
          <w:szCs w:val="24"/>
          <w:highlight w:val="lightGray"/>
        </w:rPr>
      </w:pPr>
    </w:p>
    <w:p w:rsidR="00236E18" w:rsidRPr="00F9567D" w:rsidRDefault="00236E18" w:rsidP="00236E18">
      <w:pPr>
        <w:keepNext/>
        <w:keepLines/>
        <w:tabs>
          <w:tab w:val="left" w:pos="-2268"/>
        </w:tabs>
        <w:jc w:val="center"/>
        <w:rPr>
          <w:sz w:val="20"/>
          <w:lang w:val="es-ES_tradnl"/>
        </w:rPr>
      </w:pPr>
      <w:r w:rsidRPr="00F9567D">
        <w:rPr>
          <w:b/>
          <w:sz w:val="20"/>
          <w:lang w:val="es-ES_tradnl"/>
        </w:rPr>
        <w:lastRenderedPageBreak/>
        <w:t>Programa 31</w:t>
      </w:r>
      <w:proofErr w:type="gramStart"/>
      <w:r w:rsidRPr="00F9567D">
        <w:rPr>
          <w:b/>
          <w:sz w:val="20"/>
          <w:lang w:val="es-ES_tradnl"/>
        </w:rPr>
        <w:t>:  Recursos</w:t>
      </w:r>
      <w:proofErr w:type="gramEnd"/>
      <w:r w:rsidRPr="00F9567D">
        <w:rPr>
          <w:b/>
          <w:sz w:val="20"/>
          <w:lang w:val="es-ES_tradnl"/>
        </w:rPr>
        <w:t xml:space="preserve"> por objeto de gasto</w:t>
      </w:r>
    </w:p>
    <w:p w:rsidR="00236E18" w:rsidRPr="00F9567D" w:rsidRDefault="00236E18" w:rsidP="00236E18">
      <w:pPr>
        <w:keepNext/>
        <w:keepLines/>
        <w:tabs>
          <w:tab w:val="left" w:pos="1427"/>
        </w:tabs>
        <w:jc w:val="center"/>
        <w:rPr>
          <w:i/>
          <w:sz w:val="20"/>
          <w:szCs w:val="24"/>
          <w:highlight w:val="lightGray"/>
          <w:lang w:val="es-ES_tradnl"/>
        </w:rPr>
      </w:pPr>
      <w:r w:rsidRPr="00F9567D">
        <w:rPr>
          <w:i/>
          <w:sz w:val="20"/>
          <w:szCs w:val="24"/>
          <w:lang w:val="es-ES_tradnl"/>
        </w:rPr>
        <w:t>(</w:t>
      </w:r>
      <w:proofErr w:type="gramStart"/>
      <w:r w:rsidRPr="00F9567D">
        <w:rPr>
          <w:i/>
          <w:sz w:val="20"/>
          <w:szCs w:val="24"/>
          <w:lang w:val="es-ES_tradnl"/>
        </w:rPr>
        <w:t>en</w:t>
      </w:r>
      <w:proofErr w:type="gramEnd"/>
      <w:r w:rsidRPr="00F9567D">
        <w:rPr>
          <w:i/>
          <w:sz w:val="20"/>
          <w:szCs w:val="24"/>
          <w:lang w:val="es-ES_tradnl"/>
        </w:rPr>
        <w:t xml:space="preserve"> miles de francos suizos)</w:t>
      </w:r>
    </w:p>
    <w:p w:rsidR="00236E18" w:rsidRPr="00F9567D" w:rsidRDefault="00236E18" w:rsidP="00236E18">
      <w:pPr>
        <w:keepNext/>
        <w:keepLines/>
        <w:tabs>
          <w:tab w:val="left" w:pos="1427"/>
        </w:tabs>
        <w:jc w:val="center"/>
        <w:rPr>
          <w:i/>
          <w:sz w:val="20"/>
          <w:szCs w:val="24"/>
          <w:highlight w:val="lightGray"/>
          <w:lang w:val="es-ES_tradnl"/>
        </w:rPr>
      </w:pPr>
    </w:p>
    <w:p w:rsidR="00236E18" w:rsidRPr="003D1AF3" w:rsidRDefault="00236E18" w:rsidP="00236E18">
      <w:pPr>
        <w:keepNext/>
        <w:keepLines/>
        <w:tabs>
          <w:tab w:val="left" w:pos="1427"/>
        </w:tabs>
        <w:jc w:val="center"/>
        <w:rPr>
          <w:i/>
          <w:sz w:val="20"/>
          <w:szCs w:val="24"/>
        </w:rPr>
      </w:pPr>
      <w:r w:rsidRPr="006C3FFE">
        <w:rPr>
          <w:noProof/>
          <w:lang w:val="en-US" w:eastAsia="en-US"/>
        </w:rPr>
        <w:drawing>
          <wp:inline distT="0" distB="0" distL="0" distR="0" wp14:anchorId="53A1DC27" wp14:editId="0387AC8C">
            <wp:extent cx="5940425" cy="6032319"/>
            <wp:effectExtent l="0" t="0" r="3175" b="698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0425" cy="6032319"/>
                    </a:xfrm>
                    <a:prstGeom prst="rect">
                      <a:avLst/>
                    </a:prstGeom>
                    <a:noFill/>
                    <a:ln>
                      <a:noFill/>
                    </a:ln>
                  </pic:spPr>
                </pic:pic>
              </a:graphicData>
            </a:graphic>
          </wp:inline>
        </w:drawing>
      </w:r>
    </w:p>
    <w:p w:rsidR="00236E18" w:rsidRPr="003D1AF3" w:rsidRDefault="00236E18" w:rsidP="00236E18">
      <w:pPr>
        <w:tabs>
          <w:tab w:val="left" w:pos="1427"/>
        </w:tabs>
        <w:jc w:val="center"/>
        <w:rPr>
          <w:i/>
          <w:sz w:val="20"/>
          <w:szCs w:val="24"/>
        </w:rPr>
      </w:pPr>
    </w:p>
    <w:p w:rsidR="00236E18" w:rsidRPr="0091583C" w:rsidRDefault="00236E18" w:rsidP="00236E18">
      <w:pPr>
        <w:jc w:val="both"/>
        <w:rPr>
          <w:sz w:val="20"/>
        </w:rPr>
      </w:pPr>
    </w:p>
    <w:p w:rsidR="00236E18" w:rsidRPr="007E7499" w:rsidRDefault="00236E18" w:rsidP="00236E18">
      <w:pPr>
        <w:widowControl w:val="0"/>
        <w:jc w:val="both"/>
        <w:rPr>
          <w:sz w:val="20"/>
        </w:rPr>
      </w:pPr>
    </w:p>
    <w:p w:rsidR="00236E18" w:rsidRDefault="00236E18" w:rsidP="00236E18">
      <w:pPr>
        <w:rPr>
          <w:szCs w:val="22"/>
        </w:rPr>
      </w:pPr>
      <w:r>
        <w:rPr>
          <w:szCs w:val="22"/>
        </w:rPr>
        <w:br w:type="page"/>
      </w:r>
    </w:p>
    <w:p w:rsidR="00236E18" w:rsidRPr="00F4741E" w:rsidRDefault="00236E18" w:rsidP="00236E18">
      <w:pPr>
        <w:pStyle w:val="StyleStyleHeading3ComplexItalicLatin12pt"/>
        <w:keepNext w:val="0"/>
        <w:rPr>
          <w:lang w:val="es-ES"/>
        </w:rPr>
      </w:pPr>
      <w:bookmarkStart w:id="54" w:name="_Toc431573547"/>
      <w:bookmarkStart w:id="55" w:name="_Toc431573948"/>
      <w:r w:rsidRPr="00F4741E">
        <w:rPr>
          <w:lang w:val="es-ES"/>
        </w:rPr>
        <w:lastRenderedPageBreak/>
        <w:t xml:space="preserve">PROGRAMA </w:t>
      </w:r>
      <w:r>
        <w:rPr>
          <w:lang w:val="es-ES"/>
        </w:rPr>
        <w:t>32</w:t>
      </w:r>
      <w:r w:rsidRPr="00F4741E">
        <w:rPr>
          <w:lang w:val="es-ES"/>
        </w:rPr>
        <w:tab/>
      </w:r>
      <w:r>
        <w:rPr>
          <w:lang w:val="es-ES"/>
        </w:rPr>
        <w:t>SISTEMA DE LISBOA</w:t>
      </w:r>
      <w:bookmarkEnd w:id="54"/>
      <w:bookmarkEnd w:id="55"/>
    </w:p>
    <w:p w:rsidR="00236E18" w:rsidRPr="00041B7B" w:rsidRDefault="00236E18" w:rsidP="00236E18"/>
    <w:p w:rsidR="00236E18" w:rsidRPr="00041B7B" w:rsidRDefault="00236E18" w:rsidP="00236E18">
      <w:pPr>
        <w:rPr>
          <w:sz w:val="20"/>
        </w:rPr>
      </w:pPr>
    </w:p>
    <w:p w:rsidR="00236E18" w:rsidRPr="00B4623A" w:rsidRDefault="00236E18" w:rsidP="00236E18">
      <w:pPr>
        <w:rPr>
          <w:lang w:bidi="es-ES"/>
        </w:rPr>
      </w:pPr>
      <w:r w:rsidRPr="00B4623A">
        <w:rPr>
          <w:lang w:bidi="es-ES"/>
        </w:rPr>
        <w:t>CONTEXTO DE PLANIFICACIÓN</w:t>
      </w:r>
    </w:p>
    <w:p w:rsidR="00236E18" w:rsidRPr="00B4623A" w:rsidRDefault="00236E18" w:rsidP="00236E18">
      <w:pPr>
        <w:rPr>
          <w:lang w:bidi="es-ES"/>
        </w:rPr>
      </w:pPr>
    </w:p>
    <w:p w:rsidR="00236E18" w:rsidRPr="00B4623A" w:rsidRDefault="00236E18" w:rsidP="00236E18">
      <w:pPr>
        <w:widowControl w:val="0"/>
        <w:numPr>
          <w:ilvl w:val="0"/>
          <w:numId w:val="77"/>
        </w:numPr>
        <w:jc w:val="both"/>
        <w:rPr>
          <w:sz w:val="20"/>
        </w:rPr>
      </w:pPr>
      <w:r w:rsidRPr="00B4623A">
        <w:rPr>
          <w:sz w:val="20"/>
        </w:rPr>
        <w:t>En lo que respecta al Sistema de Lisboa, la prioridad recaerá en administrar de forma eficaz el Registro Internacional de Denominaciones de Origen, así como los preparativos para la posible entrada en vigor de la propuesta del Acta de Ginebra del Arreglo de Lisboa relativo a las Denominaciones de Origen y las Indicaciones Geográficas (“el Acta de Ginebra”).</w:t>
      </w:r>
    </w:p>
    <w:p w:rsidR="00236E18" w:rsidRPr="00B4623A" w:rsidRDefault="00236E18" w:rsidP="00236E18">
      <w:pPr>
        <w:rPr>
          <w:lang w:bidi="es-ES"/>
        </w:rPr>
      </w:pPr>
    </w:p>
    <w:p w:rsidR="00236E18" w:rsidRPr="00B4623A" w:rsidRDefault="00236E18" w:rsidP="00236E18">
      <w:pPr>
        <w:rPr>
          <w:lang w:bidi="es-ES"/>
        </w:rPr>
      </w:pPr>
    </w:p>
    <w:p w:rsidR="00236E18" w:rsidRPr="00B4623A" w:rsidRDefault="00236E18" w:rsidP="00236E18">
      <w:pPr>
        <w:rPr>
          <w:lang w:bidi="es-ES"/>
        </w:rPr>
      </w:pPr>
      <w:r w:rsidRPr="00B4623A">
        <w:rPr>
          <w:lang w:bidi="es-ES"/>
        </w:rPr>
        <w:t>ESTRATEGIAS DE EJECUCIÓN</w:t>
      </w:r>
    </w:p>
    <w:p w:rsidR="00236E18" w:rsidRPr="00B4623A" w:rsidRDefault="00236E18" w:rsidP="00236E18">
      <w:pPr>
        <w:rPr>
          <w:lang w:bidi="es-ES"/>
        </w:rPr>
      </w:pPr>
    </w:p>
    <w:p w:rsidR="00236E18" w:rsidRPr="00B4623A" w:rsidRDefault="00236E18" w:rsidP="00236E18">
      <w:pPr>
        <w:widowControl w:val="0"/>
        <w:numPr>
          <w:ilvl w:val="0"/>
          <w:numId w:val="77"/>
        </w:numPr>
        <w:jc w:val="both"/>
        <w:rPr>
          <w:sz w:val="20"/>
        </w:rPr>
      </w:pPr>
      <w:r w:rsidRPr="00B4623A">
        <w:rPr>
          <w:sz w:val="20"/>
        </w:rPr>
        <w:t xml:space="preserve">Se espera que el Acta de Ginebra prepare el terreno para un considerable aumento </w:t>
      </w:r>
      <w:r>
        <w:rPr>
          <w:sz w:val="20"/>
        </w:rPr>
        <w:t>en el número de</w:t>
      </w:r>
      <w:r w:rsidRPr="00B4623A">
        <w:rPr>
          <w:sz w:val="20"/>
        </w:rPr>
        <w:t xml:space="preserve"> miembros de la Unión de Lisboa.  Aun cuando es difícil prever el índice de adhesión, es posible que el Acta de Ginebra entre ya en vigor en el transcurso del bienio o poco después.  Por consiguiente, habida cuenta de que el Acta de Ginebra coexistirá con el Arreglo de Lisboa vigente hasta que todos los Estados parte en el Arreglo de Lisboa vigente se hayan adherido al Acta de Ginebra, es menester prepararse para la adopción de un reglamento común para ambos instrumentos.</w:t>
      </w:r>
    </w:p>
    <w:p w:rsidR="00236E18" w:rsidRPr="00B4623A" w:rsidRDefault="00236E18" w:rsidP="00236E18">
      <w:pPr>
        <w:widowControl w:val="0"/>
        <w:tabs>
          <w:tab w:val="left" w:pos="567"/>
        </w:tabs>
        <w:jc w:val="both"/>
        <w:rPr>
          <w:sz w:val="20"/>
        </w:rPr>
      </w:pPr>
    </w:p>
    <w:p w:rsidR="00236E18" w:rsidRPr="00B4623A" w:rsidRDefault="00236E18" w:rsidP="00236E18">
      <w:pPr>
        <w:widowControl w:val="0"/>
        <w:numPr>
          <w:ilvl w:val="0"/>
          <w:numId w:val="77"/>
        </w:numPr>
        <w:jc w:val="both"/>
        <w:rPr>
          <w:sz w:val="20"/>
        </w:rPr>
      </w:pPr>
      <w:r w:rsidRPr="00B4623A">
        <w:rPr>
          <w:sz w:val="20"/>
        </w:rPr>
        <w:t>La preparación del futuro reglamento común será una oportunidad también para pasar revista a fondo los procedimientos administrativos vigentes y para consolidar la notificación y la publicación electrónicas a los fines de maximizar la eficacia.</w:t>
      </w:r>
    </w:p>
    <w:p w:rsidR="00236E18" w:rsidRPr="00B4623A" w:rsidRDefault="00236E18" w:rsidP="00236E18">
      <w:pPr>
        <w:widowControl w:val="0"/>
        <w:tabs>
          <w:tab w:val="left" w:pos="567"/>
        </w:tabs>
        <w:jc w:val="both"/>
        <w:rPr>
          <w:sz w:val="20"/>
        </w:rPr>
      </w:pPr>
    </w:p>
    <w:p w:rsidR="00236E18" w:rsidRPr="00B4623A" w:rsidRDefault="00236E18" w:rsidP="00236E18">
      <w:pPr>
        <w:widowControl w:val="0"/>
        <w:numPr>
          <w:ilvl w:val="0"/>
          <w:numId w:val="77"/>
        </w:numPr>
        <w:jc w:val="both"/>
        <w:rPr>
          <w:sz w:val="20"/>
        </w:rPr>
      </w:pPr>
      <w:r w:rsidRPr="00B4623A">
        <w:rPr>
          <w:sz w:val="20"/>
        </w:rPr>
        <w:t>Además, se prestará asistencia técnica a los Estados miembros y organizaciones regionales correspondientes, en particular, a los países en desarrollo y los PMA, interesados en adherirse al Sistema de Lisboa.  En este contexto cabe también señalar que se llevarán a cabo actividades de sensibilización y actividades de formación adicionales para fomentar todavía más el uso del Sistema.</w:t>
      </w:r>
    </w:p>
    <w:p w:rsidR="00236E18" w:rsidRPr="00B4623A" w:rsidRDefault="00236E18" w:rsidP="00236E18">
      <w:pPr>
        <w:widowControl w:val="0"/>
        <w:jc w:val="both"/>
        <w:rPr>
          <w:sz w:val="20"/>
        </w:rPr>
      </w:pPr>
    </w:p>
    <w:p w:rsidR="00236E18" w:rsidRPr="00B4623A" w:rsidRDefault="00236E18" w:rsidP="00236E18">
      <w:pPr>
        <w:widowControl w:val="0"/>
        <w:numPr>
          <w:ilvl w:val="0"/>
          <w:numId w:val="77"/>
        </w:numPr>
        <w:jc w:val="both"/>
        <w:rPr>
          <w:sz w:val="20"/>
        </w:rPr>
      </w:pPr>
      <w:r w:rsidRPr="00B4623A">
        <w:rPr>
          <w:sz w:val="20"/>
        </w:rPr>
        <w:t>El número medio de solicitudes internacionales y otras peticiones de inscripción en el Registro Internacional en virtud del Sistema de Lisboa, desde</w:t>
      </w:r>
      <w:r>
        <w:rPr>
          <w:sz w:val="20"/>
        </w:rPr>
        <w:t xml:space="preserve"> </w:t>
      </w:r>
      <w:r w:rsidRPr="00B4623A">
        <w:rPr>
          <w:sz w:val="20"/>
        </w:rPr>
        <w:t>1967, ha sido de aproximadament</w:t>
      </w:r>
      <w:r>
        <w:rPr>
          <w:sz w:val="20"/>
        </w:rPr>
        <w:t xml:space="preserve">e </w:t>
      </w:r>
      <w:r w:rsidRPr="00B4623A">
        <w:rPr>
          <w:sz w:val="20"/>
        </w:rPr>
        <w:t>25 transacciones de esa índole por año, aunque con grandes fluctuaciones entre años (por ejemplo, en 2009 se efectuaron siete transacciones y, en 2007, 596).  El número de transacciones aumentó de forma considerable en 2014 (121) y se prevé que en 2015 sea también superior al promedio.  Habida cuenta de la posible entrada en vigor del Acta de Ginebra y de las adhesiones, se estima que en los años venideros continuarán aumentando las actividades de registro.</w:t>
      </w:r>
    </w:p>
    <w:p w:rsidR="00236E18" w:rsidRPr="00B4623A" w:rsidRDefault="00236E18" w:rsidP="00236E18">
      <w:pPr>
        <w:widowControl w:val="0"/>
        <w:jc w:val="both"/>
        <w:rPr>
          <w:sz w:val="20"/>
        </w:rPr>
      </w:pPr>
    </w:p>
    <w:p w:rsidR="00236E18" w:rsidRPr="00B4623A" w:rsidRDefault="00236E18" w:rsidP="00236E18">
      <w:pPr>
        <w:widowControl w:val="0"/>
        <w:numPr>
          <w:ilvl w:val="0"/>
          <w:numId w:val="77"/>
        </w:numPr>
        <w:jc w:val="both"/>
        <w:rPr>
          <w:sz w:val="20"/>
        </w:rPr>
      </w:pPr>
      <w:r w:rsidRPr="00B4623A">
        <w:rPr>
          <w:sz w:val="20"/>
        </w:rPr>
        <w:t xml:space="preserve">El </w:t>
      </w:r>
      <w:r>
        <w:rPr>
          <w:sz w:val="20"/>
        </w:rPr>
        <w:t>programa 32</w:t>
      </w:r>
      <w:r w:rsidRPr="00B4623A">
        <w:rPr>
          <w:sz w:val="20"/>
        </w:rPr>
        <w:t xml:space="preserve"> colabora principalmente con los programas siguientes: </w:t>
      </w:r>
    </w:p>
    <w:p w:rsidR="00236E18" w:rsidRPr="00EB3DE6" w:rsidRDefault="00236E18" w:rsidP="00236E18">
      <w:pPr>
        <w:rPr>
          <w:lang w:bidi="es-ES"/>
        </w:rPr>
      </w:pPr>
    </w:p>
    <w:p w:rsidR="00236E18" w:rsidRPr="00EB3DE6" w:rsidRDefault="00236E18" w:rsidP="00236E18">
      <w:pPr>
        <w:rPr>
          <w:lang w:bidi="es-ES"/>
        </w:rPr>
      </w:pPr>
    </w:p>
    <w:p w:rsidR="00236E18" w:rsidRPr="00B4623A" w:rsidRDefault="00236E18" w:rsidP="00236E18">
      <w:pPr>
        <w:rPr>
          <w:lang w:bidi="es-ES"/>
        </w:rPr>
      </w:pPr>
      <w:r w:rsidRPr="00B4623A">
        <w:rPr>
          <w:noProof/>
          <w:lang w:val="en-US" w:eastAsia="en-US"/>
        </w:rPr>
        <w:drawing>
          <wp:inline distT="0" distB="0" distL="0" distR="0" wp14:anchorId="074818D8" wp14:editId="73EDBF4D">
            <wp:extent cx="5762445" cy="1518249"/>
            <wp:effectExtent l="57150" t="0" r="48260" b="82550"/>
            <wp:docPr id="73" name="Diagram 7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rsidR="00236E18" w:rsidRPr="00B4623A" w:rsidRDefault="00236E18" w:rsidP="00236E18">
      <w:pPr>
        <w:rPr>
          <w:lang w:bidi="es-ES"/>
        </w:rPr>
      </w:pPr>
    </w:p>
    <w:p w:rsidR="00236E18" w:rsidRPr="00B4623A" w:rsidRDefault="00236E18" w:rsidP="00236E18">
      <w:pPr>
        <w:rPr>
          <w:lang w:bidi="es-ES"/>
        </w:rPr>
      </w:pPr>
      <w:r w:rsidRPr="00B4623A">
        <w:rPr>
          <w:lang w:bidi="es-ES"/>
        </w:rPr>
        <w:br w:type="page"/>
      </w:r>
    </w:p>
    <w:p w:rsidR="00236E18" w:rsidRPr="00B4623A" w:rsidRDefault="00236E18" w:rsidP="00236E18">
      <w:pPr>
        <w:rPr>
          <w:lang w:bidi="es-ES"/>
        </w:rPr>
      </w:pPr>
      <w:r w:rsidRPr="00B4623A">
        <w:rPr>
          <w:lang w:bidi="es-ES"/>
        </w:rPr>
        <w:lastRenderedPageBreak/>
        <w:t>MARCO DE RESULTADOS</w:t>
      </w:r>
    </w:p>
    <w:p w:rsidR="00236E18" w:rsidRPr="00B4623A" w:rsidRDefault="00236E18" w:rsidP="00236E18">
      <w:pPr>
        <w:rPr>
          <w:lang w:bidi="es-ES"/>
        </w:rPr>
      </w:pPr>
    </w:p>
    <w:tbl>
      <w:tblPr>
        <w:tblW w:w="9371" w:type="dxa"/>
        <w:tblInd w:w="93" w:type="dxa"/>
        <w:tblLook w:val="04A0" w:firstRow="1" w:lastRow="0" w:firstColumn="1" w:lastColumn="0" w:noHBand="0" w:noVBand="1"/>
      </w:tblPr>
      <w:tblGrid>
        <w:gridCol w:w="2060"/>
        <w:gridCol w:w="2500"/>
        <w:gridCol w:w="2620"/>
        <w:gridCol w:w="2191"/>
      </w:tblGrid>
      <w:tr w:rsidR="00236E18" w:rsidRPr="00B4623A" w:rsidTr="00294272">
        <w:trPr>
          <w:trHeight w:val="518"/>
          <w:tblHeader/>
        </w:trPr>
        <w:tc>
          <w:tcPr>
            <w:tcW w:w="2060"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rsidR="00236E18" w:rsidRPr="00EB3DE6" w:rsidRDefault="00236E18" w:rsidP="00294272">
            <w:pPr>
              <w:rPr>
                <w:b/>
                <w:bCs/>
                <w:sz w:val="18"/>
                <w:szCs w:val="18"/>
                <w:lang w:bidi="es-ES"/>
              </w:rPr>
            </w:pPr>
            <w:r w:rsidRPr="00EB3DE6">
              <w:rPr>
                <w:b/>
                <w:bCs/>
                <w:sz w:val="18"/>
                <w:szCs w:val="18"/>
                <w:lang w:bidi="es-ES"/>
              </w:rPr>
              <w:t>Resultados previstos</w:t>
            </w:r>
          </w:p>
        </w:tc>
        <w:tc>
          <w:tcPr>
            <w:tcW w:w="2500" w:type="dxa"/>
            <w:tcBorders>
              <w:top w:val="single" w:sz="4" w:space="0" w:color="auto"/>
              <w:left w:val="nil"/>
              <w:bottom w:val="single" w:sz="4" w:space="0" w:color="auto"/>
              <w:right w:val="nil"/>
            </w:tcBorders>
            <w:shd w:val="clear" w:color="auto" w:fill="C6D9F1" w:themeFill="text2" w:themeFillTint="33"/>
            <w:vAlign w:val="center"/>
            <w:hideMark/>
          </w:tcPr>
          <w:p w:rsidR="00236E18" w:rsidRPr="00EB3DE6" w:rsidRDefault="00236E18" w:rsidP="00294272">
            <w:pPr>
              <w:rPr>
                <w:b/>
                <w:bCs/>
                <w:sz w:val="18"/>
                <w:szCs w:val="18"/>
                <w:lang w:bidi="es-ES"/>
              </w:rPr>
            </w:pPr>
            <w:r w:rsidRPr="00EB3DE6">
              <w:rPr>
                <w:b/>
                <w:bCs/>
                <w:sz w:val="18"/>
                <w:szCs w:val="18"/>
                <w:lang w:bidi="es-ES"/>
              </w:rPr>
              <w:t>Indicadores de rendimiento</w:t>
            </w:r>
          </w:p>
        </w:tc>
        <w:tc>
          <w:tcPr>
            <w:tcW w:w="2620" w:type="dxa"/>
            <w:tcBorders>
              <w:top w:val="single" w:sz="4" w:space="0" w:color="auto"/>
              <w:left w:val="nil"/>
              <w:bottom w:val="single" w:sz="4" w:space="0" w:color="auto"/>
              <w:right w:val="nil"/>
            </w:tcBorders>
            <w:shd w:val="clear" w:color="auto" w:fill="C6D9F1" w:themeFill="text2" w:themeFillTint="33"/>
            <w:vAlign w:val="center"/>
            <w:hideMark/>
          </w:tcPr>
          <w:p w:rsidR="00236E18" w:rsidRPr="00EB3DE6" w:rsidRDefault="00236E18" w:rsidP="00294272">
            <w:pPr>
              <w:rPr>
                <w:b/>
                <w:bCs/>
                <w:sz w:val="18"/>
                <w:szCs w:val="18"/>
                <w:lang w:bidi="es-ES"/>
              </w:rPr>
            </w:pPr>
            <w:r w:rsidRPr="00EB3DE6">
              <w:rPr>
                <w:b/>
                <w:bCs/>
                <w:sz w:val="18"/>
                <w:szCs w:val="18"/>
                <w:lang w:bidi="es-ES"/>
              </w:rPr>
              <w:t>Referencia</w:t>
            </w:r>
          </w:p>
        </w:tc>
        <w:tc>
          <w:tcPr>
            <w:tcW w:w="219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36E18" w:rsidRPr="00EB3DE6" w:rsidRDefault="00236E18" w:rsidP="00294272">
            <w:pPr>
              <w:rPr>
                <w:b/>
                <w:bCs/>
                <w:sz w:val="18"/>
                <w:szCs w:val="18"/>
                <w:lang w:bidi="es-ES"/>
              </w:rPr>
            </w:pPr>
            <w:r w:rsidRPr="00EB3DE6">
              <w:rPr>
                <w:b/>
                <w:bCs/>
                <w:sz w:val="18"/>
                <w:szCs w:val="18"/>
                <w:lang w:bidi="es-ES"/>
              </w:rPr>
              <w:t>Objetivos</w:t>
            </w:r>
          </w:p>
        </w:tc>
      </w:tr>
      <w:tr w:rsidR="00236E18" w:rsidRPr="00B4623A" w:rsidTr="00294272">
        <w:trPr>
          <w:trHeight w:val="711"/>
        </w:trPr>
        <w:tc>
          <w:tcPr>
            <w:tcW w:w="2060" w:type="dxa"/>
            <w:tcBorders>
              <w:top w:val="nil"/>
              <w:left w:val="single" w:sz="4" w:space="0" w:color="auto"/>
              <w:right w:val="nil"/>
            </w:tcBorders>
            <w:shd w:val="clear" w:color="000000" w:fill="FFFFFF"/>
            <w:hideMark/>
          </w:tcPr>
          <w:p w:rsidR="00236E18" w:rsidRPr="00EB3DE6" w:rsidRDefault="00236E18" w:rsidP="00294272">
            <w:pPr>
              <w:rPr>
                <w:sz w:val="16"/>
                <w:szCs w:val="16"/>
                <w:lang w:bidi="es-ES"/>
              </w:rPr>
            </w:pPr>
            <w:r w:rsidRPr="00EB3DE6">
              <w:rPr>
                <w:sz w:val="16"/>
                <w:szCs w:val="16"/>
                <w:lang w:bidi="es-ES"/>
              </w:rPr>
              <w:br/>
              <w:t>II.</w:t>
            </w:r>
            <w:r>
              <w:rPr>
                <w:sz w:val="16"/>
                <w:szCs w:val="16"/>
                <w:lang w:bidi="es-ES"/>
              </w:rPr>
              <w:t xml:space="preserve">10 </w:t>
            </w:r>
            <w:r w:rsidRPr="00EB3DE6">
              <w:rPr>
                <w:sz w:val="16"/>
                <w:szCs w:val="16"/>
                <w:lang w:bidi="es-ES"/>
              </w:rPr>
              <w:t xml:space="preserve"> Ma</w:t>
            </w:r>
            <w:r>
              <w:rPr>
                <w:sz w:val="16"/>
                <w:szCs w:val="16"/>
                <w:lang w:bidi="es-ES"/>
              </w:rPr>
              <w:t>yor y más eficaz utilización de</w:t>
            </w:r>
            <w:r w:rsidRPr="00EB3DE6">
              <w:rPr>
                <w:sz w:val="16"/>
                <w:szCs w:val="16"/>
                <w:lang w:bidi="es-ES"/>
              </w:rPr>
              <w:t>l Sistema de Lisboa, entre otros por los países en desarrollo y los PMA</w:t>
            </w:r>
          </w:p>
        </w:tc>
        <w:tc>
          <w:tcPr>
            <w:tcW w:w="2500" w:type="dxa"/>
            <w:tcBorders>
              <w:top w:val="nil"/>
              <w:left w:val="nil"/>
              <w:right w:val="nil"/>
            </w:tcBorders>
            <w:shd w:val="clear" w:color="000000" w:fill="FFFFFF"/>
            <w:hideMark/>
          </w:tcPr>
          <w:p w:rsidR="00236E18" w:rsidRPr="00EB3DE6" w:rsidRDefault="00236E18" w:rsidP="00294272">
            <w:pPr>
              <w:rPr>
                <w:sz w:val="16"/>
                <w:szCs w:val="16"/>
                <w:lang w:bidi="es-ES"/>
              </w:rPr>
            </w:pPr>
            <w:r w:rsidRPr="00EB3DE6">
              <w:rPr>
                <w:sz w:val="16"/>
                <w:szCs w:val="16"/>
                <w:lang w:bidi="es-ES"/>
              </w:rPr>
              <w:br/>
              <w:t>Expansión del alcance geográfico del Sistema de Lisboa</w:t>
            </w:r>
          </w:p>
        </w:tc>
        <w:tc>
          <w:tcPr>
            <w:tcW w:w="2620" w:type="dxa"/>
            <w:tcBorders>
              <w:top w:val="nil"/>
              <w:left w:val="nil"/>
              <w:right w:val="nil"/>
            </w:tcBorders>
            <w:shd w:val="clear" w:color="000000" w:fill="FFFFFF"/>
            <w:hideMark/>
          </w:tcPr>
          <w:p w:rsidR="00236E18" w:rsidRPr="00EB3DE6" w:rsidRDefault="00236E18" w:rsidP="00294272">
            <w:pPr>
              <w:rPr>
                <w:sz w:val="16"/>
                <w:szCs w:val="16"/>
                <w:lang w:bidi="es-ES"/>
              </w:rPr>
            </w:pPr>
            <w:r w:rsidRPr="00EB3DE6">
              <w:rPr>
                <w:sz w:val="16"/>
                <w:szCs w:val="16"/>
                <w:lang w:bidi="es-ES"/>
              </w:rPr>
              <w:br/>
              <w:t>Nº de Partes Contratantes del Acta de Ginebra a fines de 2015</w:t>
            </w:r>
          </w:p>
        </w:tc>
        <w:tc>
          <w:tcPr>
            <w:tcW w:w="2191" w:type="dxa"/>
            <w:tcBorders>
              <w:top w:val="nil"/>
              <w:left w:val="nil"/>
              <w:right w:val="single" w:sz="4" w:space="0" w:color="auto"/>
            </w:tcBorders>
            <w:shd w:val="clear" w:color="000000" w:fill="FFFFFF"/>
            <w:hideMark/>
          </w:tcPr>
          <w:p w:rsidR="00236E18" w:rsidRPr="00EB3DE6" w:rsidRDefault="00236E18" w:rsidP="00294272">
            <w:pPr>
              <w:rPr>
                <w:sz w:val="16"/>
                <w:szCs w:val="16"/>
                <w:lang w:bidi="es-ES"/>
              </w:rPr>
            </w:pPr>
            <w:r w:rsidRPr="00EB3DE6">
              <w:rPr>
                <w:sz w:val="16"/>
                <w:szCs w:val="16"/>
                <w:lang w:bidi="es-ES"/>
              </w:rPr>
              <w:br/>
              <w:t>Hasta 5 Partes Contratantes del Acta de Ginebra antes de fin de 2017</w:t>
            </w:r>
          </w:p>
        </w:tc>
      </w:tr>
      <w:tr w:rsidR="00236E18" w:rsidRPr="00B4623A" w:rsidTr="00294272">
        <w:trPr>
          <w:trHeight w:val="333"/>
        </w:trPr>
        <w:tc>
          <w:tcPr>
            <w:tcW w:w="2060" w:type="dxa"/>
            <w:tcBorders>
              <w:left w:val="single" w:sz="4" w:space="0" w:color="auto"/>
              <w:right w:val="nil"/>
            </w:tcBorders>
            <w:shd w:val="clear" w:color="000000" w:fill="FFFFFF"/>
            <w:hideMark/>
          </w:tcPr>
          <w:p w:rsidR="00236E18" w:rsidRPr="00EB3DE6" w:rsidRDefault="00236E18" w:rsidP="00294272">
            <w:pPr>
              <w:rPr>
                <w:sz w:val="16"/>
                <w:szCs w:val="16"/>
                <w:lang w:bidi="es-ES"/>
              </w:rPr>
            </w:pPr>
            <w:r w:rsidRPr="00EB3DE6">
              <w:rPr>
                <w:sz w:val="16"/>
                <w:szCs w:val="16"/>
                <w:lang w:bidi="es-ES"/>
              </w:rPr>
              <w:t> </w:t>
            </w:r>
          </w:p>
        </w:tc>
        <w:tc>
          <w:tcPr>
            <w:tcW w:w="2500" w:type="dxa"/>
            <w:tcBorders>
              <w:left w:val="nil"/>
              <w:right w:val="nil"/>
            </w:tcBorders>
            <w:shd w:val="clear" w:color="000000" w:fill="FFFFFF"/>
            <w:hideMark/>
          </w:tcPr>
          <w:p w:rsidR="00236E18" w:rsidRPr="00EB3DE6" w:rsidRDefault="00236E18" w:rsidP="00294272">
            <w:pPr>
              <w:rPr>
                <w:sz w:val="16"/>
                <w:szCs w:val="16"/>
                <w:lang w:bidi="es-ES"/>
              </w:rPr>
            </w:pPr>
            <w:r w:rsidRPr="00EB3DE6">
              <w:rPr>
                <w:sz w:val="16"/>
                <w:szCs w:val="16"/>
                <w:lang w:bidi="es-ES"/>
              </w:rPr>
              <w:t>Porcentaje de participantes en las actividades del Sistema de Lisboa que están satisfechos y manifiestan haber mejorado sus conocimientos tras haber participado en las actividades.</w:t>
            </w:r>
            <w:r w:rsidRPr="00EB3DE6">
              <w:rPr>
                <w:sz w:val="16"/>
                <w:szCs w:val="16"/>
                <w:lang w:bidi="es-ES"/>
              </w:rPr>
              <w:br/>
              <w:t xml:space="preserve"> </w:t>
            </w:r>
          </w:p>
        </w:tc>
        <w:tc>
          <w:tcPr>
            <w:tcW w:w="2620" w:type="dxa"/>
            <w:tcBorders>
              <w:left w:val="nil"/>
              <w:right w:val="nil"/>
            </w:tcBorders>
            <w:shd w:val="clear" w:color="000000" w:fill="FFFFFF"/>
            <w:hideMark/>
          </w:tcPr>
          <w:p w:rsidR="00236E18" w:rsidRPr="00EB3DE6" w:rsidRDefault="00236E18" w:rsidP="00294272">
            <w:pPr>
              <w:rPr>
                <w:sz w:val="16"/>
                <w:szCs w:val="16"/>
                <w:lang w:bidi="es-ES"/>
              </w:rPr>
            </w:pPr>
            <w:r w:rsidRPr="00EB3DE6">
              <w:rPr>
                <w:sz w:val="16"/>
                <w:szCs w:val="16"/>
                <w:lang w:bidi="es-ES"/>
              </w:rPr>
              <w:t>84% de participantes satisfechos (2014) en 5 eventos</w:t>
            </w:r>
          </w:p>
        </w:tc>
        <w:tc>
          <w:tcPr>
            <w:tcW w:w="2191" w:type="dxa"/>
            <w:tcBorders>
              <w:left w:val="nil"/>
              <w:right w:val="single" w:sz="4" w:space="0" w:color="auto"/>
            </w:tcBorders>
            <w:shd w:val="clear" w:color="000000" w:fill="FFFFFF"/>
            <w:hideMark/>
          </w:tcPr>
          <w:p w:rsidR="00236E18" w:rsidRPr="00EB3DE6" w:rsidRDefault="00236E18" w:rsidP="00294272">
            <w:pPr>
              <w:rPr>
                <w:sz w:val="16"/>
                <w:szCs w:val="16"/>
                <w:lang w:bidi="es-ES"/>
              </w:rPr>
            </w:pPr>
            <w:r w:rsidRPr="00EB3DE6">
              <w:rPr>
                <w:sz w:val="16"/>
                <w:szCs w:val="16"/>
                <w:lang w:bidi="es-ES"/>
              </w:rPr>
              <w:t>85% de los participantes satisfechos</w:t>
            </w:r>
          </w:p>
        </w:tc>
      </w:tr>
      <w:tr w:rsidR="00236E18" w:rsidRPr="00B4623A" w:rsidTr="00294272">
        <w:trPr>
          <w:trHeight w:val="1561"/>
        </w:trPr>
        <w:tc>
          <w:tcPr>
            <w:tcW w:w="2060" w:type="dxa"/>
            <w:tcBorders>
              <w:left w:val="single" w:sz="4" w:space="0" w:color="auto"/>
              <w:bottom w:val="nil"/>
              <w:right w:val="nil"/>
            </w:tcBorders>
            <w:shd w:val="clear" w:color="000000" w:fill="FFFFFF"/>
            <w:tcMar>
              <w:top w:w="85" w:type="dxa"/>
            </w:tcMar>
            <w:hideMark/>
          </w:tcPr>
          <w:p w:rsidR="00236E18" w:rsidRPr="00EB3DE6" w:rsidRDefault="00236E18" w:rsidP="00294272">
            <w:pPr>
              <w:rPr>
                <w:sz w:val="16"/>
                <w:szCs w:val="16"/>
                <w:lang w:bidi="es-ES"/>
              </w:rPr>
            </w:pPr>
            <w:r w:rsidRPr="00EB3DE6">
              <w:rPr>
                <w:sz w:val="16"/>
                <w:szCs w:val="16"/>
                <w:lang w:bidi="es-ES"/>
              </w:rPr>
              <w:t> </w:t>
            </w:r>
          </w:p>
        </w:tc>
        <w:tc>
          <w:tcPr>
            <w:tcW w:w="2500" w:type="dxa"/>
            <w:tcBorders>
              <w:left w:val="nil"/>
              <w:bottom w:val="nil"/>
              <w:right w:val="nil"/>
            </w:tcBorders>
            <w:shd w:val="clear" w:color="000000" w:fill="FFFFFF"/>
            <w:tcMar>
              <w:top w:w="85" w:type="dxa"/>
            </w:tcMar>
            <w:hideMark/>
          </w:tcPr>
          <w:p w:rsidR="00236E18" w:rsidRPr="00EB3DE6" w:rsidRDefault="00236E18" w:rsidP="00294272">
            <w:pPr>
              <w:rPr>
                <w:sz w:val="16"/>
                <w:szCs w:val="16"/>
                <w:lang w:bidi="es-ES"/>
              </w:rPr>
            </w:pPr>
            <w:r w:rsidRPr="00EB3DE6">
              <w:rPr>
                <w:sz w:val="16"/>
                <w:szCs w:val="16"/>
                <w:lang w:bidi="es-ES"/>
              </w:rPr>
              <w:t>Nº de solicitudes internacionales y otras transacciones (Lisboa)</w:t>
            </w:r>
          </w:p>
        </w:tc>
        <w:tc>
          <w:tcPr>
            <w:tcW w:w="2620" w:type="dxa"/>
            <w:tcBorders>
              <w:left w:val="nil"/>
              <w:bottom w:val="nil"/>
              <w:right w:val="nil"/>
            </w:tcBorders>
            <w:shd w:val="clear" w:color="000000" w:fill="FFFFFF"/>
            <w:tcMar>
              <w:top w:w="85" w:type="dxa"/>
            </w:tcMar>
            <w:hideMark/>
          </w:tcPr>
          <w:p w:rsidR="00236E18" w:rsidRPr="00EB3DE6" w:rsidRDefault="00236E18" w:rsidP="00294272">
            <w:pPr>
              <w:rPr>
                <w:sz w:val="16"/>
                <w:szCs w:val="16"/>
                <w:lang w:bidi="es-ES"/>
              </w:rPr>
            </w:pPr>
            <w:r w:rsidRPr="00EB3DE6">
              <w:rPr>
                <w:sz w:val="16"/>
                <w:szCs w:val="16"/>
                <w:lang w:bidi="es-ES"/>
              </w:rPr>
              <w:t>121 transacciones en 2014:</w:t>
            </w:r>
            <w:r w:rsidRPr="00EB3DE6">
              <w:rPr>
                <w:sz w:val="16"/>
                <w:szCs w:val="16"/>
                <w:lang w:bidi="es-ES"/>
              </w:rPr>
              <w:br/>
              <w:t xml:space="preserve">- 80 solicitudes internacionales </w:t>
            </w:r>
            <w:r w:rsidRPr="00EB3DE6">
              <w:rPr>
                <w:sz w:val="16"/>
                <w:szCs w:val="16"/>
                <w:lang w:bidi="es-ES"/>
              </w:rPr>
              <w:br/>
              <w:t>- 26 declaraciones de concesión de protección</w:t>
            </w:r>
            <w:r w:rsidRPr="00EB3DE6">
              <w:rPr>
                <w:sz w:val="16"/>
                <w:szCs w:val="16"/>
                <w:lang w:bidi="es-ES"/>
              </w:rPr>
              <w:br/>
              <w:t>- 15 declaraciones de denegación</w:t>
            </w:r>
          </w:p>
        </w:tc>
        <w:tc>
          <w:tcPr>
            <w:tcW w:w="2191" w:type="dxa"/>
            <w:tcBorders>
              <w:left w:val="nil"/>
              <w:bottom w:val="nil"/>
              <w:right w:val="single" w:sz="4" w:space="0" w:color="auto"/>
            </w:tcBorders>
            <w:shd w:val="clear" w:color="000000" w:fill="FFFFFF"/>
            <w:tcMar>
              <w:top w:w="85" w:type="dxa"/>
            </w:tcMar>
            <w:hideMark/>
          </w:tcPr>
          <w:p w:rsidR="00236E18" w:rsidRPr="00EB3DE6" w:rsidRDefault="00236E18" w:rsidP="00294272">
            <w:pPr>
              <w:rPr>
                <w:sz w:val="16"/>
                <w:szCs w:val="16"/>
                <w:lang w:bidi="es-ES"/>
              </w:rPr>
            </w:pPr>
            <w:r w:rsidRPr="00EB3DE6">
              <w:rPr>
                <w:sz w:val="16"/>
                <w:szCs w:val="16"/>
                <w:lang w:bidi="es-ES"/>
              </w:rPr>
              <w:t>100 transacciones en 2016/17</w:t>
            </w:r>
            <w:r w:rsidRPr="00EB3DE6">
              <w:rPr>
                <w:sz w:val="16"/>
                <w:szCs w:val="16"/>
                <w:lang w:bidi="es-ES"/>
              </w:rPr>
              <w:br/>
              <w:t xml:space="preserve">- 20 nuevas solicitudes internacionales </w:t>
            </w:r>
            <w:r w:rsidRPr="00EB3DE6">
              <w:rPr>
                <w:sz w:val="16"/>
                <w:szCs w:val="16"/>
                <w:lang w:bidi="es-ES"/>
              </w:rPr>
              <w:br/>
              <w:t>- 60 declaraciones de concesión de protección</w:t>
            </w:r>
            <w:r w:rsidRPr="00EB3DE6">
              <w:rPr>
                <w:sz w:val="16"/>
                <w:szCs w:val="16"/>
                <w:lang w:bidi="es-ES"/>
              </w:rPr>
              <w:br/>
              <w:t>- 20 declaraciones de denegación</w:t>
            </w:r>
          </w:p>
        </w:tc>
      </w:tr>
      <w:tr w:rsidR="00236E18" w:rsidRPr="00B4623A" w:rsidTr="00294272">
        <w:trPr>
          <w:trHeight w:val="1170"/>
        </w:trPr>
        <w:tc>
          <w:tcPr>
            <w:tcW w:w="2060" w:type="dxa"/>
            <w:tcBorders>
              <w:top w:val="nil"/>
              <w:left w:val="single" w:sz="4" w:space="0" w:color="auto"/>
              <w:bottom w:val="nil"/>
              <w:right w:val="nil"/>
            </w:tcBorders>
            <w:shd w:val="clear" w:color="000000" w:fill="FFFFFF"/>
            <w:hideMark/>
          </w:tcPr>
          <w:p w:rsidR="00236E18" w:rsidRPr="00EB3DE6" w:rsidRDefault="00236E18" w:rsidP="00294272">
            <w:pPr>
              <w:rPr>
                <w:sz w:val="16"/>
                <w:szCs w:val="16"/>
                <w:lang w:bidi="es-ES"/>
              </w:rPr>
            </w:pPr>
            <w:r w:rsidRPr="00EB3DE6">
              <w:rPr>
                <w:sz w:val="16"/>
                <w:szCs w:val="16"/>
                <w:lang w:bidi="es-ES"/>
              </w:rPr>
              <w:t> </w:t>
            </w:r>
          </w:p>
        </w:tc>
        <w:tc>
          <w:tcPr>
            <w:tcW w:w="2500" w:type="dxa"/>
            <w:tcBorders>
              <w:top w:val="nil"/>
              <w:left w:val="nil"/>
              <w:bottom w:val="nil"/>
              <w:right w:val="nil"/>
            </w:tcBorders>
            <w:shd w:val="clear" w:color="000000" w:fill="FFFFFF"/>
            <w:hideMark/>
          </w:tcPr>
          <w:p w:rsidR="00236E18" w:rsidRPr="00EB3DE6" w:rsidRDefault="00236E18" w:rsidP="00294272">
            <w:pPr>
              <w:rPr>
                <w:sz w:val="16"/>
                <w:szCs w:val="16"/>
                <w:lang w:bidi="es-ES"/>
              </w:rPr>
            </w:pPr>
            <w:r w:rsidRPr="00EB3DE6">
              <w:rPr>
                <w:sz w:val="16"/>
                <w:szCs w:val="16"/>
                <w:lang w:bidi="es-ES"/>
              </w:rPr>
              <w:t>Nº de registros internacionales de países en desarrollo y PMA en vigor en virtud del Sistema de Lisboa (con respecto al Nº total)</w:t>
            </w:r>
          </w:p>
        </w:tc>
        <w:tc>
          <w:tcPr>
            <w:tcW w:w="2620" w:type="dxa"/>
            <w:tcBorders>
              <w:top w:val="nil"/>
              <w:left w:val="nil"/>
              <w:bottom w:val="nil"/>
              <w:right w:val="nil"/>
            </w:tcBorders>
            <w:shd w:val="clear" w:color="000000" w:fill="FFFFFF"/>
            <w:hideMark/>
          </w:tcPr>
          <w:p w:rsidR="00236E18" w:rsidRPr="00EB3DE6" w:rsidRDefault="00236E18" w:rsidP="00294272">
            <w:pPr>
              <w:rPr>
                <w:sz w:val="16"/>
                <w:szCs w:val="16"/>
                <w:lang w:bidi="es-ES"/>
              </w:rPr>
            </w:pPr>
            <w:r w:rsidRPr="00EB3DE6">
              <w:rPr>
                <w:sz w:val="16"/>
                <w:szCs w:val="16"/>
                <w:lang w:bidi="es-ES"/>
              </w:rPr>
              <w:t>78 (de 896)  (marzo de 2015)</w:t>
            </w:r>
          </w:p>
        </w:tc>
        <w:tc>
          <w:tcPr>
            <w:tcW w:w="2191" w:type="dxa"/>
            <w:tcBorders>
              <w:top w:val="nil"/>
              <w:left w:val="nil"/>
              <w:bottom w:val="nil"/>
              <w:right w:val="single" w:sz="4" w:space="0" w:color="auto"/>
            </w:tcBorders>
            <w:shd w:val="clear" w:color="000000" w:fill="FFFFFF"/>
            <w:hideMark/>
          </w:tcPr>
          <w:p w:rsidR="00236E18" w:rsidRPr="00EB3DE6" w:rsidRDefault="00236E18" w:rsidP="00294272">
            <w:pPr>
              <w:rPr>
                <w:sz w:val="16"/>
                <w:szCs w:val="16"/>
                <w:lang w:bidi="es-ES"/>
              </w:rPr>
            </w:pPr>
            <w:r w:rsidRPr="00EB3DE6">
              <w:rPr>
                <w:sz w:val="16"/>
                <w:szCs w:val="16"/>
                <w:lang w:bidi="es-ES"/>
              </w:rPr>
              <w:t>90 (de 950)</w:t>
            </w:r>
          </w:p>
        </w:tc>
      </w:tr>
      <w:tr w:rsidR="00236E18" w:rsidRPr="00B4623A" w:rsidTr="00294272">
        <w:trPr>
          <w:trHeight w:val="621"/>
        </w:trPr>
        <w:tc>
          <w:tcPr>
            <w:tcW w:w="2060" w:type="dxa"/>
            <w:tcBorders>
              <w:top w:val="nil"/>
              <w:left w:val="single" w:sz="4" w:space="0" w:color="auto"/>
              <w:bottom w:val="nil"/>
              <w:right w:val="nil"/>
            </w:tcBorders>
            <w:shd w:val="clear" w:color="000000" w:fill="FFFFFF"/>
            <w:hideMark/>
          </w:tcPr>
          <w:p w:rsidR="00236E18" w:rsidRPr="00EB3DE6" w:rsidRDefault="00236E18" w:rsidP="00294272">
            <w:pPr>
              <w:rPr>
                <w:sz w:val="16"/>
                <w:szCs w:val="16"/>
                <w:lang w:bidi="es-ES"/>
              </w:rPr>
            </w:pPr>
            <w:r w:rsidRPr="00EB3DE6">
              <w:rPr>
                <w:sz w:val="16"/>
                <w:szCs w:val="16"/>
                <w:lang w:bidi="es-ES"/>
              </w:rPr>
              <w:t>II.</w:t>
            </w:r>
            <w:r>
              <w:rPr>
                <w:sz w:val="16"/>
                <w:szCs w:val="16"/>
                <w:lang w:bidi="es-ES"/>
              </w:rPr>
              <w:t xml:space="preserve">11 </w:t>
            </w:r>
            <w:r w:rsidRPr="00EB3DE6">
              <w:rPr>
                <w:sz w:val="16"/>
                <w:szCs w:val="16"/>
                <w:lang w:bidi="es-ES"/>
              </w:rPr>
              <w:t xml:space="preserve"> Mejora de la productividad y de la calidad de los servicios en las operaciones</w:t>
            </w:r>
            <w:r>
              <w:rPr>
                <w:sz w:val="16"/>
                <w:szCs w:val="16"/>
                <w:lang w:bidi="es-ES"/>
              </w:rPr>
              <w:t xml:space="preserve"> de</w:t>
            </w:r>
            <w:r w:rsidRPr="00EB3DE6">
              <w:rPr>
                <w:sz w:val="16"/>
                <w:szCs w:val="16"/>
                <w:lang w:bidi="es-ES"/>
              </w:rPr>
              <w:t>l Sistema de Lisboa</w:t>
            </w:r>
          </w:p>
        </w:tc>
        <w:tc>
          <w:tcPr>
            <w:tcW w:w="2500" w:type="dxa"/>
            <w:tcBorders>
              <w:top w:val="nil"/>
              <w:left w:val="nil"/>
              <w:bottom w:val="nil"/>
              <w:right w:val="nil"/>
            </w:tcBorders>
            <w:shd w:val="clear" w:color="000000" w:fill="FFFFFF"/>
            <w:hideMark/>
          </w:tcPr>
          <w:p w:rsidR="00236E18" w:rsidRPr="00EB3DE6" w:rsidRDefault="00236E18" w:rsidP="00294272">
            <w:pPr>
              <w:rPr>
                <w:sz w:val="16"/>
                <w:szCs w:val="16"/>
                <w:lang w:bidi="es-ES"/>
              </w:rPr>
            </w:pPr>
            <w:r w:rsidRPr="00EB3DE6">
              <w:rPr>
                <w:sz w:val="16"/>
                <w:szCs w:val="16"/>
                <w:lang w:bidi="es-ES"/>
              </w:rPr>
              <w:t>Adopción de disposiciones que agilicen el marco jurídico del Sistema de Lisboa</w:t>
            </w:r>
            <w:r w:rsidRPr="00EB3DE6">
              <w:rPr>
                <w:sz w:val="16"/>
                <w:szCs w:val="16"/>
                <w:lang w:bidi="es-ES"/>
              </w:rPr>
              <w:br/>
            </w:r>
          </w:p>
        </w:tc>
        <w:tc>
          <w:tcPr>
            <w:tcW w:w="2620" w:type="dxa"/>
            <w:tcBorders>
              <w:top w:val="nil"/>
              <w:left w:val="nil"/>
              <w:bottom w:val="nil"/>
              <w:right w:val="nil"/>
            </w:tcBorders>
            <w:shd w:val="clear" w:color="000000" w:fill="FFFFFF"/>
            <w:hideMark/>
          </w:tcPr>
          <w:p w:rsidR="00236E18" w:rsidRPr="00EB3DE6" w:rsidRDefault="00236E18" w:rsidP="00294272">
            <w:pPr>
              <w:rPr>
                <w:sz w:val="16"/>
                <w:szCs w:val="16"/>
                <w:lang w:bidi="es-ES"/>
              </w:rPr>
            </w:pPr>
            <w:r w:rsidRPr="00EB3DE6">
              <w:rPr>
                <w:sz w:val="16"/>
                <w:szCs w:val="16"/>
                <w:lang w:bidi="es-ES"/>
              </w:rPr>
              <w:t>Marco jurídico vigente y marco jurídico del Acta de Ginebra de mayo de 2015</w:t>
            </w:r>
          </w:p>
        </w:tc>
        <w:tc>
          <w:tcPr>
            <w:tcW w:w="2191" w:type="dxa"/>
            <w:tcBorders>
              <w:top w:val="nil"/>
              <w:left w:val="nil"/>
              <w:bottom w:val="nil"/>
              <w:right w:val="single" w:sz="4" w:space="0" w:color="auto"/>
            </w:tcBorders>
            <w:shd w:val="clear" w:color="000000" w:fill="FFFFFF"/>
            <w:hideMark/>
          </w:tcPr>
          <w:p w:rsidR="00236E18" w:rsidRPr="00EB3DE6" w:rsidRDefault="00236E18" w:rsidP="00294272">
            <w:pPr>
              <w:rPr>
                <w:sz w:val="16"/>
                <w:szCs w:val="16"/>
                <w:lang w:bidi="es-ES"/>
              </w:rPr>
            </w:pPr>
            <w:r w:rsidRPr="00EB3DE6">
              <w:rPr>
                <w:sz w:val="16"/>
                <w:szCs w:val="16"/>
                <w:lang w:bidi="es-ES"/>
              </w:rPr>
              <w:t>Adopción del Reglamento Común en virtud del Arreglo de Lisboa y el Acta de Ginebra</w:t>
            </w:r>
          </w:p>
        </w:tc>
      </w:tr>
      <w:tr w:rsidR="00236E18" w:rsidRPr="00B4623A" w:rsidTr="00294272">
        <w:trPr>
          <w:trHeight w:val="1017"/>
        </w:trPr>
        <w:tc>
          <w:tcPr>
            <w:tcW w:w="2060" w:type="dxa"/>
            <w:tcBorders>
              <w:left w:val="single" w:sz="4" w:space="0" w:color="auto"/>
              <w:bottom w:val="nil"/>
              <w:right w:val="nil"/>
            </w:tcBorders>
            <w:shd w:val="clear" w:color="000000" w:fill="FFFFFF"/>
            <w:tcMar>
              <w:top w:w="85" w:type="dxa"/>
            </w:tcMar>
            <w:hideMark/>
          </w:tcPr>
          <w:p w:rsidR="00236E18" w:rsidRPr="00EB3DE6" w:rsidRDefault="00236E18" w:rsidP="00294272">
            <w:pPr>
              <w:rPr>
                <w:sz w:val="16"/>
                <w:szCs w:val="16"/>
                <w:lang w:bidi="es-ES"/>
              </w:rPr>
            </w:pPr>
            <w:r w:rsidRPr="00EB3DE6">
              <w:rPr>
                <w:sz w:val="16"/>
                <w:szCs w:val="16"/>
                <w:lang w:bidi="es-ES"/>
              </w:rPr>
              <w:t> </w:t>
            </w:r>
          </w:p>
        </w:tc>
        <w:tc>
          <w:tcPr>
            <w:tcW w:w="2500" w:type="dxa"/>
            <w:tcBorders>
              <w:left w:val="nil"/>
              <w:bottom w:val="nil"/>
              <w:right w:val="nil"/>
            </w:tcBorders>
            <w:shd w:val="clear" w:color="000000" w:fill="FFFFFF"/>
            <w:tcMar>
              <w:top w:w="85" w:type="dxa"/>
            </w:tcMar>
            <w:hideMark/>
          </w:tcPr>
          <w:p w:rsidR="00236E18" w:rsidRPr="00EB3DE6" w:rsidRDefault="00236E18" w:rsidP="00294272">
            <w:pPr>
              <w:rPr>
                <w:sz w:val="16"/>
                <w:szCs w:val="16"/>
                <w:lang w:bidi="es-ES"/>
              </w:rPr>
            </w:pPr>
            <w:r w:rsidRPr="00EB3DE6">
              <w:rPr>
                <w:sz w:val="16"/>
                <w:szCs w:val="16"/>
                <w:lang w:bidi="es-ES"/>
              </w:rPr>
              <w:t>Mayor uso de los medios electrónicos para la presentación y tramitación de solicitudes internacionales y otras transacciones (Lisboa)</w:t>
            </w:r>
          </w:p>
        </w:tc>
        <w:tc>
          <w:tcPr>
            <w:tcW w:w="2620" w:type="dxa"/>
            <w:tcBorders>
              <w:left w:val="nil"/>
              <w:bottom w:val="nil"/>
              <w:right w:val="nil"/>
            </w:tcBorders>
            <w:shd w:val="clear" w:color="000000" w:fill="FFFFFF"/>
            <w:tcMar>
              <w:top w:w="85" w:type="dxa"/>
            </w:tcMar>
            <w:hideMark/>
          </w:tcPr>
          <w:p w:rsidR="00236E18" w:rsidRPr="00EB3DE6" w:rsidRDefault="00236E18" w:rsidP="00294272">
            <w:pPr>
              <w:rPr>
                <w:sz w:val="16"/>
                <w:szCs w:val="16"/>
                <w:lang w:bidi="es-ES"/>
              </w:rPr>
            </w:pPr>
            <w:r w:rsidRPr="00EB3DE6">
              <w:rPr>
                <w:sz w:val="16"/>
                <w:szCs w:val="16"/>
                <w:lang w:bidi="es-ES"/>
              </w:rPr>
              <w:t xml:space="preserve">Herramienta actual de introducción de datos </w:t>
            </w:r>
            <w:r w:rsidRPr="00EB3DE6">
              <w:rPr>
                <w:sz w:val="16"/>
                <w:szCs w:val="16"/>
                <w:lang w:bidi="es-ES"/>
              </w:rPr>
              <w:br/>
            </w:r>
            <w:r w:rsidRPr="00EB3DE6">
              <w:rPr>
                <w:sz w:val="16"/>
                <w:szCs w:val="16"/>
                <w:lang w:bidi="es-ES"/>
              </w:rPr>
              <w:br/>
              <w:t>Boletín y base de datos actuales</w:t>
            </w:r>
          </w:p>
        </w:tc>
        <w:tc>
          <w:tcPr>
            <w:tcW w:w="2191" w:type="dxa"/>
            <w:tcBorders>
              <w:left w:val="nil"/>
              <w:bottom w:val="nil"/>
              <w:right w:val="single" w:sz="4" w:space="0" w:color="auto"/>
            </w:tcBorders>
            <w:shd w:val="clear" w:color="000000" w:fill="FFFFFF"/>
            <w:tcMar>
              <w:top w:w="85" w:type="dxa"/>
            </w:tcMar>
            <w:hideMark/>
          </w:tcPr>
          <w:p w:rsidR="00236E18" w:rsidRPr="00EB3DE6" w:rsidRDefault="00236E18" w:rsidP="00294272">
            <w:pPr>
              <w:rPr>
                <w:sz w:val="16"/>
                <w:szCs w:val="16"/>
                <w:lang w:bidi="es-ES"/>
              </w:rPr>
            </w:pPr>
            <w:r w:rsidRPr="00EB3DE6">
              <w:rPr>
                <w:sz w:val="16"/>
                <w:szCs w:val="16"/>
                <w:lang w:bidi="es-ES"/>
              </w:rPr>
              <w:t xml:space="preserve">Herramienta mejorada de introducción de datos </w:t>
            </w:r>
            <w:r w:rsidRPr="00EB3DE6">
              <w:rPr>
                <w:sz w:val="16"/>
                <w:szCs w:val="16"/>
                <w:lang w:bidi="es-ES"/>
              </w:rPr>
              <w:br/>
            </w:r>
          </w:p>
          <w:p w:rsidR="00236E18" w:rsidRPr="00EB3DE6" w:rsidRDefault="00236E18" w:rsidP="00294272">
            <w:pPr>
              <w:rPr>
                <w:sz w:val="16"/>
                <w:szCs w:val="16"/>
                <w:lang w:bidi="es-ES"/>
              </w:rPr>
            </w:pPr>
            <w:r w:rsidRPr="00EB3DE6">
              <w:rPr>
                <w:sz w:val="16"/>
                <w:szCs w:val="16"/>
                <w:lang w:bidi="es-ES"/>
              </w:rPr>
              <w:t>Integración del boletín en la base de datos Lisboa Express</w:t>
            </w:r>
            <w:r w:rsidRPr="00EB3DE6">
              <w:rPr>
                <w:sz w:val="16"/>
                <w:szCs w:val="16"/>
                <w:lang w:bidi="es-ES"/>
              </w:rPr>
              <w:br/>
            </w:r>
          </w:p>
        </w:tc>
      </w:tr>
      <w:tr w:rsidR="00236E18" w:rsidRPr="00B4623A" w:rsidTr="00294272">
        <w:trPr>
          <w:trHeight w:val="693"/>
        </w:trPr>
        <w:tc>
          <w:tcPr>
            <w:tcW w:w="2060" w:type="dxa"/>
            <w:tcBorders>
              <w:top w:val="nil"/>
              <w:left w:val="single" w:sz="4" w:space="0" w:color="auto"/>
              <w:bottom w:val="single" w:sz="4" w:space="0" w:color="auto"/>
              <w:right w:val="nil"/>
            </w:tcBorders>
            <w:shd w:val="clear" w:color="000000" w:fill="FFFFFF"/>
            <w:hideMark/>
          </w:tcPr>
          <w:p w:rsidR="00236E18" w:rsidRPr="00EB3DE6" w:rsidRDefault="00236E18" w:rsidP="00294272">
            <w:pPr>
              <w:rPr>
                <w:sz w:val="16"/>
                <w:szCs w:val="16"/>
                <w:lang w:bidi="es-ES"/>
              </w:rPr>
            </w:pPr>
            <w:r w:rsidRPr="00EB3DE6">
              <w:rPr>
                <w:sz w:val="16"/>
                <w:szCs w:val="16"/>
                <w:lang w:bidi="es-ES"/>
              </w:rPr>
              <w:t> </w:t>
            </w:r>
          </w:p>
        </w:tc>
        <w:tc>
          <w:tcPr>
            <w:tcW w:w="2500" w:type="dxa"/>
            <w:tcBorders>
              <w:top w:val="nil"/>
              <w:left w:val="nil"/>
              <w:bottom w:val="single" w:sz="4" w:space="0" w:color="auto"/>
              <w:right w:val="nil"/>
            </w:tcBorders>
            <w:shd w:val="clear" w:color="000000" w:fill="FFFFFF"/>
            <w:hideMark/>
          </w:tcPr>
          <w:p w:rsidR="00236E18" w:rsidRPr="00EB3DE6" w:rsidRDefault="00236E18" w:rsidP="00294272">
            <w:pPr>
              <w:rPr>
                <w:sz w:val="16"/>
                <w:szCs w:val="16"/>
                <w:lang w:bidi="es-ES"/>
              </w:rPr>
            </w:pPr>
            <w:r w:rsidRPr="00EB3DE6">
              <w:rPr>
                <w:sz w:val="16"/>
                <w:szCs w:val="16"/>
                <w:lang w:bidi="es-ES"/>
              </w:rPr>
              <w:t>Mejores servicios electrónicos respecto del Registro de Lisboa y el Artículo 6</w:t>
            </w:r>
            <w:r w:rsidRPr="00EB3DE6">
              <w:rPr>
                <w:i/>
                <w:sz w:val="16"/>
                <w:szCs w:val="16"/>
                <w:lang w:bidi="es-ES"/>
              </w:rPr>
              <w:t>ter</w:t>
            </w:r>
          </w:p>
        </w:tc>
        <w:tc>
          <w:tcPr>
            <w:tcW w:w="2620" w:type="dxa"/>
            <w:tcBorders>
              <w:top w:val="nil"/>
              <w:left w:val="nil"/>
              <w:bottom w:val="single" w:sz="4" w:space="0" w:color="auto"/>
              <w:right w:val="nil"/>
            </w:tcBorders>
            <w:shd w:val="clear" w:color="000000" w:fill="FFFFFF"/>
            <w:hideMark/>
          </w:tcPr>
          <w:p w:rsidR="00236E18" w:rsidRPr="00EB3DE6" w:rsidRDefault="00236E18" w:rsidP="00294272">
            <w:pPr>
              <w:rPr>
                <w:sz w:val="16"/>
                <w:szCs w:val="16"/>
                <w:lang w:bidi="es-ES"/>
              </w:rPr>
            </w:pPr>
            <w:r w:rsidRPr="00EB3DE6">
              <w:rPr>
                <w:sz w:val="16"/>
                <w:szCs w:val="16"/>
                <w:lang w:bidi="es-ES"/>
              </w:rPr>
              <w:t>Simple adopción de un registro electrónico</w:t>
            </w:r>
          </w:p>
        </w:tc>
        <w:tc>
          <w:tcPr>
            <w:tcW w:w="2191" w:type="dxa"/>
            <w:tcBorders>
              <w:top w:val="nil"/>
              <w:left w:val="nil"/>
              <w:bottom w:val="single" w:sz="4" w:space="0" w:color="auto"/>
              <w:right w:val="single" w:sz="4" w:space="0" w:color="auto"/>
            </w:tcBorders>
            <w:shd w:val="clear" w:color="000000" w:fill="FFFFFF"/>
            <w:hideMark/>
          </w:tcPr>
          <w:p w:rsidR="00236E18" w:rsidRPr="00EB3DE6" w:rsidRDefault="00236E18" w:rsidP="00294272">
            <w:pPr>
              <w:rPr>
                <w:sz w:val="16"/>
                <w:szCs w:val="16"/>
                <w:lang w:bidi="es-ES"/>
              </w:rPr>
            </w:pPr>
            <w:r w:rsidRPr="00EB3DE6">
              <w:rPr>
                <w:sz w:val="16"/>
                <w:szCs w:val="16"/>
                <w:lang w:bidi="es-ES"/>
              </w:rPr>
              <w:t xml:space="preserve">Formularios electrónicos de presentación de solicitudes por Internet </w:t>
            </w:r>
          </w:p>
        </w:tc>
      </w:tr>
    </w:tbl>
    <w:p w:rsidR="00236E18" w:rsidRPr="00B4623A" w:rsidRDefault="00236E18" w:rsidP="00236E18">
      <w:pPr>
        <w:rPr>
          <w:lang w:bidi="es-ES"/>
        </w:rPr>
      </w:pPr>
    </w:p>
    <w:p w:rsidR="00236E18" w:rsidRPr="00B4623A" w:rsidRDefault="00236E18" w:rsidP="00236E18">
      <w:pPr>
        <w:rPr>
          <w:lang w:bidi="es-ES"/>
        </w:rPr>
      </w:pPr>
    </w:p>
    <w:p w:rsidR="00236E18" w:rsidRPr="003E6776" w:rsidRDefault="00236E18" w:rsidP="00236E18">
      <w:r w:rsidRPr="003E6776">
        <w:t xml:space="preserve">RECURSOS PARA EL PROGRAMA </w:t>
      </w:r>
      <w:r>
        <w:t>32</w:t>
      </w:r>
    </w:p>
    <w:p w:rsidR="00236E18" w:rsidRPr="00F9567D" w:rsidRDefault="00236E18" w:rsidP="00236E18"/>
    <w:p w:rsidR="00236E18" w:rsidRPr="00F9567D" w:rsidRDefault="00236E18" w:rsidP="00236E18">
      <w:pPr>
        <w:widowControl w:val="0"/>
        <w:numPr>
          <w:ilvl w:val="0"/>
          <w:numId w:val="77"/>
        </w:numPr>
        <w:jc w:val="both"/>
        <w:rPr>
          <w:sz w:val="20"/>
        </w:rPr>
      </w:pPr>
      <w:r>
        <w:rPr>
          <w:sz w:val="20"/>
        </w:rPr>
        <w:t xml:space="preserve">En el bienio 2016/17 se crea el programa 32 tras separar al Sistema de Lisboa del programa 6.  </w:t>
      </w:r>
      <w:r w:rsidRPr="00A460DB">
        <w:rPr>
          <w:sz w:val="20"/>
        </w:rPr>
        <w:t>La dotación de recursos para e</w:t>
      </w:r>
      <w:r>
        <w:rPr>
          <w:sz w:val="20"/>
        </w:rPr>
        <w:t>ste programa es el reflejo de la transferencia tanto de los recursos de personal como los no relativos a personal desde el programa 6.  Habida cuenta de que este programa es nuevo, no se dispone de datos comparativos con el presupuesto aprobado de 2014/15 ni con el presupuesto 2014/15 tras las transferencias.</w:t>
      </w:r>
    </w:p>
    <w:p w:rsidR="00236E18" w:rsidRPr="00DE56AC" w:rsidRDefault="00236E18" w:rsidP="00236E18">
      <w:pPr>
        <w:jc w:val="both"/>
        <w:rPr>
          <w:sz w:val="20"/>
        </w:rPr>
      </w:pPr>
    </w:p>
    <w:p w:rsidR="00236E18" w:rsidRPr="004834E8" w:rsidRDefault="00236E18" w:rsidP="00236E18">
      <w:pPr>
        <w:keepNext/>
        <w:jc w:val="center"/>
        <w:rPr>
          <w:b/>
          <w:bCs/>
          <w:iCs/>
          <w:sz w:val="20"/>
          <w:szCs w:val="28"/>
        </w:rPr>
      </w:pPr>
      <w:r w:rsidRPr="004834E8">
        <w:rPr>
          <w:b/>
          <w:bCs/>
          <w:iCs/>
          <w:sz w:val="20"/>
          <w:szCs w:val="28"/>
        </w:rPr>
        <w:lastRenderedPageBreak/>
        <w:t>Sistema de Lisboa</w:t>
      </w:r>
      <w:proofErr w:type="gramStart"/>
      <w:r w:rsidRPr="004834E8">
        <w:rPr>
          <w:b/>
          <w:bCs/>
          <w:iCs/>
          <w:sz w:val="20"/>
          <w:szCs w:val="28"/>
        </w:rPr>
        <w:t>:  Recursos</w:t>
      </w:r>
      <w:proofErr w:type="gramEnd"/>
      <w:r w:rsidRPr="004834E8">
        <w:rPr>
          <w:b/>
          <w:bCs/>
          <w:iCs/>
          <w:sz w:val="20"/>
          <w:szCs w:val="28"/>
        </w:rPr>
        <w:t xml:space="preserve"> por resultado</w:t>
      </w:r>
    </w:p>
    <w:p w:rsidR="00236E18" w:rsidRPr="004834E8" w:rsidRDefault="00236E18" w:rsidP="00236E18">
      <w:pPr>
        <w:keepNext/>
        <w:jc w:val="center"/>
        <w:rPr>
          <w:bCs/>
          <w:i/>
          <w:iCs/>
          <w:sz w:val="20"/>
          <w:szCs w:val="28"/>
        </w:rPr>
      </w:pPr>
      <w:r w:rsidRPr="004834E8">
        <w:rPr>
          <w:bCs/>
          <w:i/>
          <w:iCs/>
          <w:sz w:val="20"/>
          <w:szCs w:val="28"/>
        </w:rPr>
        <w:t>(</w:t>
      </w:r>
      <w:proofErr w:type="gramStart"/>
      <w:r w:rsidRPr="004834E8">
        <w:rPr>
          <w:bCs/>
          <w:i/>
          <w:iCs/>
          <w:sz w:val="20"/>
          <w:szCs w:val="28"/>
        </w:rPr>
        <w:t>en</w:t>
      </w:r>
      <w:proofErr w:type="gramEnd"/>
      <w:r w:rsidRPr="004834E8">
        <w:rPr>
          <w:bCs/>
          <w:i/>
          <w:iCs/>
          <w:sz w:val="20"/>
          <w:szCs w:val="28"/>
        </w:rPr>
        <w:t xml:space="preserve"> miles de francos suizos)</w:t>
      </w:r>
    </w:p>
    <w:p w:rsidR="00236E18" w:rsidRPr="004834E8" w:rsidRDefault="00236E18" w:rsidP="00236E18">
      <w:pPr>
        <w:keepNext/>
        <w:jc w:val="center"/>
        <w:rPr>
          <w:bCs/>
          <w:i/>
          <w:iCs/>
          <w:sz w:val="20"/>
        </w:rPr>
      </w:pPr>
    </w:p>
    <w:p w:rsidR="00236E18" w:rsidRPr="00EB3DE6" w:rsidRDefault="00236E18" w:rsidP="00236E18">
      <w:pPr>
        <w:widowControl w:val="0"/>
        <w:jc w:val="both"/>
        <w:rPr>
          <w:sz w:val="20"/>
        </w:rPr>
      </w:pPr>
      <w:r w:rsidRPr="006C3FFE">
        <w:rPr>
          <w:noProof/>
          <w:lang w:val="en-US" w:eastAsia="en-US"/>
        </w:rPr>
        <w:drawing>
          <wp:inline distT="0" distB="0" distL="0" distR="0" wp14:anchorId="562AC1BC" wp14:editId="41573126">
            <wp:extent cx="5676265" cy="1371600"/>
            <wp:effectExtent l="0" t="0" r="635" b="0"/>
            <wp:docPr id="1022"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676265" cy="1371600"/>
                    </a:xfrm>
                    <a:prstGeom prst="rect">
                      <a:avLst/>
                    </a:prstGeom>
                    <a:noFill/>
                    <a:ln>
                      <a:noFill/>
                    </a:ln>
                  </pic:spPr>
                </pic:pic>
              </a:graphicData>
            </a:graphic>
          </wp:inline>
        </w:drawing>
      </w:r>
    </w:p>
    <w:p w:rsidR="00236E18" w:rsidRPr="00B4623A" w:rsidRDefault="00236E18" w:rsidP="00236E18">
      <w:pPr>
        <w:rPr>
          <w:bCs/>
          <w:iCs/>
          <w:lang w:bidi="es-ES"/>
        </w:rPr>
      </w:pPr>
    </w:p>
    <w:p w:rsidR="00236E18" w:rsidRPr="00A54279" w:rsidRDefault="00236E18" w:rsidP="00236E18">
      <w:pPr>
        <w:jc w:val="center"/>
        <w:rPr>
          <w:b/>
          <w:bCs/>
          <w:iCs/>
          <w:sz w:val="20"/>
          <w:lang w:bidi="es-ES"/>
        </w:rPr>
      </w:pPr>
      <w:r w:rsidRPr="00A54279">
        <w:rPr>
          <w:b/>
          <w:bCs/>
          <w:iCs/>
          <w:sz w:val="20"/>
          <w:lang w:bidi="es-ES"/>
        </w:rPr>
        <w:t>Sistema de Lisboa</w:t>
      </w:r>
      <w:proofErr w:type="gramStart"/>
      <w:r w:rsidRPr="00A54279">
        <w:rPr>
          <w:b/>
          <w:bCs/>
          <w:iCs/>
          <w:sz w:val="20"/>
          <w:lang w:bidi="es-ES"/>
        </w:rPr>
        <w:t>:  Recursos</w:t>
      </w:r>
      <w:proofErr w:type="gramEnd"/>
      <w:r w:rsidRPr="00A54279">
        <w:rPr>
          <w:b/>
          <w:bCs/>
          <w:iCs/>
          <w:sz w:val="20"/>
          <w:lang w:bidi="es-ES"/>
        </w:rPr>
        <w:t xml:space="preserve"> por objeto de gasto</w:t>
      </w:r>
    </w:p>
    <w:p w:rsidR="00236E18" w:rsidRPr="00A54279" w:rsidRDefault="00236E18" w:rsidP="00236E18">
      <w:pPr>
        <w:jc w:val="center"/>
        <w:rPr>
          <w:bCs/>
          <w:i/>
          <w:iCs/>
          <w:sz w:val="20"/>
          <w:lang w:bidi="es-ES"/>
        </w:rPr>
      </w:pPr>
      <w:r w:rsidRPr="00A54279">
        <w:rPr>
          <w:bCs/>
          <w:i/>
          <w:iCs/>
          <w:sz w:val="20"/>
          <w:lang w:bidi="es-ES"/>
        </w:rPr>
        <w:t>(</w:t>
      </w:r>
      <w:proofErr w:type="gramStart"/>
      <w:r w:rsidRPr="00A54279">
        <w:rPr>
          <w:bCs/>
          <w:i/>
          <w:iCs/>
          <w:sz w:val="20"/>
          <w:lang w:bidi="es-ES"/>
        </w:rPr>
        <w:t>en</w:t>
      </w:r>
      <w:proofErr w:type="gramEnd"/>
      <w:r w:rsidRPr="00A54279">
        <w:rPr>
          <w:bCs/>
          <w:i/>
          <w:iCs/>
          <w:sz w:val="20"/>
          <w:lang w:bidi="es-ES"/>
        </w:rPr>
        <w:t xml:space="preserve"> miles de francos suizos)</w:t>
      </w:r>
    </w:p>
    <w:p w:rsidR="00236E18" w:rsidRPr="00B4623A" w:rsidRDefault="00236E18" w:rsidP="00236E18">
      <w:pPr>
        <w:rPr>
          <w:bCs/>
          <w:i/>
          <w:iCs/>
          <w:lang w:bidi="es-ES"/>
        </w:rPr>
      </w:pPr>
    </w:p>
    <w:p w:rsidR="00236E18" w:rsidRPr="00B4623A" w:rsidRDefault="00236E18" w:rsidP="00236E18">
      <w:pPr>
        <w:rPr>
          <w:bCs/>
          <w:iCs/>
          <w:lang w:bidi="es-ES"/>
        </w:rPr>
      </w:pPr>
      <w:r w:rsidRPr="00B4623A">
        <w:rPr>
          <w:noProof/>
          <w:lang w:val="en-US" w:eastAsia="en-US"/>
        </w:rPr>
        <w:drawing>
          <wp:inline distT="0" distB="0" distL="0" distR="0" wp14:anchorId="557FAD70" wp14:editId="1E2D7D1B">
            <wp:extent cx="5940425" cy="6065088"/>
            <wp:effectExtent l="0" t="0" r="317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0425" cy="6065088"/>
                    </a:xfrm>
                    <a:prstGeom prst="rect">
                      <a:avLst/>
                    </a:prstGeom>
                    <a:noFill/>
                    <a:ln>
                      <a:noFill/>
                    </a:ln>
                  </pic:spPr>
                </pic:pic>
              </a:graphicData>
            </a:graphic>
          </wp:inline>
        </w:drawing>
      </w:r>
    </w:p>
    <w:p w:rsidR="00236E18" w:rsidRPr="00B4623A" w:rsidRDefault="00236E18" w:rsidP="00236E18">
      <w:pPr>
        <w:rPr>
          <w:bCs/>
          <w:iCs/>
          <w:lang w:bidi="es-ES"/>
        </w:rPr>
      </w:pPr>
    </w:p>
    <w:p w:rsidR="00236E18" w:rsidRDefault="00236E18" w:rsidP="00236E18">
      <w:pPr>
        <w:rPr>
          <w:rFonts w:eastAsia="Times New Roman"/>
          <w:b/>
          <w:iCs/>
          <w:caps/>
          <w:szCs w:val="22"/>
          <w:lang w:eastAsia="en-US"/>
        </w:rPr>
      </w:pPr>
      <w:r>
        <w:br w:type="page"/>
      </w:r>
    </w:p>
    <w:p w:rsidR="00236E18" w:rsidRPr="00F4741E" w:rsidRDefault="00236E18" w:rsidP="00236E18">
      <w:pPr>
        <w:pStyle w:val="StyleStyleHeading3ComplexItalicLatin12pt"/>
        <w:rPr>
          <w:lang w:val="es-ES"/>
        </w:rPr>
      </w:pPr>
      <w:bookmarkStart w:id="56" w:name="_Toc431573548"/>
      <w:bookmarkStart w:id="57" w:name="_Toc431573949"/>
      <w:r w:rsidRPr="00F4741E">
        <w:rPr>
          <w:lang w:val="es-ES"/>
        </w:rPr>
        <w:lastRenderedPageBreak/>
        <w:t>PROGRAMA 7</w:t>
      </w:r>
      <w:r w:rsidRPr="00F4741E">
        <w:rPr>
          <w:lang w:val="es-ES"/>
        </w:rPr>
        <w:tab/>
        <w:t>CENTRO DE ARBITRAJE Y MEDIACIÓN DE LA OMPI</w:t>
      </w:r>
      <w:bookmarkEnd w:id="56"/>
      <w:bookmarkEnd w:id="57"/>
    </w:p>
    <w:p w:rsidR="00236E18" w:rsidRPr="00041B7B" w:rsidRDefault="00236E18" w:rsidP="00236E18"/>
    <w:p w:rsidR="00236E18" w:rsidRPr="00041B7B" w:rsidRDefault="00236E18" w:rsidP="00236E18">
      <w:pPr>
        <w:rPr>
          <w:sz w:val="20"/>
        </w:rPr>
      </w:pPr>
    </w:p>
    <w:p w:rsidR="00236E18" w:rsidRPr="00041B7B" w:rsidRDefault="00236E18" w:rsidP="00236E18">
      <w:pPr>
        <w:pStyle w:val="BodyText"/>
        <w:spacing w:after="0"/>
        <w:jc w:val="both"/>
        <w:rPr>
          <w:szCs w:val="22"/>
        </w:rPr>
      </w:pPr>
      <w:r w:rsidRPr="00041B7B">
        <w:rPr>
          <w:szCs w:val="22"/>
        </w:rPr>
        <w:t>CONTEXTO DE PLANIFICACIÓN</w:t>
      </w:r>
    </w:p>
    <w:p w:rsidR="00236E18" w:rsidRPr="00041B7B" w:rsidRDefault="00236E18" w:rsidP="00236E18">
      <w:pPr>
        <w:jc w:val="both"/>
        <w:rPr>
          <w:sz w:val="20"/>
        </w:rPr>
      </w:pPr>
    </w:p>
    <w:p w:rsidR="00236E18" w:rsidRPr="00ED369F" w:rsidRDefault="00236E18" w:rsidP="00236E18">
      <w:pPr>
        <w:pStyle w:val="BodyText"/>
        <w:widowControl w:val="0"/>
        <w:numPr>
          <w:ilvl w:val="1"/>
          <w:numId w:val="19"/>
        </w:numPr>
        <w:tabs>
          <w:tab w:val="left" w:pos="567"/>
        </w:tabs>
        <w:spacing w:after="0"/>
        <w:ind w:firstLine="0"/>
        <w:jc w:val="both"/>
        <w:rPr>
          <w:rFonts w:eastAsiaTheme="minorEastAsia"/>
          <w:sz w:val="20"/>
          <w:lang w:eastAsia="ja-JP"/>
        </w:rPr>
      </w:pPr>
      <w:r w:rsidRPr="00ED369F">
        <w:rPr>
          <w:rFonts w:eastAsiaTheme="minorEastAsia"/>
          <w:sz w:val="20"/>
          <w:lang w:eastAsia="ja-JP"/>
        </w:rPr>
        <w:t>En el marco de una economía impulsada por la P.I., las partes interesadas han de integrar la gestión de los conflictos en sus procesos institucionales (por ejemplo, el desarrollo de nuevas tecnologías), así como aplicar prácticas contractuales y políticas de observancia más amplias.  Comprender los riesgos que conlleva la solución de controversias puede ayudar a reducir al mínimo las perturbaciones que tales controversias pueden ocasionar en la explotación de los derechos de P.I.</w:t>
      </w:r>
    </w:p>
    <w:p w:rsidR="00236E18" w:rsidRPr="00ED369F" w:rsidRDefault="00236E18" w:rsidP="00236E18">
      <w:pPr>
        <w:tabs>
          <w:tab w:val="left" w:pos="567"/>
        </w:tabs>
        <w:jc w:val="both"/>
        <w:rPr>
          <w:rFonts w:eastAsiaTheme="minorEastAsia"/>
          <w:sz w:val="20"/>
          <w:lang w:eastAsia="ja-JP"/>
        </w:rPr>
      </w:pPr>
    </w:p>
    <w:p w:rsidR="00236E18" w:rsidRPr="00ED369F" w:rsidRDefault="00236E18" w:rsidP="00236E18">
      <w:pPr>
        <w:pStyle w:val="BodyText"/>
        <w:widowControl w:val="0"/>
        <w:numPr>
          <w:ilvl w:val="1"/>
          <w:numId w:val="19"/>
        </w:numPr>
        <w:tabs>
          <w:tab w:val="left" w:pos="567"/>
          <w:tab w:val="left" w:pos="854"/>
        </w:tabs>
        <w:spacing w:after="0"/>
        <w:ind w:firstLine="0"/>
        <w:jc w:val="both"/>
        <w:rPr>
          <w:rFonts w:eastAsiaTheme="minorEastAsia"/>
          <w:sz w:val="20"/>
          <w:lang w:eastAsia="ja-JP"/>
        </w:rPr>
      </w:pPr>
      <w:r w:rsidRPr="00ED369F">
        <w:rPr>
          <w:rFonts w:eastAsiaTheme="minorEastAsia"/>
          <w:sz w:val="20"/>
          <w:lang w:eastAsia="ja-JP"/>
        </w:rPr>
        <w:t xml:space="preserve">Los tribunales y las autoridades de P.I. tienden a ofrecer soluciones formales de carácter territorial que surgen de procedimientos basados en derechos de aplicación generalizada, pero en la medida en que la creación y el uso de la P.I. tienen cada vez mayor carácter internacional, los titulares y los usuarios de los derechos recurren cada vez con más frecuencia a mecanismos de solución de controversias aplicables en el plano internacional.  En cuanto que centro mundial de recursos, el Centro de Arbitraje y Mediación de la OMPI contribuye a tales esfuerzos aumentando la sensibilización en esta materia y, en su calidad de proveedor de servicios, ofreciendo instrumentos de administración de controversias a partir de las cláusulas y los reglamentos elaborados por la OMPI.  Entre los beneficiarios potenciales de este servicio se incluyen entidades privadas y autoridades públicas interesadas en utilizar las opciones que ofrece la solución extrajudicial de controversias. </w:t>
      </w:r>
    </w:p>
    <w:p w:rsidR="00236E18" w:rsidRPr="00ED369F" w:rsidRDefault="00236E18" w:rsidP="00236E18">
      <w:pPr>
        <w:pStyle w:val="BodyText"/>
        <w:tabs>
          <w:tab w:val="left" w:pos="567"/>
          <w:tab w:val="left" w:pos="876"/>
        </w:tabs>
        <w:spacing w:after="0"/>
        <w:jc w:val="both"/>
        <w:rPr>
          <w:rFonts w:eastAsiaTheme="minorEastAsia"/>
          <w:sz w:val="20"/>
          <w:lang w:eastAsia="ja-JP"/>
        </w:rPr>
      </w:pPr>
    </w:p>
    <w:p w:rsidR="00236E18" w:rsidRPr="00ED369F" w:rsidRDefault="00236E18" w:rsidP="00236E18">
      <w:pPr>
        <w:pStyle w:val="BodyText"/>
        <w:widowControl w:val="0"/>
        <w:numPr>
          <w:ilvl w:val="1"/>
          <w:numId w:val="19"/>
        </w:numPr>
        <w:tabs>
          <w:tab w:val="left" w:pos="567"/>
          <w:tab w:val="left" w:pos="876"/>
        </w:tabs>
        <w:spacing w:after="0"/>
        <w:ind w:firstLine="0"/>
        <w:jc w:val="both"/>
        <w:rPr>
          <w:rFonts w:eastAsiaTheme="minorEastAsia"/>
          <w:sz w:val="20"/>
          <w:lang w:eastAsia="ja-JP"/>
        </w:rPr>
      </w:pPr>
      <w:r w:rsidRPr="00ED369F">
        <w:rPr>
          <w:rFonts w:eastAsiaTheme="minorEastAsia"/>
          <w:sz w:val="20"/>
          <w:lang w:eastAsia="ja-JP"/>
        </w:rPr>
        <w:t>El Centro de Arbitraje y Mediación de la OMPI desarrolla y mantiene marcos de solución extrajudicial de controversias de P.I.  Al mismo tiempo, por motivos comerciales y políticos, son varios los proveedores de servicios de solución extrajudicial de controversias, privados y públicos, que compiten en la facilitación de tales mecanismos.</w:t>
      </w:r>
    </w:p>
    <w:p w:rsidR="00236E18" w:rsidRPr="00041B7B" w:rsidRDefault="00236E18" w:rsidP="00236E18">
      <w:pPr>
        <w:pStyle w:val="BodyText"/>
        <w:tabs>
          <w:tab w:val="left" w:pos="567"/>
          <w:tab w:val="left" w:pos="876"/>
        </w:tabs>
        <w:spacing w:after="0"/>
        <w:jc w:val="both"/>
        <w:rPr>
          <w:rFonts w:eastAsiaTheme="minorEastAsia"/>
          <w:lang w:eastAsia="ja-JP"/>
        </w:rPr>
      </w:pPr>
    </w:p>
    <w:p w:rsidR="00236E18" w:rsidRPr="00ED369F" w:rsidRDefault="00236E18" w:rsidP="00236E18">
      <w:pPr>
        <w:pStyle w:val="BodyText"/>
        <w:widowControl w:val="0"/>
        <w:numPr>
          <w:ilvl w:val="1"/>
          <w:numId w:val="19"/>
        </w:numPr>
        <w:tabs>
          <w:tab w:val="left" w:pos="567"/>
          <w:tab w:val="left" w:pos="876"/>
        </w:tabs>
        <w:spacing w:after="0"/>
        <w:ind w:firstLine="0"/>
        <w:jc w:val="both"/>
        <w:rPr>
          <w:rFonts w:eastAsiaTheme="minorEastAsia"/>
          <w:sz w:val="20"/>
          <w:lang w:eastAsia="ja-JP"/>
        </w:rPr>
      </w:pPr>
      <w:r w:rsidRPr="00ED369F">
        <w:rPr>
          <w:rFonts w:eastAsiaTheme="minorEastAsia"/>
          <w:sz w:val="20"/>
          <w:lang w:eastAsia="ja-JP"/>
        </w:rPr>
        <w:t>Un ejemplo de la capacidad potencial de los mecanismos de solución extrajudicial de controversias en materia de P.I. es la Política Uniforme de Solución de Controversias en materia de Nombres de Dominio (Política Uniforme), impulsada por la OMPI.  En el marco de este mecanismo, de alcance mundial y disponible en Internet, que constituye una alternativa a los procedimientos judiciales para hacer frente a los abusos contra las marcas en el Sistema de Nombres de Dominio de Internet (DNS), el Centro de Arbitraje y Mediación de la OMPI ha tramitado más de 30.000 demandas a lo largo de 2014.  El entorno del DNS va a ser objeto de importantes cambios, que se traducirán en un gran aumento del número de dominios genéricos de nivel superior (</w:t>
      </w:r>
      <w:proofErr w:type="spellStart"/>
      <w:r w:rsidRPr="00ED369F">
        <w:rPr>
          <w:rFonts w:eastAsiaTheme="minorEastAsia"/>
          <w:sz w:val="20"/>
          <w:lang w:eastAsia="ja-JP"/>
        </w:rPr>
        <w:t>gTLD</w:t>
      </w:r>
      <w:proofErr w:type="spellEnd"/>
      <w:r w:rsidRPr="00ED369F">
        <w:rPr>
          <w:rFonts w:eastAsiaTheme="minorEastAsia"/>
          <w:sz w:val="20"/>
          <w:lang w:eastAsia="ja-JP"/>
        </w:rPr>
        <w:t xml:space="preserve">) y en la introducción de </w:t>
      </w:r>
      <w:proofErr w:type="spellStart"/>
      <w:r w:rsidRPr="00ED369F">
        <w:rPr>
          <w:rFonts w:eastAsiaTheme="minorEastAsia"/>
          <w:sz w:val="20"/>
          <w:lang w:eastAsia="ja-JP"/>
        </w:rPr>
        <w:t>gTLD</w:t>
      </w:r>
      <w:proofErr w:type="spellEnd"/>
      <w:r w:rsidRPr="00ED369F">
        <w:rPr>
          <w:rFonts w:eastAsiaTheme="minorEastAsia"/>
          <w:sz w:val="20"/>
          <w:lang w:eastAsia="ja-JP"/>
        </w:rPr>
        <w:t xml:space="preserve"> y nombres de dominio internacionalizados (caracteres no latinos).</w:t>
      </w:r>
    </w:p>
    <w:p w:rsidR="00236E18" w:rsidRPr="00ED369F" w:rsidRDefault="00236E18" w:rsidP="00236E18">
      <w:pPr>
        <w:pStyle w:val="BodyText"/>
        <w:tabs>
          <w:tab w:val="left" w:pos="567"/>
          <w:tab w:val="left" w:pos="876"/>
        </w:tabs>
        <w:spacing w:after="0"/>
        <w:jc w:val="both"/>
        <w:rPr>
          <w:rFonts w:eastAsiaTheme="minorEastAsia"/>
          <w:sz w:val="20"/>
          <w:lang w:eastAsia="ja-JP"/>
        </w:rPr>
      </w:pPr>
    </w:p>
    <w:p w:rsidR="00236E18" w:rsidRPr="00ED369F" w:rsidRDefault="00236E18" w:rsidP="00236E18">
      <w:pPr>
        <w:pStyle w:val="BodyText"/>
        <w:widowControl w:val="0"/>
        <w:numPr>
          <w:ilvl w:val="1"/>
          <w:numId w:val="19"/>
        </w:numPr>
        <w:tabs>
          <w:tab w:val="left" w:pos="567"/>
          <w:tab w:val="left" w:pos="876"/>
        </w:tabs>
        <w:spacing w:after="0"/>
        <w:ind w:firstLine="0"/>
        <w:jc w:val="both"/>
        <w:rPr>
          <w:rFonts w:eastAsiaTheme="minorEastAsia"/>
          <w:sz w:val="20"/>
          <w:lang w:eastAsia="ja-JP"/>
        </w:rPr>
      </w:pPr>
      <w:r w:rsidRPr="00ED369F">
        <w:rPr>
          <w:rFonts w:eastAsiaTheme="minorEastAsia"/>
          <w:sz w:val="20"/>
          <w:lang w:eastAsia="ja-JP"/>
        </w:rPr>
        <w:t>Con el fin de reducir las consecuencias adversas de estas condiciones inciertas en la P.I., el Centro de Arbitraje y Mediación de la OMPI sigue desempeñando una función dinámica de supervisión de soluciones que será objeto de aprobación por parte de la Corporación para la Asignación de Nombres y Números de Internet (ICANN).  En este sentido, los cambios sustanciales que se produzcan en la demanda de la Política Uniforme podrían incidir en este servicio de la OMPI.</w:t>
      </w:r>
    </w:p>
    <w:p w:rsidR="00236E18" w:rsidRPr="00ED369F" w:rsidRDefault="00236E18" w:rsidP="00236E18">
      <w:pPr>
        <w:pStyle w:val="BodyText"/>
        <w:tabs>
          <w:tab w:val="left" w:pos="567"/>
          <w:tab w:val="left" w:pos="876"/>
        </w:tabs>
        <w:spacing w:after="0"/>
        <w:jc w:val="both"/>
        <w:rPr>
          <w:rFonts w:eastAsiaTheme="minorEastAsia"/>
          <w:sz w:val="20"/>
          <w:lang w:eastAsia="ja-JP"/>
        </w:rPr>
      </w:pPr>
    </w:p>
    <w:p w:rsidR="00236E18" w:rsidRPr="00ED369F" w:rsidRDefault="00236E18" w:rsidP="00236E18">
      <w:pPr>
        <w:pStyle w:val="BodyText"/>
        <w:widowControl w:val="0"/>
        <w:numPr>
          <w:ilvl w:val="1"/>
          <w:numId w:val="19"/>
        </w:numPr>
        <w:tabs>
          <w:tab w:val="left" w:pos="567"/>
          <w:tab w:val="left" w:pos="876"/>
        </w:tabs>
        <w:spacing w:after="0"/>
        <w:ind w:firstLine="0"/>
        <w:jc w:val="both"/>
        <w:rPr>
          <w:rFonts w:eastAsiaTheme="minorEastAsia"/>
          <w:sz w:val="20"/>
          <w:lang w:eastAsia="ja-JP"/>
        </w:rPr>
      </w:pPr>
      <w:r w:rsidRPr="00ED369F">
        <w:rPr>
          <w:rFonts w:eastAsiaTheme="minorEastAsia"/>
          <w:sz w:val="20"/>
          <w:lang w:eastAsia="ja-JP"/>
        </w:rPr>
        <w:t>El Centro de Arbitraje y Mediación de la OMPI brinda asistencia a los dominios de nivel superior correspondientes a códigos de países (</w:t>
      </w:r>
      <w:proofErr w:type="spellStart"/>
      <w:r w:rsidRPr="00ED369F">
        <w:rPr>
          <w:rFonts w:eastAsiaTheme="minorEastAsia"/>
          <w:sz w:val="20"/>
          <w:lang w:eastAsia="ja-JP"/>
        </w:rPr>
        <w:t>ccTLD</w:t>
      </w:r>
      <w:proofErr w:type="spellEnd"/>
      <w:r w:rsidRPr="00ED369F">
        <w:rPr>
          <w:rFonts w:eastAsiaTheme="minorEastAsia"/>
          <w:sz w:val="20"/>
          <w:lang w:eastAsia="ja-JP"/>
        </w:rPr>
        <w:t xml:space="preserve">) en el establecimiento de las mejores prácticas de registro y los mecanismos más eficaces de solución de controversias.  De manera más general, en el ámbito de la solución extrajudicial de controversias en materia de P.I., las autoridades nacionales de P.I. recurren al Centro de Arbitraje y Mediación de la OMPI para obtener información sobre la elaboración de mecanismos facultativos de solución extrajudicial de controversias que complementen los procedimientos administrativos con los que cuentan.  El Centro de Arbitraje y Mediación de la OMPI organiza asimismo programas de formación para funcionarios, profesionales y estudiantes de la P.I., en algunos casos por Internet.  Esas actividades de formación y fortalecimiento de las capacidades, realizadas en sintonía con las recomendaciones 1 y 6 de la A.D., contribuirán a la aplicación de la recomendación 10 de la A.D., velando por que los países en desarrollo y los PMA perfeccionen su capacidad institucional para resolver de forma eficiente, justa y </w:t>
      </w:r>
      <w:proofErr w:type="spellStart"/>
      <w:r w:rsidRPr="00ED369F">
        <w:rPr>
          <w:rFonts w:eastAsiaTheme="minorEastAsia"/>
          <w:sz w:val="20"/>
          <w:lang w:eastAsia="ja-JP"/>
        </w:rPr>
        <w:t>costoeficaz</w:t>
      </w:r>
      <w:proofErr w:type="spellEnd"/>
      <w:r w:rsidRPr="00ED369F">
        <w:rPr>
          <w:rFonts w:eastAsiaTheme="minorEastAsia"/>
          <w:sz w:val="20"/>
          <w:lang w:eastAsia="ja-JP"/>
        </w:rPr>
        <w:t xml:space="preserve"> las controversias en materia de P.I.</w:t>
      </w:r>
    </w:p>
    <w:p w:rsidR="00236E18" w:rsidRPr="00ED369F" w:rsidRDefault="00236E18" w:rsidP="00236E18">
      <w:pPr>
        <w:tabs>
          <w:tab w:val="left" w:pos="567"/>
        </w:tabs>
        <w:jc w:val="both"/>
        <w:rPr>
          <w:sz w:val="20"/>
        </w:rPr>
      </w:pPr>
    </w:p>
    <w:p w:rsidR="00236E18" w:rsidRPr="00ED369F" w:rsidRDefault="00236E18" w:rsidP="00236E18">
      <w:pPr>
        <w:tabs>
          <w:tab w:val="left" w:pos="567"/>
        </w:tabs>
        <w:jc w:val="both"/>
        <w:rPr>
          <w:sz w:val="20"/>
        </w:rPr>
      </w:pPr>
    </w:p>
    <w:p w:rsidR="00236E18" w:rsidRPr="00041B7B" w:rsidRDefault="00236E18" w:rsidP="00236E18">
      <w:pPr>
        <w:keepNext/>
        <w:keepLines/>
        <w:tabs>
          <w:tab w:val="left" w:pos="567"/>
          <w:tab w:val="left" w:pos="1985"/>
        </w:tabs>
        <w:jc w:val="both"/>
        <w:rPr>
          <w:bCs/>
        </w:rPr>
      </w:pPr>
      <w:r w:rsidRPr="00041B7B">
        <w:rPr>
          <w:bCs/>
        </w:rPr>
        <w:lastRenderedPageBreak/>
        <w:t>ESTRATEGIAS DE EJECUCIÓN</w:t>
      </w:r>
    </w:p>
    <w:p w:rsidR="00236E18" w:rsidRPr="00041B7B" w:rsidRDefault="00236E18" w:rsidP="00236E18">
      <w:pPr>
        <w:keepNext/>
        <w:keepLines/>
        <w:tabs>
          <w:tab w:val="left" w:pos="567"/>
        </w:tabs>
        <w:jc w:val="both"/>
        <w:rPr>
          <w:sz w:val="20"/>
        </w:rPr>
      </w:pPr>
    </w:p>
    <w:p w:rsidR="00236E18" w:rsidRPr="00ED369F" w:rsidRDefault="00236E18" w:rsidP="00236E18">
      <w:pPr>
        <w:pStyle w:val="BodyText"/>
        <w:keepNext/>
        <w:keepLines/>
        <w:widowControl w:val="0"/>
        <w:numPr>
          <w:ilvl w:val="1"/>
          <w:numId w:val="19"/>
        </w:numPr>
        <w:tabs>
          <w:tab w:val="left" w:pos="567"/>
          <w:tab w:val="left" w:pos="876"/>
        </w:tabs>
        <w:spacing w:after="0"/>
        <w:ind w:firstLine="0"/>
        <w:jc w:val="both"/>
        <w:rPr>
          <w:rFonts w:eastAsiaTheme="minorEastAsia"/>
          <w:sz w:val="20"/>
          <w:lang w:eastAsia="ja-JP"/>
        </w:rPr>
      </w:pPr>
      <w:r w:rsidRPr="00ED369F">
        <w:rPr>
          <w:rFonts w:eastAsiaTheme="minorEastAsia"/>
          <w:sz w:val="20"/>
          <w:lang w:eastAsia="ja-JP"/>
        </w:rPr>
        <w:t>A la luz de lo antedicho, el Centro de Arbitraje y Mediación de la OMPI pondrá en práctica las siguientes estrategias:</w:t>
      </w:r>
    </w:p>
    <w:p w:rsidR="00236E18" w:rsidRPr="009121C1" w:rsidRDefault="00236E18" w:rsidP="00236E18">
      <w:pPr>
        <w:keepNext/>
        <w:keepLines/>
        <w:tabs>
          <w:tab w:val="left" w:pos="567"/>
        </w:tabs>
        <w:jc w:val="both"/>
        <w:rPr>
          <w:szCs w:val="22"/>
        </w:rPr>
      </w:pPr>
    </w:p>
    <w:p w:rsidR="00236E18" w:rsidRPr="00ED369F" w:rsidRDefault="00236E18" w:rsidP="00236E18">
      <w:pPr>
        <w:pStyle w:val="BodyText"/>
        <w:keepNext/>
        <w:keepLines/>
        <w:widowControl w:val="0"/>
        <w:numPr>
          <w:ilvl w:val="2"/>
          <w:numId w:val="19"/>
        </w:numPr>
        <w:tabs>
          <w:tab w:val="left" w:pos="567"/>
          <w:tab w:val="left" w:pos="1134"/>
        </w:tabs>
        <w:spacing w:after="0"/>
        <w:ind w:left="567" w:firstLine="0"/>
        <w:jc w:val="both"/>
        <w:rPr>
          <w:position w:val="1"/>
          <w:sz w:val="20"/>
        </w:rPr>
      </w:pPr>
      <w:r w:rsidRPr="00ED369F">
        <w:rPr>
          <w:sz w:val="20"/>
        </w:rPr>
        <w:t xml:space="preserve">Mejorar la sensibilización de las partes interesadas acerca de las opciones disponibles respecto de la solución extrajudicial de controversias en materia de P.I.  </w:t>
      </w:r>
    </w:p>
    <w:p w:rsidR="00236E18" w:rsidRPr="00ED369F" w:rsidRDefault="00236E18" w:rsidP="00236E18">
      <w:pPr>
        <w:pStyle w:val="BodyText"/>
        <w:tabs>
          <w:tab w:val="left" w:pos="567"/>
          <w:tab w:val="left" w:pos="1080"/>
          <w:tab w:val="left" w:pos="1330"/>
        </w:tabs>
        <w:spacing w:after="0"/>
        <w:ind w:left="1077" w:hanging="510"/>
        <w:jc w:val="both"/>
        <w:rPr>
          <w:position w:val="1"/>
          <w:sz w:val="20"/>
        </w:rPr>
      </w:pPr>
    </w:p>
    <w:p w:rsidR="00236E18" w:rsidRPr="00ED369F" w:rsidRDefault="00236E18" w:rsidP="00236E18">
      <w:pPr>
        <w:pStyle w:val="BodyText"/>
        <w:widowControl w:val="0"/>
        <w:numPr>
          <w:ilvl w:val="2"/>
          <w:numId w:val="19"/>
        </w:numPr>
        <w:tabs>
          <w:tab w:val="left" w:pos="567"/>
          <w:tab w:val="left" w:pos="1134"/>
        </w:tabs>
        <w:spacing w:after="0"/>
        <w:ind w:left="567" w:firstLine="0"/>
        <w:jc w:val="both"/>
        <w:rPr>
          <w:position w:val="1"/>
          <w:sz w:val="20"/>
        </w:rPr>
      </w:pPr>
      <w:r w:rsidRPr="00ED369F">
        <w:rPr>
          <w:position w:val="1"/>
          <w:sz w:val="20"/>
        </w:rPr>
        <w:t>Fomentar el interés en los servicios de solución de controversias que presta el Centro de Arbitraje y Mediación de la OMPI, adaptando sus procedimientos y la infraestructura de tramitación de las demandas a las necesidades de los usuarios, en constante evolución, entre otras cosas por medio de soluciones en las que se utilicen las T.I.</w:t>
      </w:r>
    </w:p>
    <w:p w:rsidR="00236E18" w:rsidRPr="00ED369F" w:rsidRDefault="00236E18" w:rsidP="00236E18">
      <w:pPr>
        <w:tabs>
          <w:tab w:val="left" w:pos="567"/>
          <w:tab w:val="left" w:pos="1080"/>
        </w:tabs>
        <w:ind w:left="1080" w:hanging="513"/>
        <w:jc w:val="both"/>
        <w:rPr>
          <w:sz w:val="20"/>
        </w:rPr>
      </w:pPr>
    </w:p>
    <w:p w:rsidR="00236E18" w:rsidRPr="00ED369F" w:rsidRDefault="00236E18" w:rsidP="00236E18">
      <w:pPr>
        <w:pStyle w:val="BodyText"/>
        <w:widowControl w:val="0"/>
        <w:numPr>
          <w:ilvl w:val="2"/>
          <w:numId w:val="19"/>
        </w:numPr>
        <w:tabs>
          <w:tab w:val="left" w:pos="567"/>
          <w:tab w:val="left" w:pos="1134"/>
        </w:tabs>
        <w:spacing w:after="0"/>
        <w:ind w:left="567" w:firstLine="0"/>
        <w:jc w:val="both"/>
        <w:rPr>
          <w:position w:val="1"/>
          <w:sz w:val="20"/>
        </w:rPr>
      </w:pPr>
      <w:r w:rsidRPr="00ED369F">
        <w:rPr>
          <w:sz w:val="20"/>
        </w:rPr>
        <w:t>Colaborar con los titulares de derechos de P.I., los usuarios, las oficinas y demás entidades de P.I. para establecer procedimientos específicamente adaptados a las características particulares de las controversias que se plantean con frecuencia en sus respectivos ámbitos de actividad.</w:t>
      </w:r>
    </w:p>
    <w:p w:rsidR="00236E18" w:rsidRPr="00ED369F" w:rsidRDefault="00236E18" w:rsidP="00236E18">
      <w:pPr>
        <w:tabs>
          <w:tab w:val="left" w:pos="567"/>
        </w:tabs>
        <w:jc w:val="both"/>
        <w:rPr>
          <w:sz w:val="20"/>
        </w:rPr>
      </w:pPr>
    </w:p>
    <w:p w:rsidR="00236E18" w:rsidRPr="00DE56AC" w:rsidRDefault="00236E18" w:rsidP="00236E18">
      <w:pPr>
        <w:pStyle w:val="BodyText"/>
        <w:widowControl w:val="0"/>
        <w:numPr>
          <w:ilvl w:val="1"/>
          <w:numId w:val="19"/>
        </w:numPr>
        <w:tabs>
          <w:tab w:val="left" w:pos="567"/>
          <w:tab w:val="left" w:pos="876"/>
        </w:tabs>
        <w:spacing w:after="0"/>
        <w:ind w:firstLine="0"/>
        <w:jc w:val="both"/>
        <w:rPr>
          <w:rFonts w:eastAsiaTheme="minorEastAsia"/>
          <w:lang w:eastAsia="ja-JP"/>
        </w:rPr>
      </w:pPr>
      <w:r>
        <w:rPr>
          <w:rFonts w:eastAsiaTheme="minorEastAsia"/>
          <w:sz w:val="20"/>
          <w:lang w:eastAsia="ja-JP"/>
        </w:rPr>
        <w:t>El p</w:t>
      </w:r>
      <w:r w:rsidRPr="00DE56AC">
        <w:rPr>
          <w:rFonts w:eastAsiaTheme="minorEastAsia"/>
          <w:sz w:val="20"/>
          <w:lang w:eastAsia="ja-JP"/>
        </w:rPr>
        <w:t>rogram</w:t>
      </w:r>
      <w:r>
        <w:rPr>
          <w:rFonts w:eastAsiaTheme="minorEastAsia"/>
          <w:sz w:val="20"/>
          <w:lang w:eastAsia="ja-JP"/>
        </w:rPr>
        <w:t>a</w:t>
      </w:r>
      <w:r w:rsidRPr="00DE56AC">
        <w:rPr>
          <w:rFonts w:eastAsiaTheme="minorEastAsia"/>
          <w:sz w:val="20"/>
          <w:lang w:eastAsia="ja-JP"/>
        </w:rPr>
        <w:t xml:space="preserve"> 7 </w:t>
      </w:r>
      <w:r w:rsidRPr="00C37CCD">
        <w:rPr>
          <w:sz w:val="20"/>
        </w:rPr>
        <w:t>colabora</w:t>
      </w:r>
      <w:r>
        <w:rPr>
          <w:sz w:val="20"/>
        </w:rPr>
        <w:t xml:space="preserve"> principalmente con los programas siguientes</w:t>
      </w:r>
      <w:r w:rsidRPr="00DE56AC">
        <w:rPr>
          <w:rFonts w:eastAsiaTheme="minorEastAsia"/>
          <w:sz w:val="20"/>
          <w:lang w:eastAsia="ja-JP"/>
        </w:rPr>
        <w:t>:</w:t>
      </w:r>
    </w:p>
    <w:p w:rsidR="00236E18" w:rsidRDefault="00236E18" w:rsidP="00236E18">
      <w:pPr>
        <w:pStyle w:val="BodyText"/>
        <w:widowControl w:val="0"/>
        <w:tabs>
          <w:tab w:val="left" w:pos="567"/>
          <w:tab w:val="left" w:pos="876"/>
        </w:tabs>
        <w:spacing w:after="0"/>
        <w:jc w:val="both"/>
        <w:rPr>
          <w:rFonts w:eastAsiaTheme="minorEastAsia"/>
          <w:lang w:eastAsia="ja-JP"/>
        </w:rPr>
      </w:pPr>
    </w:p>
    <w:p w:rsidR="00236E18" w:rsidRPr="00DE56AC" w:rsidRDefault="00236E18" w:rsidP="00236E18">
      <w:pPr>
        <w:pStyle w:val="BodyText"/>
        <w:widowControl w:val="0"/>
        <w:tabs>
          <w:tab w:val="left" w:pos="567"/>
          <w:tab w:val="left" w:pos="876"/>
        </w:tabs>
        <w:spacing w:after="0"/>
        <w:jc w:val="both"/>
        <w:rPr>
          <w:rFonts w:eastAsiaTheme="minorEastAsia"/>
          <w:lang w:eastAsia="ja-JP"/>
        </w:rPr>
      </w:pPr>
    </w:p>
    <w:p w:rsidR="00236E18" w:rsidRPr="00041B7B" w:rsidRDefault="00236E18" w:rsidP="00236E18">
      <w:pPr>
        <w:pStyle w:val="BodyText"/>
        <w:tabs>
          <w:tab w:val="left" w:pos="1377"/>
        </w:tabs>
        <w:jc w:val="both"/>
        <w:rPr>
          <w:position w:val="1"/>
          <w:szCs w:val="22"/>
        </w:rPr>
      </w:pPr>
      <w:r w:rsidRPr="00041B7B">
        <w:rPr>
          <w:rFonts w:eastAsia="Times New Roman"/>
          <w:noProof/>
          <w:lang w:val="en-US" w:eastAsia="en-US"/>
        </w:rPr>
        <w:drawing>
          <wp:inline distT="0" distB="0" distL="0" distR="0" wp14:anchorId="0368E63C" wp14:editId="6A55311C">
            <wp:extent cx="5956300" cy="2709975"/>
            <wp:effectExtent l="0" t="38100" r="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rsidR="00236E18" w:rsidRPr="00041B7B" w:rsidRDefault="00236E18" w:rsidP="00236E18">
      <w:pPr>
        <w:pStyle w:val="BodyText"/>
        <w:tabs>
          <w:tab w:val="left" w:pos="1377"/>
        </w:tabs>
        <w:jc w:val="both"/>
        <w:rPr>
          <w:szCs w:val="22"/>
        </w:rPr>
      </w:pPr>
    </w:p>
    <w:p w:rsidR="00236E18" w:rsidRDefault="00236E18" w:rsidP="00236E18">
      <w:r>
        <w:br w:type="page"/>
      </w:r>
    </w:p>
    <w:p w:rsidR="00236E18" w:rsidRPr="00041B7B" w:rsidRDefault="00236E18" w:rsidP="00236E18">
      <w:pPr>
        <w:tabs>
          <w:tab w:val="left" w:pos="567"/>
          <w:tab w:val="left" w:pos="1985"/>
        </w:tabs>
        <w:jc w:val="both"/>
        <w:rPr>
          <w:bCs/>
        </w:rPr>
      </w:pPr>
      <w:r w:rsidRPr="00041B7B">
        <w:lastRenderedPageBreak/>
        <w:t>PRINCIPALES RIESGOS Y ESTRATEGIAS DE MITIGACIÓN</w:t>
      </w:r>
    </w:p>
    <w:p w:rsidR="00236E18" w:rsidRPr="00041B7B" w:rsidRDefault="00236E18" w:rsidP="00236E18">
      <w:pPr>
        <w:pStyle w:val="BodyText"/>
        <w:rPr>
          <w:w w:val="95"/>
        </w:rPr>
      </w:pPr>
    </w:p>
    <w:tbl>
      <w:tblPr>
        <w:tblW w:w="939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281"/>
      </w:tblGrid>
      <w:tr w:rsidR="00236E18" w:rsidRPr="00041B7B" w:rsidTr="00294272">
        <w:trPr>
          <w:trHeight w:val="577"/>
        </w:trPr>
        <w:tc>
          <w:tcPr>
            <w:tcW w:w="4111" w:type="dxa"/>
            <w:tcBorders>
              <w:top w:val="single" w:sz="4" w:space="0" w:color="auto"/>
              <w:bottom w:val="single" w:sz="4" w:space="0" w:color="auto"/>
            </w:tcBorders>
            <w:shd w:val="clear" w:color="auto" w:fill="C6D9F1"/>
            <w:vAlign w:val="center"/>
          </w:tcPr>
          <w:p w:rsidR="00236E18" w:rsidRPr="00041B7B" w:rsidRDefault="00236E18" w:rsidP="00294272">
            <w:pPr>
              <w:jc w:val="center"/>
              <w:rPr>
                <w:b/>
                <w:bCs/>
                <w:sz w:val="18"/>
                <w:szCs w:val="18"/>
              </w:rPr>
            </w:pPr>
            <w:r w:rsidRPr="00041B7B">
              <w:rPr>
                <w:b/>
                <w:bCs/>
                <w:sz w:val="18"/>
                <w:szCs w:val="18"/>
              </w:rPr>
              <w:t>Riesgo</w:t>
            </w:r>
          </w:p>
        </w:tc>
        <w:tc>
          <w:tcPr>
            <w:tcW w:w="5281" w:type="dxa"/>
            <w:tcBorders>
              <w:top w:val="single" w:sz="4" w:space="0" w:color="auto"/>
              <w:bottom w:val="single" w:sz="4" w:space="0" w:color="auto"/>
            </w:tcBorders>
            <w:shd w:val="clear" w:color="auto" w:fill="C6D9F1"/>
            <w:vAlign w:val="center"/>
          </w:tcPr>
          <w:p w:rsidR="00236E18" w:rsidRPr="00041B7B" w:rsidRDefault="00236E18" w:rsidP="00294272">
            <w:pPr>
              <w:jc w:val="center"/>
              <w:rPr>
                <w:b/>
                <w:bCs/>
                <w:sz w:val="18"/>
                <w:szCs w:val="18"/>
              </w:rPr>
            </w:pPr>
            <w:r w:rsidRPr="00041B7B">
              <w:rPr>
                <w:b/>
                <w:bCs/>
                <w:sz w:val="18"/>
                <w:szCs w:val="18"/>
              </w:rPr>
              <w:t>Mitigación</w:t>
            </w:r>
          </w:p>
        </w:tc>
      </w:tr>
      <w:tr w:rsidR="00236E18" w:rsidRPr="00041B7B" w:rsidTr="00294272">
        <w:trPr>
          <w:trHeight w:val="1140"/>
        </w:trPr>
        <w:tc>
          <w:tcPr>
            <w:tcW w:w="4111" w:type="dxa"/>
            <w:tcBorders>
              <w:top w:val="single" w:sz="4" w:space="0" w:color="auto"/>
            </w:tcBorders>
            <w:shd w:val="clear" w:color="auto" w:fill="auto"/>
            <w:tcMar>
              <w:top w:w="113" w:type="dxa"/>
              <w:bottom w:w="113" w:type="dxa"/>
            </w:tcMar>
          </w:tcPr>
          <w:p w:rsidR="00236E18" w:rsidRPr="00041B7B" w:rsidRDefault="00236E18" w:rsidP="00294272">
            <w:pPr>
              <w:rPr>
                <w:sz w:val="16"/>
                <w:szCs w:val="16"/>
              </w:rPr>
            </w:pPr>
            <w:r w:rsidRPr="00041B7B">
              <w:rPr>
                <w:sz w:val="16"/>
                <w:szCs w:val="16"/>
              </w:rPr>
              <w:t>Menor reconocimiento de los servicios de arbitraje y mediación de la OMPI en el mercado.</w:t>
            </w:r>
          </w:p>
          <w:p w:rsidR="00236E18" w:rsidRPr="00041B7B" w:rsidRDefault="00236E18" w:rsidP="00294272">
            <w:pPr>
              <w:rPr>
                <w:sz w:val="16"/>
                <w:szCs w:val="16"/>
              </w:rPr>
            </w:pPr>
          </w:p>
        </w:tc>
        <w:tc>
          <w:tcPr>
            <w:tcW w:w="5281" w:type="dxa"/>
            <w:tcBorders>
              <w:top w:val="single" w:sz="4" w:space="0" w:color="auto"/>
            </w:tcBorders>
            <w:shd w:val="clear" w:color="auto" w:fill="auto"/>
            <w:tcMar>
              <w:top w:w="113" w:type="dxa"/>
              <w:bottom w:w="113" w:type="dxa"/>
            </w:tcMar>
          </w:tcPr>
          <w:p w:rsidR="00236E18" w:rsidRPr="00041B7B" w:rsidRDefault="00236E18" w:rsidP="00294272">
            <w:pPr>
              <w:rPr>
                <w:sz w:val="16"/>
                <w:szCs w:val="16"/>
              </w:rPr>
            </w:pPr>
            <w:r w:rsidRPr="00041B7B">
              <w:rPr>
                <w:sz w:val="16"/>
                <w:szCs w:val="16"/>
              </w:rPr>
              <w:t xml:space="preserve">Aprovechar la posición del Centro en cuanto que especialista de solución extrajudicial de controversias de P.I. en el plano internacional; colaborar más estrechamente con el PCT y otros programas;  participar en actividades mediante los árbitros y mediadores de la OMPI;  establecer con más regularidad alianzas con asociaciones de P.I. y cuestiones conexas;  aprovechar al máximo la presencia del Centro en Singapur para aumentar la actividad en la región;  aprovechar los trabajos de investigación recientes sobre las prácticas y expectativas de los usuarios;  perfeccionar la infraestructura de comercialización. </w:t>
            </w:r>
          </w:p>
        </w:tc>
      </w:tr>
      <w:tr w:rsidR="00236E18" w:rsidRPr="00041B7B" w:rsidTr="00294272">
        <w:trPr>
          <w:trHeight w:val="1188"/>
        </w:trPr>
        <w:tc>
          <w:tcPr>
            <w:tcW w:w="4111" w:type="dxa"/>
            <w:shd w:val="clear" w:color="auto" w:fill="auto"/>
            <w:tcMar>
              <w:top w:w="113" w:type="dxa"/>
              <w:bottom w:w="113" w:type="dxa"/>
            </w:tcMar>
          </w:tcPr>
          <w:p w:rsidR="00236E18" w:rsidRPr="00041B7B" w:rsidRDefault="00236E18" w:rsidP="00294272">
            <w:pPr>
              <w:rPr>
                <w:sz w:val="16"/>
                <w:szCs w:val="16"/>
              </w:rPr>
            </w:pPr>
            <w:r w:rsidRPr="00041B7B">
              <w:rPr>
                <w:sz w:val="16"/>
                <w:szCs w:val="16"/>
              </w:rPr>
              <w:t>Disminución de la presentación de demandas en virtud de la Política Uniforme, lo que afectaría a la influencia de la OMPI en la política relativa al DNS y al estatus del Centro en la solución extrajudicial de controversias con respecto al DNS.</w:t>
            </w:r>
          </w:p>
          <w:p w:rsidR="00236E18" w:rsidRPr="00041B7B" w:rsidRDefault="00236E18" w:rsidP="00294272">
            <w:pPr>
              <w:rPr>
                <w:sz w:val="16"/>
                <w:szCs w:val="16"/>
              </w:rPr>
            </w:pPr>
          </w:p>
          <w:p w:rsidR="00236E18" w:rsidRPr="00041B7B" w:rsidRDefault="00236E18" w:rsidP="00294272">
            <w:pPr>
              <w:rPr>
                <w:b/>
                <w:i/>
                <w:sz w:val="16"/>
                <w:szCs w:val="16"/>
              </w:rPr>
            </w:pPr>
          </w:p>
        </w:tc>
        <w:tc>
          <w:tcPr>
            <w:tcW w:w="5281" w:type="dxa"/>
            <w:shd w:val="clear" w:color="auto" w:fill="auto"/>
            <w:tcMar>
              <w:top w:w="113" w:type="dxa"/>
              <w:bottom w:w="113" w:type="dxa"/>
            </w:tcMar>
          </w:tcPr>
          <w:p w:rsidR="00236E18" w:rsidRPr="00041B7B" w:rsidRDefault="00236E18" w:rsidP="00294272">
            <w:pPr>
              <w:rPr>
                <w:sz w:val="16"/>
                <w:szCs w:val="16"/>
              </w:rPr>
            </w:pPr>
            <w:r w:rsidRPr="00041B7B">
              <w:rPr>
                <w:sz w:val="16"/>
                <w:szCs w:val="16"/>
              </w:rPr>
              <w:t>Aumentar la facilidad de uso;  ajustar los procedimientos de la Política Uniforme (cuando lo admita la ICANN);  supervisar continuamente el procedimiento uniforme de suspensión rápida;  participar en el examen de la Política Uniforme por parte de la ICANN;  establecer con más regularidad alianzas con las asociaciones de P.I. y cuestiones conexas;  priorizar los recursos para la administración de procedimientos y la elaboración de políticas para encontrar un equilibrio entre “permanecer en el mercado” y aportar un valor específico de la OMPI.</w:t>
            </w:r>
          </w:p>
        </w:tc>
      </w:tr>
    </w:tbl>
    <w:p w:rsidR="00236E18" w:rsidRPr="00041B7B" w:rsidRDefault="00236E18" w:rsidP="00236E18"/>
    <w:p w:rsidR="00236E18" w:rsidRPr="00041B7B" w:rsidRDefault="00236E18" w:rsidP="00236E18"/>
    <w:p w:rsidR="00236E18" w:rsidRDefault="00236E18" w:rsidP="00236E18">
      <w:pPr>
        <w:pStyle w:val="BodyText"/>
        <w:keepNext/>
        <w:keepLines/>
        <w:spacing w:after="0"/>
        <w:rPr>
          <w:rFonts w:eastAsia="Times New Roman"/>
          <w:lang w:val="en-US" w:eastAsia="en-US"/>
        </w:rPr>
      </w:pPr>
      <w:r w:rsidRPr="000A0481">
        <w:rPr>
          <w:rFonts w:eastAsia="Times New Roman"/>
          <w:lang w:val="en-US" w:eastAsia="en-US"/>
        </w:rPr>
        <w:t>MARCO DE RESULTADOS</w:t>
      </w:r>
    </w:p>
    <w:p w:rsidR="00236E18" w:rsidRPr="000A0481" w:rsidRDefault="00236E18" w:rsidP="00236E18">
      <w:pPr>
        <w:rPr>
          <w:lang w:val="en-US" w:eastAsia="en-US"/>
        </w:rPr>
      </w:pPr>
    </w:p>
    <w:tbl>
      <w:tblPr>
        <w:tblW w:w="9229" w:type="dxa"/>
        <w:tblInd w:w="93" w:type="dxa"/>
        <w:tblLook w:val="04A0" w:firstRow="1" w:lastRow="0" w:firstColumn="1" w:lastColumn="0" w:noHBand="0" w:noVBand="1"/>
      </w:tblPr>
      <w:tblGrid>
        <w:gridCol w:w="2425"/>
        <w:gridCol w:w="2552"/>
        <w:gridCol w:w="2223"/>
        <w:gridCol w:w="2029"/>
      </w:tblGrid>
      <w:tr w:rsidR="00236E18" w:rsidRPr="00041B7B" w:rsidTr="00294272">
        <w:trPr>
          <w:trHeight w:val="615"/>
          <w:tblHeader/>
        </w:trPr>
        <w:tc>
          <w:tcPr>
            <w:tcW w:w="2425" w:type="dxa"/>
            <w:tcBorders>
              <w:top w:val="single" w:sz="4" w:space="0" w:color="auto"/>
              <w:left w:val="single" w:sz="4" w:space="0" w:color="auto"/>
              <w:bottom w:val="single" w:sz="4" w:space="0" w:color="auto"/>
              <w:right w:val="nil"/>
            </w:tcBorders>
            <w:shd w:val="clear" w:color="auto" w:fill="C6D9F1"/>
            <w:noWrap/>
            <w:vAlign w:val="center"/>
            <w:hideMark/>
          </w:tcPr>
          <w:p w:rsidR="00236E18" w:rsidRPr="00041B7B" w:rsidRDefault="00236E18" w:rsidP="00294272">
            <w:pPr>
              <w:jc w:val="center"/>
              <w:rPr>
                <w:rFonts w:eastAsia="Times New Roman"/>
                <w:b/>
                <w:bCs/>
                <w:sz w:val="18"/>
              </w:rPr>
            </w:pPr>
            <w:r w:rsidRPr="00041B7B">
              <w:rPr>
                <w:rFonts w:eastAsia="Times New Roman"/>
                <w:b/>
                <w:bCs/>
                <w:sz w:val="18"/>
              </w:rPr>
              <w:t>Resultados previstos</w:t>
            </w:r>
          </w:p>
        </w:tc>
        <w:tc>
          <w:tcPr>
            <w:tcW w:w="2552" w:type="dxa"/>
            <w:tcBorders>
              <w:top w:val="single" w:sz="4" w:space="0" w:color="auto"/>
              <w:left w:val="nil"/>
              <w:bottom w:val="single" w:sz="4" w:space="0" w:color="auto"/>
              <w:right w:val="nil"/>
            </w:tcBorders>
            <w:shd w:val="clear" w:color="auto" w:fill="C6D9F1"/>
            <w:noWrap/>
            <w:vAlign w:val="center"/>
            <w:hideMark/>
          </w:tcPr>
          <w:p w:rsidR="00236E18" w:rsidRPr="00041B7B" w:rsidRDefault="00236E18" w:rsidP="00294272">
            <w:pPr>
              <w:jc w:val="center"/>
              <w:rPr>
                <w:rFonts w:eastAsia="Times New Roman"/>
                <w:b/>
                <w:bCs/>
                <w:sz w:val="18"/>
              </w:rPr>
            </w:pPr>
            <w:r w:rsidRPr="00041B7B">
              <w:rPr>
                <w:rFonts w:eastAsia="Times New Roman"/>
                <w:b/>
                <w:bCs/>
                <w:sz w:val="18"/>
              </w:rPr>
              <w:t>Indicadores de rendimiento</w:t>
            </w:r>
          </w:p>
        </w:tc>
        <w:tc>
          <w:tcPr>
            <w:tcW w:w="2223" w:type="dxa"/>
            <w:tcBorders>
              <w:top w:val="single" w:sz="4" w:space="0" w:color="auto"/>
              <w:left w:val="nil"/>
              <w:bottom w:val="single" w:sz="4" w:space="0" w:color="auto"/>
              <w:right w:val="nil"/>
            </w:tcBorders>
            <w:shd w:val="clear" w:color="auto" w:fill="C6D9F1"/>
            <w:noWrap/>
            <w:vAlign w:val="center"/>
            <w:hideMark/>
          </w:tcPr>
          <w:p w:rsidR="00236E18" w:rsidRPr="00041B7B" w:rsidRDefault="00236E18" w:rsidP="00294272">
            <w:pPr>
              <w:jc w:val="center"/>
              <w:rPr>
                <w:rFonts w:eastAsia="Times New Roman"/>
                <w:b/>
                <w:bCs/>
                <w:sz w:val="18"/>
              </w:rPr>
            </w:pPr>
            <w:r w:rsidRPr="00041B7B">
              <w:rPr>
                <w:rFonts w:eastAsia="Times New Roman"/>
                <w:b/>
                <w:bCs/>
                <w:sz w:val="18"/>
              </w:rPr>
              <w:t>Referencia</w:t>
            </w:r>
          </w:p>
        </w:tc>
        <w:tc>
          <w:tcPr>
            <w:tcW w:w="2029" w:type="dxa"/>
            <w:tcBorders>
              <w:top w:val="single" w:sz="4" w:space="0" w:color="auto"/>
              <w:left w:val="nil"/>
              <w:bottom w:val="single" w:sz="4" w:space="0" w:color="auto"/>
              <w:right w:val="single" w:sz="4" w:space="0" w:color="auto"/>
            </w:tcBorders>
            <w:shd w:val="clear" w:color="auto" w:fill="C6D9F1"/>
            <w:noWrap/>
            <w:vAlign w:val="center"/>
            <w:hideMark/>
          </w:tcPr>
          <w:p w:rsidR="00236E18" w:rsidRPr="00041B7B" w:rsidRDefault="00236E18" w:rsidP="00294272">
            <w:pPr>
              <w:jc w:val="center"/>
              <w:rPr>
                <w:rFonts w:eastAsia="Times New Roman"/>
                <w:b/>
                <w:bCs/>
                <w:sz w:val="18"/>
              </w:rPr>
            </w:pPr>
            <w:r w:rsidRPr="00041B7B">
              <w:rPr>
                <w:rFonts w:eastAsia="Times New Roman"/>
                <w:b/>
                <w:bCs/>
                <w:sz w:val="18"/>
              </w:rPr>
              <w:t>Objetivos</w:t>
            </w:r>
          </w:p>
        </w:tc>
      </w:tr>
      <w:tr w:rsidR="00236E18" w:rsidRPr="00041B7B" w:rsidTr="00294272">
        <w:trPr>
          <w:trHeight w:val="3561"/>
        </w:trPr>
        <w:tc>
          <w:tcPr>
            <w:tcW w:w="2425" w:type="dxa"/>
            <w:vMerge w:val="restart"/>
            <w:tcBorders>
              <w:top w:val="nil"/>
              <w:left w:val="single" w:sz="4" w:space="0" w:color="auto"/>
              <w:bottom w:val="nil"/>
              <w:right w:val="nil"/>
            </w:tcBorders>
            <w:shd w:val="clear" w:color="000000" w:fill="FFFFFF"/>
            <w:hideMark/>
          </w:tcPr>
          <w:p w:rsidR="00236E18" w:rsidRPr="00041B7B" w:rsidRDefault="00236E18" w:rsidP="00294272">
            <w:pPr>
              <w:tabs>
                <w:tab w:val="left" w:pos="2175"/>
                <w:tab w:val="left" w:pos="2209"/>
              </w:tabs>
              <w:ind w:right="175"/>
              <w:rPr>
                <w:rFonts w:eastAsia="Times New Roman"/>
                <w:sz w:val="16"/>
                <w:szCs w:val="16"/>
              </w:rPr>
            </w:pPr>
          </w:p>
          <w:p w:rsidR="00236E18" w:rsidRPr="00041B7B" w:rsidRDefault="00236E18" w:rsidP="00294272">
            <w:pPr>
              <w:tabs>
                <w:tab w:val="left" w:pos="2175"/>
                <w:tab w:val="left" w:pos="2209"/>
              </w:tabs>
              <w:ind w:right="175"/>
              <w:rPr>
                <w:rFonts w:eastAsia="Times New Roman"/>
                <w:sz w:val="16"/>
                <w:szCs w:val="16"/>
              </w:rPr>
            </w:pPr>
            <w:r>
              <w:rPr>
                <w:rFonts w:eastAsia="Times New Roman"/>
                <w:sz w:val="16"/>
                <w:szCs w:val="16"/>
              </w:rPr>
              <w:t>II.8</w:t>
            </w:r>
            <w:r w:rsidRPr="00041B7B">
              <w:rPr>
                <w:rFonts w:eastAsia="Times New Roman"/>
                <w:sz w:val="16"/>
                <w:szCs w:val="16"/>
              </w:rPr>
              <w:t xml:space="preserve">  </w:t>
            </w:r>
            <w:r w:rsidRPr="00DE56AC">
              <w:rPr>
                <w:sz w:val="16"/>
                <w:szCs w:val="16"/>
                <w:lang w:val="es-ES_tradnl"/>
              </w:rPr>
              <w:t>Las controversias nacionales e internacionales en materia de P.I. se evitan o resuelven cada vez con más frecuencia mediante procedimientos de mediación, arbitraje y demás métodos de solución extrajudicial de controversias</w:t>
            </w:r>
          </w:p>
        </w:tc>
        <w:tc>
          <w:tcPr>
            <w:tcW w:w="2552" w:type="dxa"/>
            <w:tcBorders>
              <w:top w:val="nil"/>
              <w:left w:val="nil"/>
              <w:right w:val="nil"/>
            </w:tcBorders>
            <w:shd w:val="clear" w:color="000000" w:fill="FFFFFF"/>
            <w:hideMark/>
          </w:tcPr>
          <w:p w:rsidR="00236E18" w:rsidRPr="00041B7B" w:rsidRDefault="00236E18" w:rsidP="00294272">
            <w:pPr>
              <w:ind w:right="176"/>
              <w:rPr>
                <w:rFonts w:eastAsia="Times New Roman"/>
                <w:sz w:val="16"/>
                <w:szCs w:val="16"/>
              </w:rPr>
            </w:pPr>
          </w:p>
          <w:p w:rsidR="00236E18" w:rsidRPr="00041B7B" w:rsidRDefault="00236E18" w:rsidP="00294272">
            <w:pPr>
              <w:ind w:right="176"/>
              <w:rPr>
                <w:rFonts w:eastAsia="Times New Roman"/>
                <w:sz w:val="16"/>
                <w:szCs w:val="16"/>
              </w:rPr>
            </w:pPr>
            <w:r w:rsidRPr="00041B7B">
              <w:rPr>
                <w:rFonts w:eastAsia="Times New Roman"/>
                <w:sz w:val="16"/>
                <w:szCs w:val="16"/>
              </w:rPr>
              <w:t xml:space="preserve">Mayor uso de los servicios y cláusulas de solución extrajudicial de controversias en las transacciones y los registros de P.I., entre otros medios, valiéndose de los procedimientos de la OMPI. </w:t>
            </w:r>
          </w:p>
        </w:tc>
        <w:tc>
          <w:tcPr>
            <w:tcW w:w="2223" w:type="dxa"/>
            <w:tcBorders>
              <w:top w:val="nil"/>
              <w:left w:val="nil"/>
              <w:right w:val="nil"/>
            </w:tcBorders>
            <w:shd w:val="clear" w:color="000000" w:fill="FFFFFF"/>
            <w:hideMark/>
          </w:tcPr>
          <w:p w:rsidR="00236E18" w:rsidRPr="00041B7B" w:rsidRDefault="00236E18" w:rsidP="00294272">
            <w:pPr>
              <w:ind w:right="273"/>
              <w:rPr>
                <w:rFonts w:eastAsia="Times New Roman"/>
                <w:sz w:val="16"/>
                <w:szCs w:val="16"/>
              </w:rPr>
            </w:pPr>
          </w:p>
          <w:p w:rsidR="00236E18" w:rsidRPr="00041B7B" w:rsidRDefault="00236E18" w:rsidP="00294272">
            <w:pPr>
              <w:ind w:right="273"/>
              <w:rPr>
                <w:rFonts w:eastAsia="Times New Roman"/>
                <w:sz w:val="16"/>
                <w:szCs w:val="16"/>
              </w:rPr>
            </w:pPr>
            <w:r w:rsidRPr="00041B7B">
              <w:rPr>
                <w:rFonts w:eastAsia="Times New Roman"/>
                <w:sz w:val="16"/>
                <w:szCs w:val="16"/>
              </w:rPr>
              <w:t>393 controversias y 148 buenos oficios (en total al final de 2014).</w:t>
            </w:r>
            <w:r w:rsidRPr="00041B7B">
              <w:rPr>
                <w:rFonts w:eastAsia="Times New Roman"/>
                <w:sz w:val="16"/>
                <w:szCs w:val="16"/>
              </w:rPr>
              <w:br/>
            </w:r>
            <w:r w:rsidRPr="00041B7B">
              <w:rPr>
                <w:rFonts w:eastAsia="Times New Roman"/>
                <w:sz w:val="16"/>
                <w:szCs w:val="16"/>
              </w:rPr>
              <w:br/>
              <w:t>4.000 consultas recibidas (2012/13).</w:t>
            </w:r>
            <w:r w:rsidRPr="00041B7B">
              <w:rPr>
                <w:rFonts w:eastAsia="Times New Roman"/>
                <w:sz w:val="16"/>
                <w:szCs w:val="16"/>
              </w:rPr>
              <w:br/>
            </w:r>
            <w:r w:rsidRPr="00041B7B">
              <w:rPr>
                <w:rFonts w:eastAsia="Times New Roman"/>
                <w:sz w:val="16"/>
                <w:szCs w:val="16"/>
              </w:rPr>
              <w:br/>
              <w:t>1.553 millones de visitas al sitio web (2014).</w:t>
            </w:r>
            <w:r w:rsidRPr="00041B7B">
              <w:rPr>
                <w:rFonts w:eastAsia="Times New Roman"/>
                <w:sz w:val="16"/>
                <w:szCs w:val="16"/>
              </w:rPr>
              <w:br/>
            </w:r>
            <w:r w:rsidRPr="00041B7B">
              <w:rPr>
                <w:rFonts w:eastAsia="Times New Roman"/>
                <w:sz w:val="16"/>
                <w:szCs w:val="16"/>
              </w:rPr>
              <w:br/>
              <w:t>408 participantes en actividades del Centro (2012/13).</w:t>
            </w:r>
            <w:r w:rsidRPr="00041B7B">
              <w:rPr>
                <w:rFonts w:eastAsia="Times New Roman"/>
                <w:sz w:val="16"/>
                <w:szCs w:val="16"/>
              </w:rPr>
              <w:br/>
            </w:r>
            <w:r w:rsidRPr="00041B7B">
              <w:rPr>
                <w:rFonts w:eastAsia="Times New Roman"/>
                <w:sz w:val="16"/>
                <w:szCs w:val="16"/>
              </w:rPr>
              <w:br/>
              <w:t>4.000 participantes en actividades en las que estuvo representado el Centro (2012/13).</w:t>
            </w:r>
          </w:p>
        </w:tc>
        <w:tc>
          <w:tcPr>
            <w:tcW w:w="2029" w:type="dxa"/>
            <w:tcBorders>
              <w:top w:val="nil"/>
              <w:left w:val="nil"/>
              <w:right w:val="single" w:sz="4" w:space="0" w:color="auto"/>
            </w:tcBorders>
            <w:shd w:val="clear" w:color="000000" w:fill="FFFFFF"/>
            <w:hideMark/>
          </w:tcPr>
          <w:p w:rsidR="00236E18" w:rsidRPr="00041B7B" w:rsidRDefault="00236E18" w:rsidP="00294272">
            <w:pPr>
              <w:ind w:right="34"/>
              <w:rPr>
                <w:rFonts w:eastAsia="Times New Roman"/>
                <w:sz w:val="16"/>
                <w:szCs w:val="16"/>
              </w:rPr>
            </w:pPr>
          </w:p>
          <w:p w:rsidR="00236E18" w:rsidRPr="00041B7B" w:rsidRDefault="00236E18" w:rsidP="00294272">
            <w:pPr>
              <w:ind w:right="34"/>
              <w:rPr>
                <w:rFonts w:eastAsia="Times New Roman"/>
                <w:sz w:val="16"/>
                <w:szCs w:val="16"/>
              </w:rPr>
            </w:pPr>
            <w:r w:rsidRPr="00041B7B">
              <w:rPr>
                <w:rFonts w:eastAsia="Times New Roman"/>
                <w:sz w:val="16"/>
                <w:szCs w:val="16"/>
              </w:rPr>
              <w:t>Otras 40 controversias y buenos oficios.</w:t>
            </w:r>
          </w:p>
          <w:p w:rsidR="00236E18" w:rsidRPr="00041B7B" w:rsidRDefault="00236E18" w:rsidP="00294272">
            <w:pPr>
              <w:ind w:right="34"/>
              <w:rPr>
                <w:rFonts w:eastAsia="Times New Roman"/>
                <w:sz w:val="16"/>
                <w:szCs w:val="16"/>
              </w:rPr>
            </w:pPr>
          </w:p>
          <w:p w:rsidR="00236E18" w:rsidRPr="00041B7B" w:rsidRDefault="00236E18" w:rsidP="00294272">
            <w:pPr>
              <w:ind w:right="34"/>
              <w:rPr>
                <w:rFonts w:eastAsia="Times New Roman"/>
                <w:sz w:val="16"/>
                <w:szCs w:val="16"/>
              </w:rPr>
            </w:pPr>
          </w:p>
          <w:p w:rsidR="00236E18" w:rsidRPr="00041B7B" w:rsidRDefault="00236E18" w:rsidP="00294272">
            <w:pPr>
              <w:ind w:right="34"/>
              <w:rPr>
                <w:rFonts w:eastAsia="Times New Roman"/>
                <w:sz w:val="16"/>
                <w:szCs w:val="16"/>
              </w:rPr>
            </w:pPr>
            <w:r w:rsidRPr="00041B7B">
              <w:rPr>
                <w:rFonts w:eastAsia="Times New Roman"/>
                <w:sz w:val="16"/>
                <w:szCs w:val="16"/>
              </w:rPr>
              <w:t>Otras 4.000 consultas.</w:t>
            </w:r>
          </w:p>
          <w:p w:rsidR="00236E18" w:rsidRPr="00041B7B" w:rsidRDefault="00236E18" w:rsidP="00294272">
            <w:pPr>
              <w:ind w:right="34"/>
              <w:rPr>
                <w:rFonts w:eastAsia="Times New Roman"/>
                <w:sz w:val="16"/>
                <w:szCs w:val="16"/>
              </w:rPr>
            </w:pPr>
          </w:p>
          <w:p w:rsidR="00236E18" w:rsidRPr="00041B7B" w:rsidRDefault="00236E18" w:rsidP="00294272">
            <w:pPr>
              <w:ind w:right="34"/>
              <w:rPr>
                <w:rFonts w:eastAsia="Times New Roman"/>
                <w:sz w:val="16"/>
                <w:szCs w:val="16"/>
              </w:rPr>
            </w:pPr>
            <w:r w:rsidRPr="00041B7B">
              <w:rPr>
                <w:rFonts w:eastAsia="Times New Roman"/>
                <w:sz w:val="16"/>
                <w:szCs w:val="16"/>
              </w:rPr>
              <w:t xml:space="preserve"> </w:t>
            </w:r>
          </w:p>
          <w:p w:rsidR="00236E18" w:rsidRPr="00041B7B" w:rsidRDefault="00236E18" w:rsidP="00294272">
            <w:pPr>
              <w:ind w:right="34"/>
              <w:rPr>
                <w:rFonts w:eastAsia="Times New Roman"/>
                <w:sz w:val="16"/>
                <w:szCs w:val="16"/>
              </w:rPr>
            </w:pPr>
            <w:r w:rsidRPr="00041B7B">
              <w:rPr>
                <w:rFonts w:eastAsia="Times New Roman"/>
                <w:sz w:val="16"/>
                <w:szCs w:val="16"/>
              </w:rPr>
              <w:t xml:space="preserve">1,5 millones de visitas adicionales al sitio web. </w:t>
            </w:r>
          </w:p>
          <w:p w:rsidR="00236E18" w:rsidRPr="00041B7B" w:rsidRDefault="00236E18" w:rsidP="00294272">
            <w:pPr>
              <w:ind w:right="34"/>
              <w:rPr>
                <w:rFonts w:eastAsia="Times New Roman"/>
                <w:sz w:val="16"/>
                <w:szCs w:val="16"/>
              </w:rPr>
            </w:pPr>
            <w:r w:rsidRPr="00041B7B">
              <w:rPr>
                <w:rFonts w:eastAsia="Times New Roman"/>
                <w:sz w:val="16"/>
                <w:szCs w:val="16"/>
              </w:rPr>
              <w:br/>
            </w:r>
            <w:r w:rsidRPr="00041B7B">
              <w:rPr>
                <w:rFonts w:eastAsia="Times New Roman"/>
                <w:sz w:val="16"/>
                <w:szCs w:val="16"/>
              </w:rPr>
              <w:br/>
              <w:t>250 participantes en actividades del Centro.</w:t>
            </w:r>
          </w:p>
          <w:p w:rsidR="00236E18" w:rsidRPr="00041B7B" w:rsidRDefault="00236E18" w:rsidP="00294272">
            <w:pPr>
              <w:ind w:right="34"/>
              <w:rPr>
                <w:rFonts w:eastAsia="Times New Roman"/>
                <w:sz w:val="16"/>
                <w:szCs w:val="16"/>
              </w:rPr>
            </w:pPr>
          </w:p>
          <w:p w:rsidR="00236E18" w:rsidRPr="00041B7B" w:rsidRDefault="00236E18" w:rsidP="00294272">
            <w:pPr>
              <w:ind w:right="34"/>
              <w:rPr>
                <w:rFonts w:eastAsia="Times New Roman"/>
                <w:sz w:val="16"/>
                <w:szCs w:val="16"/>
              </w:rPr>
            </w:pPr>
            <w:r w:rsidRPr="00041B7B">
              <w:rPr>
                <w:rFonts w:eastAsia="Times New Roman"/>
                <w:sz w:val="16"/>
                <w:szCs w:val="16"/>
              </w:rPr>
              <w:br/>
              <w:t>6.000 participantes en actividades en las que estuvo representado el Centro.</w:t>
            </w:r>
          </w:p>
          <w:p w:rsidR="00236E18" w:rsidRPr="00041B7B" w:rsidRDefault="00236E18" w:rsidP="00294272">
            <w:pPr>
              <w:ind w:right="34"/>
              <w:rPr>
                <w:rFonts w:eastAsia="Times New Roman"/>
                <w:sz w:val="16"/>
                <w:szCs w:val="16"/>
              </w:rPr>
            </w:pPr>
          </w:p>
        </w:tc>
      </w:tr>
      <w:tr w:rsidR="00236E18" w:rsidRPr="00041B7B" w:rsidTr="00294272">
        <w:trPr>
          <w:trHeight w:val="1818"/>
        </w:trPr>
        <w:tc>
          <w:tcPr>
            <w:tcW w:w="2425" w:type="dxa"/>
            <w:vMerge/>
            <w:tcBorders>
              <w:top w:val="nil"/>
              <w:left w:val="single" w:sz="4" w:space="0" w:color="auto"/>
              <w:bottom w:val="single" w:sz="4" w:space="0" w:color="auto"/>
              <w:right w:val="nil"/>
            </w:tcBorders>
            <w:vAlign w:val="center"/>
            <w:hideMark/>
          </w:tcPr>
          <w:p w:rsidR="00236E18" w:rsidRPr="00041B7B" w:rsidRDefault="00236E18" w:rsidP="00294272">
            <w:pPr>
              <w:tabs>
                <w:tab w:val="left" w:pos="2175"/>
                <w:tab w:val="left" w:pos="2209"/>
              </w:tabs>
              <w:ind w:right="175"/>
              <w:rPr>
                <w:rFonts w:eastAsia="Times New Roman"/>
                <w:sz w:val="16"/>
                <w:szCs w:val="16"/>
              </w:rPr>
            </w:pPr>
          </w:p>
        </w:tc>
        <w:tc>
          <w:tcPr>
            <w:tcW w:w="2552" w:type="dxa"/>
            <w:tcBorders>
              <w:top w:val="nil"/>
              <w:left w:val="nil"/>
              <w:bottom w:val="single" w:sz="4" w:space="0" w:color="auto"/>
              <w:right w:val="nil"/>
            </w:tcBorders>
            <w:shd w:val="clear" w:color="000000" w:fill="FFFFFF"/>
            <w:hideMark/>
          </w:tcPr>
          <w:p w:rsidR="00236E18" w:rsidRPr="00041B7B" w:rsidRDefault="00236E18" w:rsidP="00294272">
            <w:pPr>
              <w:ind w:right="176"/>
              <w:rPr>
                <w:rFonts w:eastAsia="Times New Roman"/>
                <w:sz w:val="16"/>
                <w:szCs w:val="16"/>
              </w:rPr>
            </w:pPr>
            <w:r w:rsidRPr="00041B7B">
              <w:rPr>
                <w:rFonts w:eastAsia="Times New Roman"/>
                <w:sz w:val="16"/>
                <w:szCs w:val="16"/>
              </w:rPr>
              <w:t>Políticas de solución extrajudicial de controversias en cuya elaboración y aplicación ha participado el Centro.</w:t>
            </w:r>
          </w:p>
        </w:tc>
        <w:tc>
          <w:tcPr>
            <w:tcW w:w="2223" w:type="dxa"/>
            <w:tcBorders>
              <w:top w:val="nil"/>
              <w:left w:val="nil"/>
              <w:bottom w:val="single" w:sz="4" w:space="0" w:color="auto"/>
              <w:right w:val="nil"/>
            </w:tcBorders>
            <w:shd w:val="clear" w:color="000000" w:fill="FFFFFF"/>
            <w:hideMark/>
          </w:tcPr>
          <w:p w:rsidR="00236E18" w:rsidRPr="00041B7B" w:rsidRDefault="00236E18" w:rsidP="00294272">
            <w:pPr>
              <w:ind w:right="273"/>
              <w:rPr>
                <w:rFonts w:eastAsia="Times New Roman"/>
                <w:sz w:val="16"/>
                <w:szCs w:val="16"/>
              </w:rPr>
            </w:pPr>
            <w:r w:rsidRPr="00041B7B">
              <w:rPr>
                <w:rFonts w:eastAsia="Times New Roman"/>
                <w:sz w:val="16"/>
                <w:szCs w:val="16"/>
              </w:rPr>
              <w:t xml:space="preserve">15 regímenes especiales adoptados (AEF, AGICOA, DGIPR, DNDA, EGEDA, ETSI, cine y medios de comunicación, ICOM, IMPI, INPI-Brasil, IPAG, IPOPHL, </w:t>
            </w:r>
            <w:proofErr w:type="gramStart"/>
            <w:r w:rsidRPr="00041B7B">
              <w:rPr>
                <w:rFonts w:eastAsia="Times New Roman"/>
                <w:sz w:val="16"/>
                <w:szCs w:val="16"/>
              </w:rPr>
              <w:t>IPOS(</w:t>
            </w:r>
            <w:proofErr w:type="gramEnd"/>
            <w:r w:rsidRPr="00041B7B">
              <w:rPr>
                <w:rFonts w:eastAsia="Times New Roman"/>
                <w:sz w:val="16"/>
                <w:szCs w:val="16"/>
              </w:rPr>
              <w:t>M), IPOS(ED), ITPGRFA) (en total al final de 2014).</w:t>
            </w:r>
            <w:r>
              <w:rPr>
                <w:rFonts w:eastAsia="Times New Roman"/>
                <w:sz w:val="16"/>
                <w:szCs w:val="16"/>
              </w:rPr>
              <w:br/>
            </w:r>
          </w:p>
        </w:tc>
        <w:tc>
          <w:tcPr>
            <w:tcW w:w="2029" w:type="dxa"/>
            <w:tcBorders>
              <w:top w:val="nil"/>
              <w:left w:val="nil"/>
              <w:bottom w:val="single" w:sz="4" w:space="0" w:color="auto"/>
              <w:right w:val="single" w:sz="4" w:space="0" w:color="auto"/>
            </w:tcBorders>
            <w:shd w:val="clear" w:color="000000" w:fill="FFFFFF"/>
            <w:hideMark/>
          </w:tcPr>
          <w:p w:rsidR="00236E18" w:rsidRPr="00041B7B" w:rsidRDefault="00236E18" w:rsidP="00294272">
            <w:pPr>
              <w:ind w:right="34"/>
              <w:rPr>
                <w:rFonts w:eastAsia="Times New Roman"/>
                <w:sz w:val="16"/>
                <w:szCs w:val="16"/>
              </w:rPr>
            </w:pPr>
            <w:r w:rsidRPr="00041B7B">
              <w:rPr>
                <w:rFonts w:eastAsia="Times New Roman"/>
                <w:sz w:val="16"/>
                <w:szCs w:val="16"/>
              </w:rPr>
              <w:t>De uno a tres nuevos regímenes especiales.</w:t>
            </w:r>
          </w:p>
        </w:tc>
      </w:tr>
      <w:tr w:rsidR="00236E18" w:rsidRPr="00041B7B" w:rsidTr="00294272">
        <w:trPr>
          <w:trHeight w:val="1844"/>
        </w:trPr>
        <w:tc>
          <w:tcPr>
            <w:tcW w:w="2425" w:type="dxa"/>
            <w:vMerge w:val="restart"/>
            <w:tcBorders>
              <w:top w:val="single" w:sz="4" w:space="0" w:color="auto"/>
              <w:left w:val="single" w:sz="4" w:space="0" w:color="auto"/>
              <w:bottom w:val="single" w:sz="4" w:space="0" w:color="000000"/>
              <w:right w:val="nil"/>
            </w:tcBorders>
            <w:shd w:val="clear" w:color="000000" w:fill="FFFFFF"/>
            <w:hideMark/>
          </w:tcPr>
          <w:p w:rsidR="00236E18" w:rsidRPr="00041B7B" w:rsidRDefault="00236E18" w:rsidP="00294272">
            <w:pPr>
              <w:tabs>
                <w:tab w:val="left" w:pos="2175"/>
                <w:tab w:val="left" w:pos="2209"/>
              </w:tabs>
              <w:ind w:right="175"/>
              <w:rPr>
                <w:rFonts w:eastAsia="Times New Roman"/>
                <w:sz w:val="16"/>
                <w:szCs w:val="16"/>
              </w:rPr>
            </w:pPr>
            <w:r>
              <w:rPr>
                <w:rFonts w:eastAsia="Times New Roman"/>
                <w:sz w:val="16"/>
                <w:szCs w:val="16"/>
              </w:rPr>
              <w:lastRenderedPageBreak/>
              <w:br/>
              <w:t xml:space="preserve">II.9  </w:t>
            </w:r>
            <w:r w:rsidRPr="00ED369F">
              <w:rPr>
                <w:sz w:val="16"/>
                <w:szCs w:val="16"/>
                <w:lang w:val="es-ES_tradnl"/>
              </w:rPr>
              <w:t xml:space="preserve">Protección eficaz de la propiedad intelectual en los </w:t>
            </w:r>
            <w:proofErr w:type="spellStart"/>
            <w:r w:rsidRPr="00ED369F">
              <w:rPr>
                <w:sz w:val="16"/>
                <w:szCs w:val="16"/>
                <w:lang w:val="es-ES_tradnl"/>
              </w:rPr>
              <w:t>gTLD</w:t>
            </w:r>
            <w:proofErr w:type="spellEnd"/>
            <w:r w:rsidRPr="00ED369F">
              <w:rPr>
                <w:sz w:val="16"/>
                <w:szCs w:val="16"/>
                <w:lang w:val="es-ES_tradnl"/>
              </w:rPr>
              <w:t xml:space="preserve"> y los </w:t>
            </w:r>
            <w:proofErr w:type="spellStart"/>
            <w:r w:rsidRPr="00ED369F">
              <w:rPr>
                <w:sz w:val="16"/>
                <w:szCs w:val="16"/>
                <w:lang w:val="es-ES_tradnl"/>
              </w:rPr>
              <w:t>ccTLD</w:t>
            </w:r>
            <w:proofErr w:type="spellEnd"/>
          </w:p>
        </w:tc>
        <w:tc>
          <w:tcPr>
            <w:tcW w:w="2552" w:type="dxa"/>
            <w:tcBorders>
              <w:top w:val="single" w:sz="4" w:space="0" w:color="auto"/>
              <w:left w:val="nil"/>
              <w:bottom w:val="nil"/>
              <w:right w:val="nil"/>
            </w:tcBorders>
            <w:shd w:val="clear" w:color="000000" w:fill="FFFFFF"/>
            <w:hideMark/>
          </w:tcPr>
          <w:p w:rsidR="00236E18" w:rsidRPr="00041B7B" w:rsidRDefault="00236E18" w:rsidP="00294272">
            <w:pPr>
              <w:ind w:right="176"/>
              <w:rPr>
                <w:rFonts w:eastAsia="Times New Roman"/>
                <w:sz w:val="16"/>
                <w:szCs w:val="16"/>
              </w:rPr>
            </w:pPr>
            <w:r>
              <w:rPr>
                <w:rFonts w:eastAsia="Times New Roman"/>
                <w:sz w:val="16"/>
                <w:szCs w:val="16"/>
              </w:rPr>
              <w:br/>
            </w:r>
            <w:r w:rsidRPr="00041B7B">
              <w:rPr>
                <w:rFonts w:eastAsia="Times New Roman"/>
                <w:sz w:val="16"/>
                <w:szCs w:val="16"/>
              </w:rPr>
              <w:t xml:space="preserve">Número de procedimientos relativos a los </w:t>
            </w:r>
            <w:proofErr w:type="spellStart"/>
            <w:r w:rsidRPr="00041B7B">
              <w:rPr>
                <w:rFonts w:eastAsia="Times New Roman"/>
                <w:sz w:val="16"/>
                <w:szCs w:val="16"/>
              </w:rPr>
              <w:t>gTLD</w:t>
            </w:r>
            <w:proofErr w:type="spellEnd"/>
            <w:r w:rsidRPr="00041B7B">
              <w:rPr>
                <w:rFonts w:eastAsia="Times New Roman"/>
                <w:sz w:val="16"/>
                <w:szCs w:val="16"/>
              </w:rPr>
              <w:t xml:space="preserve"> y los </w:t>
            </w:r>
            <w:proofErr w:type="spellStart"/>
            <w:r w:rsidRPr="00041B7B">
              <w:rPr>
                <w:rFonts w:eastAsia="Times New Roman"/>
                <w:sz w:val="16"/>
                <w:szCs w:val="16"/>
              </w:rPr>
              <w:t>ccTLD</w:t>
            </w:r>
            <w:proofErr w:type="spellEnd"/>
            <w:r w:rsidRPr="00041B7B">
              <w:rPr>
                <w:rFonts w:eastAsia="Times New Roman"/>
                <w:sz w:val="16"/>
                <w:szCs w:val="16"/>
              </w:rPr>
              <w:t xml:space="preserve"> administrados por el Centro en virtud de la Política Uniforme.</w:t>
            </w:r>
          </w:p>
        </w:tc>
        <w:tc>
          <w:tcPr>
            <w:tcW w:w="2223" w:type="dxa"/>
            <w:tcBorders>
              <w:top w:val="single" w:sz="4" w:space="0" w:color="auto"/>
              <w:left w:val="nil"/>
              <w:bottom w:val="nil"/>
              <w:right w:val="nil"/>
            </w:tcBorders>
            <w:shd w:val="clear" w:color="000000" w:fill="FFFFFF"/>
            <w:hideMark/>
          </w:tcPr>
          <w:p w:rsidR="00236E18" w:rsidRPr="00041B7B" w:rsidRDefault="00236E18" w:rsidP="00294272">
            <w:pPr>
              <w:ind w:right="273"/>
              <w:rPr>
                <w:rFonts w:eastAsia="Times New Roman"/>
                <w:sz w:val="16"/>
                <w:szCs w:val="16"/>
              </w:rPr>
            </w:pPr>
            <w:r>
              <w:rPr>
                <w:rFonts w:eastAsia="Times New Roman"/>
                <w:sz w:val="16"/>
                <w:szCs w:val="16"/>
              </w:rPr>
              <w:br/>
            </w:r>
            <w:r w:rsidRPr="00041B7B">
              <w:rPr>
                <w:rFonts w:eastAsia="Times New Roman"/>
                <w:sz w:val="16"/>
                <w:szCs w:val="16"/>
              </w:rPr>
              <w:t xml:space="preserve">27.189 procedimientos relativos a los </w:t>
            </w:r>
            <w:proofErr w:type="spellStart"/>
            <w:r w:rsidRPr="00041B7B">
              <w:rPr>
                <w:rFonts w:eastAsia="Times New Roman"/>
                <w:sz w:val="16"/>
                <w:szCs w:val="16"/>
              </w:rPr>
              <w:t>gTLD</w:t>
            </w:r>
            <w:proofErr w:type="spellEnd"/>
            <w:r w:rsidRPr="00041B7B">
              <w:rPr>
                <w:rFonts w:eastAsia="Times New Roman"/>
                <w:sz w:val="16"/>
                <w:szCs w:val="16"/>
              </w:rPr>
              <w:t xml:space="preserve"> administrados por el Centro (en total al final de 2014).</w:t>
            </w:r>
            <w:r w:rsidRPr="00041B7B">
              <w:rPr>
                <w:rFonts w:eastAsia="Times New Roman"/>
                <w:sz w:val="16"/>
                <w:szCs w:val="16"/>
              </w:rPr>
              <w:br/>
            </w:r>
            <w:r w:rsidRPr="00041B7B">
              <w:rPr>
                <w:rFonts w:eastAsia="Times New Roman"/>
                <w:sz w:val="16"/>
                <w:szCs w:val="16"/>
              </w:rPr>
              <w:br/>
              <w:t xml:space="preserve">3.144 procedimientos relativos a los </w:t>
            </w:r>
            <w:proofErr w:type="spellStart"/>
            <w:r w:rsidRPr="00041B7B">
              <w:rPr>
                <w:rFonts w:eastAsia="Times New Roman"/>
                <w:sz w:val="16"/>
                <w:szCs w:val="16"/>
              </w:rPr>
              <w:t>ccTLD</w:t>
            </w:r>
            <w:proofErr w:type="spellEnd"/>
            <w:r w:rsidRPr="00041B7B">
              <w:rPr>
                <w:rFonts w:eastAsia="Times New Roman"/>
                <w:sz w:val="16"/>
                <w:szCs w:val="16"/>
              </w:rPr>
              <w:t xml:space="preserve"> administrados por el Centro (en total al final de 2014).</w:t>
            </w:r>
            <w:r>
              <w:rPr>
                <w:rFonts w:eastAsia="Times New Roman"/>
                <w:sz w:val="16"/>
                <w:szCs w:val="16"/>
              </w:rPr>
              <w:br/>
            </w:r>
          </w:p>
        </w:tc>
        <w:tc>
          <w:tcPr>
            <w:tcW w:w="2029" w:type="dxa"/>
            <w:tcBorders>
              <w:top w:val="single" w:sz="4" w:space="0" w:color="auto"/>
              <w:left w:val="nil"/>
              <w:bottom w:val="nil"/>
              <w:right w:val="single" w:sz="4" w:space="0" w:color="auto"/>
            </w:tcBorders>
            <w:shd w:val="clear" w:color="000000" w:fill="FFFFFF"/>
            <w:hideMark/>
          </w:tcPr>
          <w:p w:rsidR="00236E18" w:rsidRPr="00041B7B" w:rsidRDefault="00236E18" w:rsidP="00294272">
            <w:pPr>
              <w:ind w:right="34"/>
              <w:rPr>
                <w:rFonts w:eastAsia="Times New Roman"/>
                <w:sz w:val="16"/>
                <w:szCs w:val="16"/>
              </w:rPr>
            </w:pPr>
            <w:r>
              <w:rPr>
                <w:rFonts w:eastAsia="Times New Roman"/>
                <w:sz w:val="16"/>
                <w:szCs w:val="16"/>
              </w:rPr>
              <w:br/>
            </w:r>
            <w:r w:rsidRPr="00041B7B">
              <w:rPr>
                <w:rFonts w:eastAsia="Times New Roman"/>
                <w:sz w:val="16"/>
                <w:szCs w:val="16"/>
              </w:rPr>
              <w:t xml:space="preserve">Otras 3.000 demandas relativas a los </w:t>
            </w:r>
            <w:proofErr w:type="spellStart"/>
            <w:r w:rsidRPr="00041B7B">
              <w:rPr>
                <w:rFonts w:eastAsia="Times New Roman"/>
                <w:sz w:val="16"/>
                <w:szCs w:val="16"/>
              </w:rPr>
              <w:t>gTLD</w:t>
            </w:r>
            <w:proofErr w:type="spellEnd"/>
            <w:r w:rsidRPr="00041B7B">
              <w:rPr>
                <w:rFonts w:eastAsia="Times New Roman"/>
                <w:sz w:val="16"/>
                <w:szCs w:val="16"/>
              </w:rPr>
              <w:t>.</w:t>
            </w:r>
          </w:p>
          <w:p w:rsidR="00236E18" w:rsidRPr="00041B7B" w:rsidRDefault="00236E18" w:rsidP="00294272">
            <w:pPr>
              <w:ind w:right="34"/>
              <w:rPr>
                <w:rFonts w:eastAsia="Times New Roman"/>
                <w:sz w:val="16"/>
                <w:szCs w:val="16"/>
              </w:rPr>
            </w:pPr>
          </w:p>
          <w:p w:rsidR="00236E18" w:rsidRPr="00041B7B" w:rsidRDefault="00236E18" w:rsidP="00294272">
            <w:pPr>
              <w:ind w:right="34"/>
              <w:rPr>
                <w:rFonts w:eastAsia="Times New Roman"/>
                <w:sz w:val="16"/>
                <w:szCs w:val="16"/>
              </w:rPr>
            </w:pPr>
          </w:p>
          <w:p w:rsidR="00236E18" w:rsidRPr="00041B7B" w:rsidRDefault="00236E18" w:rsidP="00294272">
            <w:pPr>
              <w:ind w:right="34"/>
              <w:rPr>
                <w:rFonts w:eastAsia="Times New Roman"/>
                <w:sz w:val="16"/>
                <w:szCs w:val="16"/>
              </w:rPr>
            </w:pPr>
          </w:p>
          <w:p w:rsidR="00236E18" w:rsidRPr="00041B7B" w:rsidRDefault="00236E18" w:rsidP="00294272">
            <w:pPr>
              <w:ind w:right="34"/>
              <w:rPr>
                <w:rFonts w:eastAsia="Times New Roman"/>
                <w:sz w:val="16"/>
                <w:szCs w:val="16"/>
              </w:rPr>
            </w:pPr>
          </w:p>
          <w:p w:rsidR="00236E18" w:rsidRPr="00041B7B" w:rsidRDefault="00236E18" w:rsidP="00294272">
            <w:pPr>
              <w:ind w:right="34"/>
              <w:rPr>
                <w:rFonts w:eastAsia="Times New Roman"/>
                <w:sz w:val="16"/>
                <w:szCs w:val="16"/>
              </w:rPr>
            </w:pPr>
            <w:r w:rsidRPr="00041B7B">
              <w:rPr>
                <w:rFonts w:eastAsia="Times New Roman"/>
                <w:sz w:val="16"/>
                <w:szCs w:val="16"/>
              </w:rPr>
              <w:t xml:space="preserve">Otras 350 demandas relacionadas únicamente con los </w:t>
            </w:r>
            <w:proofErr w:type="spellStart"/>
            <w:r w:rsidRPr="00041B7B">
              <w:rPr>
                <w:rFonts w:eastAsia="Times New Roman"/>
                <w:sz w:val="16"/>
                <w:szCs w:val="16"/>
              </w:rPr>
              <w:t>ccTLD</w:t>
            </w:r>
            <w:proofErr w:type="spellEnd"/>
            <w:r w:rsidRPr="00041B7B">
              <w:rPr>
                <w:rFonts w:eastAsia="Times New Roman"/>
                <w:sz w:val="16"/>
                <w:szCs w:val="16"/>
              </w:rPr>
              <w:t>.</w:t>
            </w:r>
          </w:p>
        </w:tc>
      </w:tr>
      <w:tr w:rsidR="00236E18" w:rsidRPr="00041B7B" w:rsidTr="00294272">
        <w:trPr>
          <w:trHeight w:val="2123"/>
        </w:trPr>
        <w:tc>
          <w:tcPr>
            <w:tcW w:w="2425" w:type="dxa"/>
            <w:vMerge/>
            <w:tcBorders>
              <w:top w:val="single" w:sz="4" w:space="0" w:color="000000"/>
              <w:left w:val="single" w:sz="4" w:space="0" w:color="auto"/>
              <w:bottom w:val="single" w:sz="4" w:space="0" w:color="000000"/>
              <w:right w:val="nil"/>
            </w:tcBorders>
            <w:vAlign w:val="center"/>
            <w:hideMark/>
          </w:tcPr>
          <w:p w:rsidR="00236E18" w:rsidRPr="00041B7B" w:rsidRDefault="00236E18" w:rsidP="00294272">
            <w:pPr>
              <w:rPr>
                <w:rFonts w:eastAsia="Times New Roman"/>
                <w:sz w:val="16"/>
                <w:szCs w:val="16"/>
              </w:rPr>
            </w:pPr>
          </w:p>
        </w:tc>
        <w:tc>
          <w:tcPr>
            <w:tcW w:w="2552" w:type="dxa"/>
            <w:tcBorders>
              <w:top w:val="nil"/>
              <w:left w:val="nil"/>
              <w:bottom w:val="single" w:sz="4" w:space="0" w:color="auto"/>
              <w:right w:val="nil"/>
            </w:tcBorders>
            <w:shd w:val="clear" w:color="000000" w:fill="FFFFFF"/>
            <w:hideMark/>
          </w:tcPr>
          <w:p w:rsidR="00236E18" w:rsidRPr="00041B7B" w:rsidRDefault="00236E18" w:rsidP="00294272">
            <w:pPr>
              <w:ind w:right="176"/>
              <w:rPr>
                <w:rFonts w:eastAsia="Times New Roman"/>
                <w:sz w:val="16"/>
                <w:szCs w:val="16"/>
              </w:rPr>
            </w:pPr>
            <w:r w:rsidRPr="00041B7B">
              <w:rPr>
                <w:rFonts w:eastAsia="Times New Roman"/>
                <w:sz w:val="16"/>
                <w:szCs w:val="16"/>
              </w:rPr>
              <w:t>Políticas de solución de controversias en el Sistema de Nombres de Dominio en cuya elaboración y aplicación ha participado el Centro.</w:t>
            </w:r>
          </w:p>
        </w:tc>
        <w:tc>
          <w:tcPr>
            <w:tcW w:w="2223" w:type="dxa"/>
            <w:tcBorders>
              <w:top w:val="nil"/>
              <w:left w:val="nil"/>
              <w:bottom w:val="single" w:sz="4" w:space="0" w:color="auto"/>
              <w:right w:val="nil"/>
            </w:tcBorders>
            <w:shd w:val="clear" w:color="000000" w:fill="FFFFFF"/>
            <w:hideMark/>
          </w:tcPr>
          <w:p w:rsidR="00236E18" w:rsidRPr="00041B7B" w:rsidRDefault="00236E18" w:rsidP="00294272">
            <w:pPr>
              <w:ind w:right="273"/>
              <w:rPr>
                <w:rFonts w:eastAsia="Times New Roman"/>
                <w:sz w:val="16"/>
                <w:szCs w:val="16"/>
              </w:rPr>
            </w:pPr>
            <w:r w:rsidRPr="00041B7B">
              <w:rPr>
                <w:rFonts w:eastAsia="Times New Roman"/>
                <w:sz w:val="16"/>
                <w:szCs w:val="16"/>
              </w:rPr>
              <w:t>Política Uniforme, Política de solución de controversias para la etapa previa a la adjudicación, Procedimiento de solución de controversias en relación con las marcas en la etapa posterior a la adjudicación (en total al final de 2014).</w:t>
            </w:r>
            <w:r w:rsidRPr="00041B7B">
              <w:rPr>
                <w:rFonts w:eastAsia="Times New Roman"/>
                <w:sz w:val="16"/>
                <w:szCs w:val="16"/>
              </w:rPr>
              <w:br/>
            </w:r>
            <w:r w:rsidRPr="00041B7B">
              <w:rPr>
                <w:rFonts w:eastAsia="Times New Roman"/>
                <w:sz w:val="16"/>
                <w:szCs w:val="16"/>
              </w:rPr>
              <w:br/>
              <w:t xml:space="preserve">72 administradores de </w:t>
            </w:r>
            <w:proofErr w:type="spellStart"/>
            <w:r w:rsidRPr="00041B7B">
              <w:rPr>
                <w:rFonts w:eastAsia="Times New Roman"/>
                <w:sz w:val="16"/>
                <w:szCs w:val="16"/>
              </w:rPr>
              <w:t>ccTLD</w:t>
            </w:r>
            <w:proofErr w:type="spellEnd"/>
            <w:r w:rsidRPr="00041B7B">
              <w:rPr>
                <w:rFonts w:eastAsia="Times New Roman"/>
                <w:sz w:val="16"/>
                <w:szCs w:val="16"/>
              </w:rPr>
              <w:t xml:space="preserve"> (en total al final de 2014).</w:t>
            </w:r>
            <w:r>
              <w:rPr>
                <w:rFonts w:eastAsia="Times New Roman"/>
                <w:sz w:val="16"/>
                <w:szCs w:val="16"/>
              </w:rPr>
              <w:br/>
            </w:r>
          </w:p>
        </w:tc>
        <w:tc>
          <w:tcPr>
            <w:tcW w:w="2029" w:type="dxa"/>
            <w:tcBorders>
              <w:top w:val="nil"/>
              <w:left w:val="nil"/>
              <w:bottom w:val="single" w:sz="4" w:space="0" w:color="auto"/>
              <w:right w:val="single" w:sz="4" w:space="0" w:color="auto"/>
            </w:tcBorders>
            <w:shd w:val="clear" w:color="000000" w:fill="FFFFFF"/>
            <w:hideMark/>
          </w:tcPr>
          <w:p w:rsidR="00236E18" w:rsidRPr="00041B7B" w:rsidRDefault="00236E18" w:rsidP="00294272">
            <w:pPr>
              <w:ind w:right="34"/>
              <w:rPr>
                <w:rFonts w:eastAsia="Times New Roman"/>
                <w:sz w:val="16"/>
                <w:szCs w:val="16"/>
              </w:rPr>
            </w:pPr>
            <w:r w:rsidRPr="00041B7B">
              <w:rPr>
                <w:rFonts w:eastAsia="Times New Roman"/>
                <w:sz w:val="16"/>
                <w:szCs w:val="16"/>
              </w:rPr>
              <w:t>Aplicación en el Sistema de Nombres de Dominio de las recomendaciones de la OMPI en materia de política y procedimientos.</w:t>
            </w:r>
            <w:r w:rsidRPr="00041B7B">
              <w:rPr>
                <w:rFonts w:eastAsia="Times New Roman"/>
                <w:sz w:val="16"/>
                <w:szCs w:val="16"/>
              </w:rPr>
              <w:br/>
            </w:r>
            <w:r w:rsidRPr="00041B7B">
              <w:rPr>
                <w:rFonts w:eastAsia="Times New Roman"/>
                <w:sz w:val="16"/>
                <w:szCs w:val="16"/>
              </w:rPr>
              <w:br/>
              <w:t xml:space="preserve">De dos a cuatro nuevos administradores de </w:t>
            </w:r>
            <w:proofErr w:type="spellStart"/>
            <w:r w:rsidRPr="00041B7B">
              <w:rPr>
                <w:rFonts w:eastAsia="Times New Roman"/>
                <w:sz w:val="16"/>
                <w:szCs w:val="16"/>
              </w:rPr>
              <w:t>ccTLD</w:t>
            </w:r>
            <w:proofErr w:type="spellEnd"/>
            <w:r w:rsidRPr="00041B7B">
              <w:rPr>
                <w:rFonts w:eastAsia="Times New Roman"/>
                <w:sz w:val="16"/>
                <w:szCs w:val="16"/>
              </w:rPr>
              <w:t>.</w:t>
            </w:r>
          </w:p>
        </w:tc>
      </w:tr>
    </w:tbl>
    <w:p w:rsidR="00236E18" w:rsidRPr="00041B7B" w:rsidRDefault="00236E18" w:rsidP="00236E18">
      <w:pPr>
        <w:pStyle w:val="BodyText"/>
        <w:rPr>
          <w:w w:val="95"/>
        </w:rPr>
      </w:pPr>
    </w:p>
    <w:p w:rsidR="00236E18" w:rsidRPr="003E6776" w:rsidRDefault="00236E18" w:rsidP="00236E18">
      <w:pPr>
        <w:keepNext/>
        <w:keepLines/>
      </w:pPr>
      <w:r w:rsidRPr="003E6776">
        <w:t>RECURSOS PARA EL PROGRAMA 7</w:t>
      </w:r>
    </w:p>
    <w:p w:rsidR="00236E18" w:rsidRPr="00F9567D" w:rsidRDefault="00236E18" w:rsidP="00236E18">
      <w:pPr>
        <w:keepNext/>
        <w:keepLines/>
      </w:pPr>
    </w:p>
    <w:p w:rsidR="00236E18" w:rsidRPr="00F9567D" w:rsidRDefault="00236E18" w:rsidP="00236E18">
      <w:pPr>
        <w:widowControl w:val="0"/>
        <w:numPr>
          <w:ilvl w:val="1"/>
          <w:numId w:val="19"/>
        </w:numPr>
        <w:tabs>
          <w:tab w:val="left" w:pos="567"/>
          <w:tab w:val="left" w:pos="876"/>
        </w:tabs>
        <w:ind w:firstLine="0"/>
        <w:jc w:val="both"/>
        <w:rPr>
          <w:rFonts w:eastAsia="Arial"/>
          <w:sz w:val="20"/>
        </w:rPr>
      </w:pPr>
      <w:r w:rsidRPr="00EB43D0">
        <w:rPr>
          <w:rFonts w:eastAsia="Arial"/>
          <w:sz w:val="20"/>
          <w:lang w:val="es-ES_tradnl"/>
        </w:rPr>
        <w:t xml:space="preserve">Se observa un leve aumento </w:t>
      </w:r>
      <w:r>
        <w:rPr>
          <w:rFonts w:eastAsia="Arial"/>
          <w:sz w:val="20"/>
          <w:lang w:val="es-ES_tradnl"/>
        </w:rPr>
        <w:t xml:space="preserve">en la dotación global </w:t>
      </w:r>
      <w:r w:rsidRPr="00EB43D0">
        <w:rPr>
          <w:rFonts w:eastAsia="Arial"/>
          <w:sz w:val="20"/>
          <w:lang w:val="es-ES_tradnl"/>
        </w:rPr>
        <w:t xml:space="preserve">de recursos </w:t>
      </w:r>
      <w:r>
        <w:rPr>
          <w:rFonts w:eastAsia="Arial"/>
          <w:sz w:val="20"/>
          <w:lang w:val="es-ES_tradnl"/>
        </w:rPr>
        <w:t>para el</w:t>
      </w:r>
      <w:r w:rsidRPr="00EB43D0">
        <w:rPr>
          <w:rFonts w:eastAsia="Arial"/>
          <w:sz w:val="20"/>
          <w:lang w:val="es-ES_tradnl"/>
        </w:rPr>
        <w:t xml:space="preserve"> programa en 2016/17 en relación con el presupuesto de </w:t>
      </w:r>
      <w:r w:rsidRPr="00EB43D0">
        <w:rPr>
          <w:rFonts w:eastAsia="Arial"/>
          <w:sz w:val="20"/>
          <w:lang w:val="es-ES_tradnl" w:eastAsia="ja-JP"/>
        </w:rPr>
        <w:t>2014/</w:t>
      </w:r>
      <w:r>
        <w:rPr>
          <w:rFonts w:eastAsia="Arial"/>
          <w:sz w:val="20"/>
          <w:lang w:val="es-ES_tradnl" w:eastAsia="ja-JP"/>
        </w:rPr>
        <w:t>15 tras las</w:t>
      </w:r>
      <w:r w:rsidRPr="00EB43D0">
        <w:rPr>
          <w:rFonts w:eastAsia="Arial"/>
          <w:sz w:val="20"/>
          <w:lang w:val="es-ES_tradnl"/>
        </w:rPr>
        <w:t xml:space="preserve"> transferencias</w:t>
      </w:r>
      <w:r w:rsidRPr="00EB43D0">
        <w:rPr>
          <w:rFonts w:eastAsia="Arial"/>
          <w:sz w:val="20"/>
          <w:lang w:val="es-ES_tradnl" w:eastAsia="ja-JP"/>
        </w:rPr>
        <w:t xml:space="preserve">.  </w:t>
      </w:r>
      <w:r w:rsidRPr="00EB43D0">
        <w:rPr>
          <w:rFonts w:eastAsia="Arial"/>
          <w:sz w:val="20"/>
          <w:lang w:val="es-ES_tradnl"/>
        </w:rPr>
        <w:t>Esto se debe al cambio efectuado en la metodología de cálculo del costo de los recursos de personal en 2016/17, basada en  costos reales</w:t>
      </w:r>
      <w:r w:rsidRPr="00EB43D0">
        <w:rPr>
          <w:rFonts w:eastAsia="Arial"/>
          <w:sz w:val="20"/>
          <w:lang w:val="es-ES_tradnl" w:eastAsia="ja-JP"/>
        </w:rPr>
        <w:t>.</w:t>
      </w:r>
    </w:p>
    <w:p w:rsidR="00236E18" w:rsidRPr="00F9567D" w:rsidRDefault="00236E18" w:rsidP="00236E18">
      <w:pPr>
        <w:rPr>
          <w:rFonts w:eastAsia="Arial"/>
          <w:sz w:val="20"/>
          <w:lang w:eastAsia="en-US"/>
        </w:rPr>
      </w:pPr>
    </w:p>
    <w:p w:rsidR="00236E18" w:rsidRPr="00F9567D" w:rsidRDefault="00236E18" w:rsidP="00236E18">
      <w:pPr>
        <w:widowControl w:val="0"/>
        <w:numPr>
          <w:ilvl w:val="1"/>
          <w:numId w:val="19"/>
        </w:numPr>
        <w:tabs>
          <w:tab w:val="left" w:pos="567"/>
          <w:tab w:val="left" w:pos="876"/>
        </w:tabs>
        <w:ind w:firstLine="0"/>
        <w:jc w:val="both"/>
        <w:rPr>
          <w:rFonts w:eastAsia="Arial"/>
          <w:sz w:val="20"/>
        </w:rPr>
      </w:pPr>
      <w:r w:rsidRPr="00EB43D0">
        <w:rPr>
          <w:rFonts w:eastAsia="Arial"/>
          <w:sz w:val="20"/>
          <w:lang w:val="es-ES_tradnl"/>
        </w:rPr>
        <w:t xml:space="preserve">La transferencia de recursos del resultado previsto </w:t>
      </w:r>
      <w:r w:rsidRPr="00EB43D0">
        <w:rPr>
          <w:rFonts w:eastAsia="Arial"/>
          <w:sz w:val="20"/>
          <w:lang w:val="es-ES_tradnl" w:eastAsia="ja-JP"/>
        </w:rPr>
        <w:t xml:space="preserve">II.9 </w:t>
      </w:r>
      <w:r w:rsidRPr="00EB43D0">
        <w:rPr>
          <w:rFonts w:eastAsia="Arial"/>
          <w:sz w:val="20"/>
          <w:lang w:val="es-ES_tradnl"/>
        </w:rPr>
        <w:t>al II.8 pone de relieve la mayor atención que se otorga al fomento del uso de los mecanismos extrajudiciales de solución de controversias en respuesta a peticiones de los Estados miembros</w:t>
      </w:r>
      <w:r w:rsidRPr="00EB43D0">
        <w:rPr>
          <w:rFonts w:eastAsia="Arial"/>
          <w:sz w:val="20"/>
          <w:lang w:val="es-ES_tradnl" w:eastAsia="ja-JP"/>
        </w:rPr>
        <w:t>.</w:t>
      </w:r>
    </w:p>
    <w:p w:rsidR="00236E18" w:rsidRPr="00F9567D" w:rsidRDefault="00236E18" w:rsidP="00236E18">
      <w:pPr>
        <w:keepNext/>
        <w:keepLines/>
        <w:jc w:val="center"/>
        <w:rPr>
          <w:b/>
          <w:sz w:val="20"/>
        </w:rPr>
      </w:pPr>
    </w:p>
    <w:p w:rsidR="00236E18" w:rsidRPr="00F9567D" w:rsidRDefault="00236E18" w:rsidP="00236E18">
      <w:pPr>
        <w:keepNext/>
        <w:keepLines/>
        <w:jc w:val="center"/>
        <w:rPr>
          <w:b/>
          <w:sz w:val="20"/>
        </w:rPr>
      </w:pPr>
    </w:p>
    <w:p w:rsidR="00236E18" w:rsidRPr="00F9567D" w:rsidRDefault="00236E18" w:rsidP="00236E18">
      <w:pPr>
        <w:keepNext/>
        <w:keepLines/>
        <w:jc w:val="center"/>
        <w:rPr>
          <w:b/>
          <w:sz w:val="20"/>
          <w:lang w:val="es-ES_tradnl"/>
        </w:rPr>
      </w:pPr>
      <w:r w:rsidRPr="00F9567D">
        <w:rPr>
          <w:b/>
          <w:sz w:val="20"/>
          <w:lang w:val="es-ES_tradnl"/>
        </w:rPr>
        <w:t>Programa 7</w:t>
      </w:r>
      <w:proofErr w:type="gramStart"/>
      <w:r w:rsidRPr="00F9567D">
        <w:rPr>
          <w:b/>
          <w:sz w:val="20"/>
          <w:lang w:val="es-ES_tradnl"/>
        </w:rPr>
        <w:t>:  Recursos</w:t>
      </w:r>
      <w:proofErr w:type="gramEnd"/>
      <w:r w:rsidRPr="00F9567D">
        <w:rPr>
          <w:b/>
          <w:sz w:val="20"/>
          <w:lang w:val="es-ES_tradnl"/>
        </w:rPr>
        <w:t xml:space="preserve"> por resultado</w:t>
      </w:r>
    </w:p>
    <w:p w:rsidR="00236E18" w:rsidRPr="00F9567D" w:rsidRDefault="00236E18" w:rsidP="00236E18">
      <w:pPr>
        <w:keepNext/>
        <w:keepLines/>
        <w:jc w:val="center"/>
        <w:rPr>
          <w:i/>
          <w:sz w:val="20"/>
          <w:highlight w:val="lightGray"/>
          <w:lang w:val="es-ES_tradnl"/>
        </w:rPr>
      </w:pPr>
      <w:r w:rsidRPr="00F9567D">
        <w:rPr>
          <w:i/>
          <w:sz w:val="20"/>
          <w:lang w:val="es-ES_tradnl"/>
        </w:rPr>
        <w:t>(</w:t>
      </w:r>
      <w:proofErr w:type="gramStart"/>
      <w:r w:rsidRPr="00F9567D">
        <w:rPr>
          <w:i/>
          <w:sz w:val="20"/>
          <w:lang w:val="es-ES_tradnl"/>
        </w:rPr>
        <w:t>en</w:t>
      </w:r>
      <w:proofErr w:type="gramEnd"/>
      <w:r w:rsidRPr="00F9567D">
        <w:rPr>
          <w:i/>
          <w:sz w:val="20"/>
          <w:lang w:val="es-ES_tradnl"/>
        </w:rPr>
        <w:t xml:space="preserve"> miles de francos suizos)</w:t>
      </w:r>
    </w:p>
    <w:p w:rsidR="00236E18" w:rsidRPr="009121C1" w:rsidRDefault="00236E18" w:rsidP="00236E18">
      <w:pPr>
        <w:keepNext/>
        <w:keepLines/>
        <w:jc w:val="center"/>
        <w:rPr>
          <w:i/>
          <w:sz w:val="20"/>
          <w:highlight w:val="lightGray"/>
          <w:lang w:val="es-ES_tradnl"/>
        </w:rPr>
      </w:pPr>
    </w:p>
    <w:p w:rsidR="00236E18" w:rsidRPr="000A0481" w:rsidRDefault="00236E18" w:rsidP="00236E18">
      <w:pPr>
        <w:keepNext/>
        <w:keepLines/>
        <w:tabs>
          <w:tab w:val="left" w:pos="9214"/>
        </w:tabs>
        <w:ind w:left="-284" w:firstLine="284"/>
        <w:jc w:val="center"/>
        <w:rPr>
          <w:i/>
          <w:sz w:val="20"/>
          <w:highlight w:val="lightGray"/>
        </w:rPr>
      </w:pPr>
      <w:r w:rsidRPr="00DE56AC">
        <w:rPr>
          <w:noProof/>
          <w:lang w:val="en-US" w:eastAsia="en-US"/>
        </w:rPr>
        <w:drawing>
          <wp:inline distT="0" distB="0" distL="0" distR="0" wp14:anchorId="6D5FBFF9" wp14:editId="0D54A20E">
            <wp:extent cx="5676900" cy="179959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76900" cy="1799590"/>
                    </a:xfrm>
                    <a:prstGeom prst="rect">
                      <a:avLst/>
                    </a:prstGeom>
                    <a:noFill/>
                    <a:ln>
                      <a:noFill/>
                    </a:ln>
                  </pic:spPr>
                </pic:pic>
              </a:graphicData>
            </a:graphic>
          </wp:inline>
        </w:drawing>
      </w:r>
    </w:p>
    <w:p w:rsidR="00236E18" w:rsidRPr="000A0481" w:rsidRDefault="00236E18" w:rsidP="00236E18">
      <w:pPr>
        <w:jc w:val="center"/>
        <w:rPr>
          <w:i/>
          <w:sz w:val="20"/>
          <w:highlight w:val="lightGray"/>
        </w:rPr>
      </w:pPr>
    </w:p>
    <w:p w:rsidR="00236E18" w:rsidRPr="000A0481" w:rsidRDefault="00236E18" w:rsidP="00236E18">
      <w:pPr>
        <w:jc w:val="center"/>
        <w:rPr>
          <w:b/>
          <w:sz w:val="20"/>
          <w:highlight w:val="lightGray"/>
        </w:rPr>
      </w:pPr>
    </w:p>
    <w:p w:rsidR="00236E18" w:rsidRPr="00497DA7" w:rsidRDefault="00236E18" w:rsidP="00236E18">
      <w:pPr>
        <w:keepNext/>
        <w:keepLines/>
        <w:tabs>
          <w:tab w:val="left" w:pos="-1560"/>
        </w:tabs>
        <w:jc w:val="center"/>
        <w:rPr>
          <w:b/>
          <w:sz w:val="20"/>
          <w:lang w:val="es-ES_tradnl"/>
        </w:rPr>
      </w:pPr>
      <w:r w:rsidRPr="00497DA7">
        <w:rPr>
          <w:b/>
          <w:sz w:val="20"/>
          <w:lang w:val="es-ES_tradnl"/>
        </w:rPr>
        <w:lastRenderedPageBreak/>
        <w:t>Programa 7</w:t>
      </w:r>
      <w:proofErr w:type="gramStart"/>
      <w:r w:rsidRPr="00497DA7">
        <w:rPr>
          <w:b/>
          <w:sz w:val="20"/>
          <w:lang w:val="es-ES_tradnl"/>
        </w:rPr>
        <w:t>:  Recursos</w:t>
      </w:r>
      <w:proofErr w:type="gramEnd"/>
      <w:r w:rsidRPr="00497DA7">
        <w:rPr>
          <w:b/>
          <w:sz w:val="20"/>
          <w:lang w:val="es-ES_tradnl"/>
        </w:rPr>
        <w:t xml:space="preserve"> por objeto de gasto</w:t>
      </w:r>
    </w:p>
    <w:p w:rsidR="00236E18" w:rsidRPr="00497DA7" w:rsidRDefault="00236E18" w:rsidP="00236E18">
      <w:pPr>
        <w:keepNext/>
        <w:keepLines/>
        <w:jc w:val="center"/>
        <w:rPr>
          <w:i/>
          <w:sz w:val="20"/>
          <w:highlight w:val="lightGray"/>
          <w:lang w:val="es-ES_tradnl"/>
        </w:rPr>
      </w:pPr>
      <w:r w:rsidRPr="00497DA7">
        <w:rPr>
          <w:i/>
          <w:sz w:val="20"/>
          <w:lang w:val="es-ES_tradnl"/>
        </w:rPr>
        <w:t>(</w:t>
      </w:r>
      <w:proofErr w:type="gramStart"/>
      <w:r w:rsidRPr="00497DA7">
        <w:rPr>
          <w:i/>
          <w:sz w:val="20"/>
          <w:lang w:val="es-ES_tradnl"/>
        </w:rPr>
        <w:t>en</w:t>
      </w:r>
      <w:proofErr w:type="gramEnd"/>
      <w:r w:rsidRPr="00497DA7">
        <w:rPr>
          <w:i/>
          <w:sz w:val="20"/>
          <w:lang w:val="es-ES_tradnl"/>
        </w:rPr>
        <w:t xml:space="preserve"> miles de francos suizos)</w:t>
      </w:r>
    </w:p>
    <w:p w:rsidR="00236E18" w:rsidRPr="00497DA7" w:rsidRDefault="00236E18" w:rsidP="00236E18">
      <w:pPr>
        <w:keepNext/>
        <w:keepLines/>
        <w:jc w:val="center"/>
        <w:rPr>
          <w:i/>
          <w:sz w:val="20"/>
          <w:highlight w:val="lightGray"/>
          <w:lang w:val="es-ES_tradnl"/>
        </w:rPr>
      </w:pPr>
    </w:p>
    <w:p w:rsidR="00236E18" w:rsidRPr="009B4A78" w:rsidRDefault="00236E18" w:rsidP="00236E18">
      <w:pPr>
        <w:jc w:val="center"/>
        <w:rPr>
          <w:rFonts w:eastAsia="Arial"/>
          <w:sz w:val="18"/>
        </w:rPr>
      </w:pPr>
      <w:r w:rsidRPr="006C3FFE">
        <w:rPr>
          <w:noProof/>
          <w:lang w:val="en-US" w:eastAsia="en-US"/>
        </w:rPr>
        <w:drawing>
          <wp:inline distT="0" distB="0" distL="0" distR="0" wp14:anchorId="07F482AB" wp14:editId="4A458D5F">
            <wp:extent cx="5940425" cy="6110348"/>
            <wp:effectExtent l="0" t="0" r="3175" b="508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40425" cy="6110348"/>
                    </a:xfrm>
                    <a:prstGeom prst="rect">
                      <a:avLst/>
                    </a:prstGeom>
                    <a:noFill/>
                    <a:ln>
                      <a:noFill/>
                    </a:ln>
                  </pic:spPr>
                </pic:pic>
              </a:graphicData>
            </a:graphic>
          </wp:inline>
        </w:drawing>
      </w:r>
    </w:p>
    <w:p w:rsidR="00236E18" w:rsidRDefault="00236E18" w:rsidP="00236E18">
      <w:pPr>
        <w:rPr>
          <w:szCs w:val="22"/>
        </w:rPr>
      </w:pPr>
    </w:p>
    <w:p w:rsidR="00236E18" w:rsidRDefault="00236E18" w:rsidP="00236E18">
      <w:pPr>
        <w:rPr>
          <w:szCs w:val="22"/>
        </w:rPr>
      </w:pPr>
      <w:r>
        <w:rPr>
          <w:szCs w:val="22"/>
        </w:rPr>
        <w:br w:type="page"/>
      </w:r>
    </w:p>
    <w:p w:rsidR="00236E18" w:rsidRPr="005A7007" w:rsidRDefault="00236E18" w:rsidP="00236E18">
      <w:pPr>
        <w:pStyle w:val="StyleHeading3ComplexItalic"/>
        <w:tabs>
          <w:tab w:val="clear" w:pos="1985"/>
          <w:tab w:val="left" w:pos="3119"/>
        </w:tabs>
        <w:ind w:left="3119" w:hanging="3119"/>
        <w:rPr>
          <w:rStyle w:val="StyleStyleHeading3ComplexItalicLatin12ptChar"/>
          <w:rFonts w:eastAsia="SimSun"/>
          <w:b/>
          <w:lang w:val="es-ES_tradnl"/>
        </w:rPr>
      </w:pPr>
      <w:bookmarkStart w:id="58" w:name="_Toc367350581"/>
      <w:bookmarkStart w:id="59" w:name="_Toc419283250"/>
      <w:bookmarkStart w:id="60" w:name="_Toc431573549"/>
      <w:bookmarkStart w:id="61" w:name="_Toc431573950"/>
      <w:r w:rsidRPr="005A7007">
        <w:rPr>
          <w:rStyle w:val="StyleStyleHeading3ComplexItalicLatin12ptChar"/>
          <w:rFonts w:eastAsia="SimSun"/>
          <w:b/>
          <w:lang w:val="es-ES_tradnl"/>
        </w:rPr>
        <w:lastRenderedPageBreak/>
        <w:t>META ESTRATÉGICA III</w:t>
      </w:r>
      <w:r w:rsidRPr="005A7007">
        <w:rPr>
          <w:rStyle w:val="StyleStyleHeading3ComplexItalicLatin12ptChar"/>
          <w:rFonts w:eastAsia="SimSun"/>
          <w:b/>
          <w:lang w:val="es-ES_tradnl"/>
        </w:rPr>
        <w:tab/>
      </w:r>
      <w:bookmarkEnd w:id="58"/>
      <w:bookmarkEnd w:id="59"/>
      <w:r w:rsidRPr="005A7007">
        <w:rPr>
          <w:rStyle w:val="StyleStyleHeading3ComplexItalicLatin12ptChar"/>
          <w:rFonts w:eastAsia="SimSun"/>
          <w:b/>
          <w:lang w:val="es-ES_tradnl"/>
        </w:rPr>
        <w:t>FACILITAR EL USO DE LA P.I. EN ARAS DEL DESARROLLO</w:t>
      </w:r>
      <w:bookmarkEnd w:id="60"/>
      <w:bookmarkEnd w:id="61"/>
    </w:p>
    <w:p w:rsidR="00236E18" w:rsidRPr="00A371EF" w:rsidRDefault="00236E18" w:rsidP="00236E18">
      <w:pPr>
        <w:tabs>
          <w:tab w:val="left" w:pos="1701"/>
        </w:tabs>
        <w:ind w:left="1701" w:hanging="1701"/>
        <w:rPr>
          <w:bCs/>
          <w:caps/>
          <w:szCs w:val="22"/>
          <w:highlight w:val="lightGray"/>
          <w:lang w:val="es-ES_tradnl"/>
        </w:rPr>
      </w:pPr>
    </w:p>
    <w:p w:rsidR="00236E18" w:rsidRPr="00A371EF" w:rsidRDefault="00236E18" w:rsidP="00236E18">
      <w:pPr>
        <w:tabs>
          <w:tab w:val="left" w:pos="1701"/>
        </w:tabs>
        <w:ind w:left="1701" w:hanging="1701"/>
        <w:rPr>
          <w:bCs/>
          <w:caps/>
          <w:szCs w:val="22"/>
          <w:highlight w:val="lightGray"/>
          <w:lang w:val="es-ES_tradnl"/>
        </w:rPr>
      </w:pPr>
    </w:p>
    <w:p w:rsidR="00236E18" w:rsidRPr="00A371EF" w:rsidRDefault="00236E18" w:rsidP="00236E18">
      <w:pPr>
        <w:jc w:val="both"/>
        <w:rPr>
          <w:sz w:val="20"/>
          <w:highlight w:val="lightGray"/>
        </w:rPr>
      </w:pPr>
      <w:r w:rsidRPr="00A371EF">
        <w:rPr>
          <w:sz w:val="20"/>
        </w:rPr>
        <w:t>La meta de facilitar el uso de la P.I. en aras del desarrollo social, cultural y económico es lo que impulsa las múltiples actividades de la OMPI de asistencia técnica y fortalecimiento de capacidades, de cuya ejecución se ocupan varios programas en cada sector de la Organización.   Común denominador de todas esas actividades, el enfoque a mediano plazo de esta meta estratégica intersectorial es prestar asistencia a los países en desarrollo, los países menos adelantados (PMA) y los países con economías en transición para que utilicen eficazmente el sistema de propiedad intelectual en función de su propio contexto.</w:t>
      </w:r>
    </w:p>
    <w:p w:rsidR="00236E18" w:rsidRPr="00A371EF" w:rsidRDefault="00236E18" w:rsidP="00236E18">
      <w:pPr>
        <w:jc w:val="both"/>
        <w:rPr>
          <w:sz w:val="20"/>
          <w:highlight w:val="lightGray"/>
        </w:rPr>
      </w:pPr>
    </w:p>
    <w:p w:rsidR="00236E18" w:rsidRPr="00DE56AC" w:rsidRDefault="00236E18" w:rsidP="00236E18">
      <w:pPr>
        <w:autoSpaceDE w:val="0"/>
        <w:autoSpaceDN w:val="0"/>
        <w:adjustRightInd w:val="0"/>
        <w:jc w:val="both"/>
        <w:rPr>
          <w:iCs/>
          <w:sz w:val="20"/>
          <w:highlight w:val="lightGray"/>
          <w:lang w:val="es-ES_tradnl"/>
        </w:rPr>
      </w:pPr>
      <w:r w:rsidRPr="00DE56AC">
        <w:rPr>
          <w:iCs/>
          <w:sz w:val="20"/>
        </w:rPr>
        <w:t>La Agenda de la OMPI para el Desarrollo desempeña un papel central a la hora de garantizar que todas las actividades de la OMPI contribuyan a esta meta estratégica.</w:t>
      </w:r>
    </w:p>
    <w:p w:rsidR="00236E18" w:rsidRPr="00A371EF" w:rsidRDefault="00236E18" w:rsidP="00236E18">
      <w:pPr>
        <w:tabs>
          <w:tab w:val="left" w:pos="1701"/>
        </w:tabs>
        <w:ind w:left="1701" w:hanging="1701"/>
        <w:jc w:val="center"/>
        <w:rPr>
          <w:b/>
          <w:bCs/>
          <w:caps/>
          <w:sz w:val="20"/>
          <w:highlight w:val="lightGray"/>
          <w:lang w:val="es-ES_tradn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86"/>
        <w:gridCol w:w="3174"/>
        <w:gridCol w:w="2833"/>
      </w:tblGrid>
      <w:tr w:rsidR="00236E18" w:rsidRPr="00290055" w:rsidTr="00294272">
        <w:trPr>
          <w:cantSplit/>
          <w:tblHeader/>
        </w:trPr>
        <w:tc>
          <w:tcPr>
            <w:tcW w:w="1768" w:type="pct"/>
            <w:tcBorders>
              <w:top w:val="single" w:sz="4" w:space="0" w:color="auto"/>
              <w:bottom w:val="single" w:sz="4" w:space="0" w:color="auto"/>
            </w:tcBorders>
            <w:shd w:val="clear" w:color="auto" w:fill="C6D9F1" w:themeFill="text2" w:themeFillTint="33"/>
            <w:tcMar>
              <w:top w:w="85" w:type="dxa"/>
              <w:bottom w:w="28" w:type="dxa"/>
            </w:tcMar>
            <w:vAlign w:val="center"/>
          </w:tcPr>
          <w:p w:rsidR="00236E18" w:rsidRPr="00290055" w:rsidRDefault="00236E18" w:rsidP="00294272">
            <w:pPr>
              <w:spacing w:after="120"/>
              <w:jc w:val="center"/>
              <w:rPr>
                <w:b/>
                <w:bCs/>
                <w:sz w:val="16"/>
                <w:szCs w:val="16"/>
              </w:rPr>
            </w:pPr>
            <w:r w:rsidRPr="00290055">
              <w:rPr>
                <w:b/>
                <w:bCs/>
                <w:sz w:val="16"/>
                <w:szCs w:val="16"/>
              </w:rPr>
              <w:t>Resultados previstos</w:t>
            </w:r>
          </w:p>
        </w:tc>
        <w:tc>
          <w:tcPr>
            <w:tcW w:w="1708" w:type="pct"/>
            <w:tcBorders>
              <w:top w:val="single" w:sz="4" w:space="0" w:color="auto"/>
              <w:bottom w:val="single" w:sz="4" w:space="0" w:color="auto"/>
            </w:tcBorders>
            <w:shd w:val="clear" w:color="auto" w:fill="C6D9F1" w:themeFill="text2" w:themeFillTint="33"/>
            <w:tcMar>
              <w:top w:w="85" w:type="dxa"/>
              <w:bottom w:w="28" w:type="dxa"/>
            </w:tcMar>
            <w:vAlign w:val="center"/>
          </w:tcPr>
          <w:p w:rsidR="00236E18" w:rsidRPr="00290055" w:rsidRDefault="00236E18" w:rsidP="00294272">
            <w:pPr>
              <w:spacing w:after="120"/>
              <w:jc w:val="center"/>
              <w:rPr>
                <w:b/>
                <w:bCs/>
                <w:sz w:val="16"/>
                <w:szCs w:val="16"/>
              </w:rPr>
            </w:pPr>
            <w:r w:rsidRPr="00290055">
              <w:rPr>
                <w:b/>
                <w:bCs/>
                <w:sz w:val="16"/>
                <w:szCs w:val="16"/>
              </w:rPr>
              <w:t>Indicadores de rendimiento</w:t>
            </w:r>
          </w:p>
        </w:tc>
        <w:tc>
          <w:tcPr>
            <w:tcW w:w="1524" w:type="pct"/>
            <w:tcBorders>
              <w:top w:val="single" w:sz="4" w:space="0" w:color="auto"/>
              <w:bottom w:val="single" w:sz="4" w:space="0" w:color="auto"/>
            </w:tcBorders>
            <w:shd w:val="clear" w:color="auto" w:fill="C6D9F1" w:themeFill="text2" w:themeFillTint="33"/>
            <w:tcMar>
              <w:top w:w="85" w:type="dxa"/>
              <w:bottom w:w="28" w:type="dxa"/>
            </w:tcMar>
            <w:vAlign w:val="center"/>
          </w:tcPr>
          <w:p w:rsidR="00236E18" w:rsidRPr="00290055" w:rsidRDefault="00236E18" w:rsidP="00294272">
            <w:pPr>
              <w:spacing w:after="120"/>
              <w:ind w:left="85"/>
              <w:jc w:val="center"/>
              <w:rPr>
                <w:b/>
                <w:bCs/>
                <w:sz w:val="16"/>
                <w:szCs w:val="16"/>
              </w:rPr>
            </w:pPr>
            <w:r w:rsidRPr="00290055">
              <w:rPr>
                <w:b/>
                <w:bCs/>
                <w:sz w:val="16"/>
                <w:szCs w:val="16"/>
              </w:rPr>
              <w:t>Programas responsables</w:t>
            </w:r>
          </w:p>
        </w:tc>
      </w:tr>
      <w:tr w:rsidR="00236E18" w:rsidRPr="00290055" w:rsidTr="00294272">
        <w:trPr>
          <w:cantSplit/>
        </w:trPr>
        <w:tc>
          <w:tcPr>
            <w:tcW w:w="1768" w:type="pct"/>
            <w:tcBorders>
              <w:top w:val="single" w:sz="4" w:space="0" w:color="auto"/>
            </w:tcBorders>
            <w:shd w:val="clear" w:color="auto" w:fill="auto"/>
            <w:tcMar>
              <w:top w:w="85" w:type="dxa"/>
              <w:bottom w:w="28" w:type="dxa"/>
            </w:tcMar>
          </w:tcPr>
          <w:p w:rsidR="00236E18" w:rsidRPr="00DE56AC" w:rsidRDefault="00236E18" w:rsidP="00294272">
            <w:pPr>
              <w:rPr>
                <w:sz w:val="16"/>
                <w:szCs w:val="16"/>
              </w:rPr>
            </w:pPr>
            <w:r w:rsidRPr="00DE56AC">
              <w:rPr>
                <w:sz w:val="16"/>
                <w:szCs w:val="16"/>
              </w:rPr>
              <w:t xml:space="preserve">III.1  </w:t>
            </w:r>
            <w:r w:rsidRPr="00DE56AC">
              <w:rPr>
                <w:sz w:val="16"/>
                <w:szCs w:val="16"/>
                <w:lang w:val="es-ES_tradnl"/>
              </w:rPr>
              <w:t>Estrategias y planes nacionales de innovación y de P.I. que estén en sintonía con los objetivos nacionales de desarrollo</w:t>
            </w:r>
          </w:p>
        </w:tc>
        <w:tc>
          <w:tcPr>
            <w:tcW w:w="1708" w:type="pct"/>
            <w:tcBorders>
              <w:top w:val="single" w:sz="4" w:space="0" w:color="auto"/>
            </w:tcBorders>
            <w:shd w:val="clear" w:color="auto" w:fill="auto"/>
            <w:tcMar>
              <w:top w:w="85" w:type="dxa"/>
              <w:bottom w:w="28" w:type="dxa"/>
            </w:tcMar>
          </w:tcPr>
          <w:p w:rsidR="00236E18" w:rsidRPr="00290055" w:rsidRDefault="00236E18" w:rsidP="00294272">
            <w:pPr>
              <w:rPr>
                <w:sz w:val="16"/>
                <w:szCs w:val="16"/>
              </w:rPr>
            </w:pPr>
            <w:r w:rsidRPr="00290055">
              <w:rPr>
                <w:sz w:val="16"/>
                <w:szCs w:val="16"/>
              </w:rPr>
              <w:t>N</w:t>
            </w:r>
            <w:r>
              <w:rPr>
                <w:sz w:val="16"/>
                <w:szCs w:val="16"/>
              </w:rPr>
              <w:t>º</w:t>
            </w:r>
            <w:r w:rsidRPr="00290055">
              <w:rPr>
                <w:sz w:val="16"/>
                <w:szCs w:val="16"/>
              </w:rPr>
              <w:t xml:space="preserve"> de países que están en proceso de formular estrategias nacionales de P.I.</w:t>
            </w:r>
          </w:p>
        </w:tc>
        <w:tc>
          <w:tcPr>
            <w:tcW w:w="1524" w:type="pct"/>
            <w:tcBorders>
              <w:top w:val="single" w:sz="4" w:space="0" w:color="auto"/>
            </w:tcBorders>
            <w:shd w:val="clear" w:color="auto" w:fill="FFFFFF"/>
            <w:tcMar>
              <w:top w:w="85" w:type="dxa"/>
              <w:bottom w:w="28" w:type="dxa"/>
            </w:tcMar>
          </w:tcPr>
          <w:p w:rsidR="00236E18" w:rsidRPr="00290055" w:rsidRDefault="00236E18" w:rsidP="00294272">
            <w:pPr>
              <w:ind w:left="551"/>
              <w:rPr>
                <w:sz w:val="16"/>
                <w:szCs w:val="16"/>
              </w:rPr>
            </w:pPr>
            <w:r w:rsidRPr="00290055">
              <w:rPr>
                <w:sz w:val="16"/>
                <w:szCs w:val="16"/>
                <w:lang w:bidi="th-TH"/>
              </w:rPr>
              <w:t>Programa 9</w:t>
            </w:r>
          </w:p>
        </w:tc>
      </w:tr>
      <w:tr w:rsidR="00236E18" w:rsidRPr="00290055" w:rsidTr="00294272">
        <w:trPr>
          <w:cantSplit/>
          <w:trHeight w:val="556"/>
        </w:trPr>
        <w:tc>
          <w:tcPr>
            <w:tcW w:w="1768" w:type="pct"/>
            <w:shd w:val="clear" w:color="auto" w:fill="auto"/>
            <w:tcMar>
              <w:top w:w="85" w:type="dxa"/>
              <w:bottom w:w="28" w:type="dxa"/>
            </w:tcMar>
          </w:tcPr>
          <w:p w:rsidR="00236E18" w:rsidRPr="00DE56AC"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N</w:t>
            </w:r>
            <w:r>
              <w:rPr>
                <w:sz w:val="16"/>
                <w:szCs w:val="16"/>
              </w:rPr>
              <w:t>º</w:t>
            </w:r>
            <w:r w:rsidRPr="00290055">
              <w:rPr>
                <w:sz w:val="16"/>
                <w:szCs w:val="16"/>
              </w:rPr>
              <w:t xml:space="preserve"> de países que adopta</w:t>
            </w:r>
            <w:r>
              <w:rPr>
                <w:sz w:val="16"/>
                <w:szCs w:val="16"/>
              </w:rPr>
              <w:t>n</w:t>
            </w:r>
            <w:r w:rsidRPr="00290055">
              <w:rPr>
                <w:sz w:val="16"/>
                <w:szCs w:val="16"/>
              </w:rPr>
              <w:t xml:space="preserve"> estrategias nacionales de innovación y P.I.</w:t>
            </w:r>
          </w:p>
        </w:tc>
        <w:tc>
          <w:tcPr>
            <w:tcW w:w="1524" w:type="pct"/>
            <w:shd w:val="clear" w:color="auto" w:fill="FFFFFF"/>
            <w:tcMar>
              <w:top w:w="85" w:type="dxa"/>
              <w:bottom w:w="28" w:type="dxa"/>
            </w:tcMar>
          </w:tcPr>
          <w:p w:rsidR="00236E18" w:rsidRPr="00290055" w:rsidRDefault="00236E18" w:rsidP="00294272">
            <w:pPr>
              <w:ind w:left="551"/>
              <w:rPr>
                <w:sz w:val="16"/>
                <w:szCs w:val="16"/>
              </w:rPr>
            </w:pPr>
            <w:r w:rsidRPr="00290055">
              <w:rPr>
                <w:sz w:val="16"/>
                <w:szCs w:val="16"/>
                <w:lang w:bidi="th-TH"/>
              </w:rPr>
              <w:t>Programa 9</w:t>
            </w:r>
          </w:p>
        </w:tc>
      </w:tr>
      <w:tr w:rsidR="00236E18" w:rsidRPr="00290055" w:rsidTr="00294272">
        <w:trPr>
          <w:cantSplit/>
          <w:trHeight w:val="556"/>
        </w:trPr>
        <w:tc>
          <w:tcPr>
            <w:tcW w:w="1768" w:type="pct"/>
            <w:shd w:val="clear" w:color="auto" w:fill="auto"/>
            <w:tcMar>
              <w:top w:w="85" w:type="dxa"/>
              <w:bottom w:w="28" w:type="dxa"/>
            </w:tcMar>
          </w:tcPr>
          <w:p w:rsidR="00236E18" w:rsidRPr="00DE56AC"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N</w:t>
            </w:r>
            <w:r>
              <w:rPr>
                <w:sz w:val="16"/>
                <w:szCs w:val="16"/>
              </w:rPr>
              <w:t>º</w:t>
            </w:r>
            <w:r w:rsidRPr="00290055">
              <w:rPr>
                <w:sz w:val="16"/>
                <w:szCs w:val="16"/>
              </w:rPr>
              <w:t xml:space="preserve"> de países que están en vías de aplicar estrategias nacionales de innovación y de P.I. y planes de desarrollo de la P.I.</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9</w:t>
            </w:r>
          </w:p>
        </w:tc>
      </w:tr>
      <w:tr w:rsidR="00236E18" w:rsidRPr="00290055" w:rsidTr="00294272">
        <w:trPr>
          <w:cantSplit/>
          <w:trHeight w:val="368"/>
        </w:trPr>
        <w:tc>
          <w:tcPr>
            <w:tcW w:w="1768" w:type="pct"/>
            <w:shd w:val="clear" w:color="auto" w:fill="auto"/>
            <w:tcMar>
              <w:top w:w="85" w:type="dxa"/>
              <w:bottom w:w="28" w:type="dxa"/>
            </w:tcMar>
          </w:tcPr>
          <w:p w:rsidR="00236E18" w:rsidRPr="00DE56AC"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N</w:t>
            </w:r>
            <w:r>
              <w:rPr>
                <w:sz w:val="16"/>
                <w:szCs w:val="16"/>
              </w:rPr>
              <w:t>º</w:t>
            </w:r>
            <w:r w:rsidRPr="00290055">
              <w:rPr>
                <w:sz w:val="16"/>
                <w:szCs w:val="16"/>
              </w:rPr>
              <w:t xml:space="preserve"> de países que elabora</w:t>
            </w:r>
            <w:r>
              <w:rPr>
                <w:sz w:val="16"/>
                <w:szCs w:val="16"/>
              </w:rPr>
              <w:t>n</w:t>
            </w:r>
            <w:r w:rsidRPr="00290055">
              <w:rPr>
                <w:sz w:val="16"/>
                <w:szCs w:val="16"/>
              </w:rPr>
              <w:t xml:space="preserve"> estrategias o planes nacionales de P.I. combinados con metas nacionales de desarrollo. </w:t>
            </w:r>
          </w:p>
        </w:tc>
        <w:tc>
          <w:tcPr>
            <w:tcW w:w="1524" w:type="pct"/>
            <w:shd w:val="clear" w:color="auto" w:fill="FFFFFF"/>
            <w:tcMar>
              <w:top w:w="85" w:type="dxa"/>
              <w:bottom w:w="28" w:type="dxa"/>
            </w:tcMar>
          </w:tcPr>
          <w:p w:rsidR="00236E18" w:rsidRPr="00290055" w:rsidRDefault="00236E18" w:rsidP="00294272">
            <w:pPr>
              <w:ind w:left="551"/>
              <w:rPr>
                <w:sz w:val="16"/>
                <w:szCs w:val="16"/>
              </w:rPr>
            </w:pPr>
            <w:r w:rsidRPr="00290055">
              <w:rPr>
                <w:sz w:val="16"/>
                <w:szCs w:val="16"/>
                <w:lang w:bidi="th-TH"/>
              </w:rPr>
              <w:t>Programa 10</w:t>
            </w:r>
          </w:p>
        </w:tc>
      </w:tr>
      <w:tr w:rsidR="00236E18" w:rsidRPr="00290055" w:rsidTr="00294272">
        <w:trPr>
          <w:cantSplit/>
          <w:trHeight w:val="362"/>
        </w:trPr>
        <w:tc>
          <w:tcPr>
            <w:tcW w:w="1768" w:type="pct"/>
            <w:shd w:val="clear" w:color="auto" w:fill="auto"/>
            <w:tcMar>
              <w:top w:w="85" w:type="dxa"/>
              <w:bottom w:w="28" w:type="dxa"/>
            </w:tcMar>
          </w:tcPr>
          <w:p w:rsidR="00236E18" w:rsidRPr="00DE56AC"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N</w:t>
            </w:r>
            <w:r>
              <w:rPr>
                <w:sz w:val="16"/>
                <w:szCs w:val="16"/>
              </w:rPr>
              <w:t>º</w:t>
            </w:r>
            <w:r w:rsidRPr="00290055">
              <w:rPr>
                <w:sz w:val="16"/>
                <w:szCs w:val="16"/>
              </w:rPr>
              <w:t xml:space="preserve"> de estrategias nacionales de P.I. para fomentar la creatividad, incluida la innovación.</w:t>
            </w:r>
          </w:p>
        </w:tc>
        <w:tc>
          <w:tcPr>
            <w:tcW w:w="1524" w:type="pct"/>
            <w:shd w:val="clear" w:color="auto" w:fill="FFFFFF"/>
            <w:tcMar>
              <w:top w:w="85" w:type="dxa"/>
              <w:bottom w:w="28" w:type="dxa"/>
            </w:tcMar>
          </w:tcPr>
          <w:p w:rsidR="00236E18" w:rsidRPr="00290055" w:rsidRDefault="00236E18" w:rsidP="00294272">
            <w:pPr>
              <w:ind w:left="569"/>
              <w:rPr>
                <w:sz w:val="16"/>
                <w:szCs w:val="16"/>
                <w:lang w:bidi="th-TH"/>
              </w:rPr>
            </w:pPr>
            <w:r w:rsidRPr="00290055">
              <w:rPr>
                <w:sz w:val="16"/>
                <w:szCs w:val="16"/>
                <w:lang w:bidi="th-TH"/>
              </w:rPr>
              <w:t>Programa 30</w:t>
            </w:r>
          </w:p>
        </w:tc>
      </w:tr>
      <w:tr w:rsidR="00236E18" w:rsidRPr="00290055" w:rsidTr="00294272">
        <w:trPr>
          <w:cantSplit/>
          <w:trHeight w:val="1314"/>
        </w:trPr>
        <w:tc>
          <w:tcPr>
            <w:tcW w:w="1768" w:type="pct"/>
            <w:shd w:val="clear" w:color="auto" w:fill="auto"/>
            <w:tcMar>
              <w:top w:w="85" w:type="dxa"/>
              <w:bottom w:w="28" w:type="dxa"/>
            </w:tcMar>
          </w:tcPr>
          <w:p w:rsidR="00236E18" w:rsidRPr="00DE56AC" w:rsidRDefault="00236E18" w:rsidP="00294272">
            <w:pPr>
              <w:rPr>
                <w:sz w:val="16"/>
                <w:szCs w:val="16"/>
              </w:rPr>
            </w:pPr>
            <w:r w:rsidRPr="00DE56AC">
              <w:rPr>
                <w:sz w:val="16"/>
                <w:szCs w:val="16"/>
              </w:rPr>
              <w:t xml:space="preserve">III.2  </w:t>
            </w:r>
            <w:r w:rsidRPr="00DE56AC">
              <w:rPr>
                <w:sz w:val="16"/>
                <w:szCs w:val="16"/>
                <w:lang w:val="es-ES_tradnl"/>
              </w:rPr>
              <w:t>Aumento de las capacidades en recursos humanos para hacer frente a la gran diversidad de exigencias que supone la utilización eficaz de la P.I. para fomentar el desarrollo en los países en desarrollo, PMA y países con economías en transición</w:t>
            </w:r>
          </w:p>
        </w:tc>
        <w:tc>
          <w:tcPr>
            <w:tcW w:w="1708" w:type="pct"/>
            <w:shd w:val="clear" w:color="auto" w:fill="auto"/>
            <w:tcMar>
              <w:top w:w="85" w:type="dxa"/>
              <w:bottom w:w="28" w:type="dxa"/>
            </w:tcMar>
          </w:tcPr>
          <w:p w:rsidR="00236E18" w:rsidRDefault="00236E18" w:rsidP="00294272">
            <w:pPr>
              <w:rPr>
                <w:sz w:val="16"/>
                <w:szCs w:val="16"/>
              </w:rPr>
            </w:pPr>
            <w:r>
              <w:rPr>
                <w:sz w:val="16"/>
                <w:szCs w:val="16"/>
              </w:rPr>
              <w:t>Nº de oficinas nacionales de derecho de autor que participan activamente en el proceso consultivo del TAG</w:t>
            </w:r>
          </w:p>
          <w:p w:rsidR="00236E18" w:rsidRDefault="00236E18" w:rsidP="00294272">
            <w:pPr>
              <w:rPr>
                <w:sz w:val="16"/>
                <w:szCs w:val="16"/>
              </w:rPr>
            </w:pPr>
          </w:p>
          <w:p w:rsidR="00236E18" w:rsidRPr="00290055" w:rsidRDefault="00236E18" w:rsidP="00294272">
            <w:pPr>
              <w:rPr>
                <w:sz w:val="16"/>
                <w:szCs w:val="16"/>
              </w:rPr>
            </w:pPr>
            <w:r w:rsidRPr="008E4709">
              <w:rPr>
                <w:sz w:val="16"/>
                <w:szCs w:val="16"/>
              </w:rPr>
              <w:t>N</w:t>
            </w:r>
            <w:r>
              <w:rPr>
                <w:sz w:val="16"/>
                <w:szCs w:val="16"/>
              </w:rPr>
              <w:t>º</w:t>
            </w:r>
            <w:r w:rsidRPr="008E4709">
              <w:rPr>
                <w:sz w:val="16"/>
                <w:szCs w:val="16"/>
              </w:rPr>
              <w:t xml:space="preserve"> de organismos de gestión colectiva que solicitan acreditación “TAG</w:t>
            </w:r>
            <w:r>
              <w:rPr>
                <w:sz w:val="16"/>
                <w:szCs w:val="16"/>
              </w:rPr>
              <w:t>”</w:t>
            </w:r>
            <w:r w:rsidRPr="008E4709">
              <w:rPr>
                <w:sz w:val="16"/>
                <w:szCs w:val="16"/>
              </w:rPr>
              <w:t>.</w:t>
            </w:r>
          </w:p>
          <w:p w:rsidR="00236E18" w:rsidRPr="00290055" w:rsidRDefault="00236E18" w:rsidP="00294272">
            <w:pPr>
              <w:rPr>
                <w:sz w:val="16"/>
                <w:szCs w:val="16"/>
              </w:rPr>
            </w:pPr>
          </w:p>
          <w:p w:rsidR="00236E18" w:rsidRPr="00290055" w:rsidRDefault="00236E18" w:rsidP="00294272">
            <w:pPr>
              <w:rPr>
                <w:sz w:val="16"/>
                <w:szCs w:val="16"/>
              </w:rPr>
            </w:pPr>
            <w:r w:rsidRPr="00290055">
              <w:rPr>
                <w:sz w:val="16"/>
                <w:szCs w:val="16"/>
              </w:rPr>
              <w:t xml:space="preserve">Porcentaje de </w:t>
            </w:r>
            <w:r>
              <w:rPr>
                <w:sz w:val="16"/>
                <w:szCs w:val="16"/>
              </w:rPr>
              <w:t>participantes</w:t>
            </w:r>
            <w:r w:rsidRPr="00290055">
              <w:rPr>
                <w:sz w:val="16"/>
                <w:szCs w:val="16"/>
              </w:rPr>
              <w:t xml:space="preserve"> que informan favorablemente acerca de los programas de fortalecimiento de capacidades en materia de gestión colectiva.</w:t>
            </w:r>
          </w:p>
        </w:tc>
        <w:tc>
          <w:tcPr>
            <w:tcW w:w="1524" w:type="pct"/>
            <w:shd w:val="clear" w:color="auto" w:fill="FFFFFF"/>
            <w:tcMar>
              <w:top w:w="85" w:type="dxa"/>
              <w:bottom w:w="28" w:type="dxa"/>
            </w:tcMar>
          </w:tcPr>
          <w:p w:rsidR="00236E18" w:rsidRDefault="00236E18" w:rsidP="00294272">
            <w:pPr>
              <w:ind w:left="551"/>
              <w:rPr>
                <w:sz w:val="16"/>
                <w:szCs w:val="16"/>
                <w:lang w:bidi="th-TH"/>
              </w:rPr>
            </w:pPr>
            <w:r>
              <w:rPr>
                <w:sz w:val="16"/>
                <w:szCs w:val="16"/>
                <w:lang w:bidi="th-TH"/>
              </w:rPr>
              <w:t>Programa 3</w:t>
            </w:r>
          </w:p>
          <w:p w:rsidR="00236E18" w:rsidRDefault="00236E18" w:rsidP="00294272">
            <w:pPr>
              <w:ind w:left="551"/>
              <w:rPr>
                <w:sz w:val="16"/>
                <w:szCs w:val="16"/>
                <w:lang w:bidi="th-TH"/>
              </w:rPr>
            </w:pPr>
          </w:p>
          <w:p w:rsidR="00236E18" w:rsidRDefault="00236E18" w:rsidP="00294272">
            <w:pPr>
              <w:ind w:left="551"/>
              <w:rPr>
                <w:sz w:val="16"/>
                <w:szCs w:val="16"/>
                <w:lang w:bidi="th-TH"/>
              </w:rPr>
            </w:pPr>
          </w:p>
          <w:p w:rsidR="00236E18" w:rsidRDefault="00236E18" w:rsidP="00294272">
            <w:pPr>
              <w:ind w:left="551"/>
              <w:rPr>
                <w:sz w:val="16"/>
                <w:szCs w:val="16"/>
                <w:lang w:bidi="th-TH"/>
              </w:rPr>
            </w:pPr>
          </w:p>
          <w:p w:rsidR="00236E18" w:rsidRPr="00290055" w:rsidRDefault="00236E18" w:rsidP="00294272">
            <w:pPr>
              <w:ind w:left="551"/>
              <w:rPr>
                <w:sz w:val="16"/>
                <w:szCs w:val="16"/>
                <w:lang w:bidi="th-TH"/>
              </w:rPr>
            </w:pPr>
            <w:r w:rsidRPr="00290055">
              <w:rPr>
                <w:sz w:val="16"/>
                <w:szCs w:val="16"/>
                <w:lang w:bidi="th-TH"/>
              </w:rPr>
              <w:t xml:space="preserve">Programa 3 </w:t>
            </w:r>
          </w:p>
          <w:p w:rsidR="00236E18" w:rsidRDefault="00236E18" w:rsidP="00294272">
            <w:pPr>
              <w:ind w:left="551"/>
              <w:rPr>
                <w:sz w:val="16"/>
                <w:szCs w:val="16"/>
                <w:lang w:bidi="th-TH"/>
              </w:rPr>
            </w:pPr>
          </w:p>
          <w:p w:rsidR="00236E18" w:rsidRPr="00290055" w:rsidRDefault="00236E18" w:rsidP="00294272">
            <w:pPr>
              <w:ind w:left="551"/>
              <w:rPr>
                <w:sz w:val="16"/>
                <w:szCs w:val="16"/>
                <w:lang w:bidi="th-TH"/>
              </w:rPr>
            </w:pPr>
          </w:p>
          <w:p w:rsidR="00236E18" w:rsidRPr="00290055" w:rsidRDefault="00236E18" w:rsidP="00294272">
            <w:pPr>
              <w:ind w:left="551"/>
              <w:rPr>
                <w:sz w:val="16"/>
                <w:szCs w:val="16"/>
                <w:lang w:bidi="th-TH"/>
              </w:rPr>
            </w:pPr>
            <w:r w:rsidRPr="00290055">
              <w:rPr>
                <w:sz w:val="16"/>
                <w:szCs w:val="16"/>
                <w:lang w:bidi="th-TH"/>
              </w:rPr>
              <w:t>Programa 3</w:t>
            </w:r>
          </w:p>
        </w:tc>
      </w:tr>
      <w:tr w:rsidR="00236E18" w:rsidRPr="00290055" w:rsidTr="00294272">
        <w:trPr>
          <w:cantSplit/>
          <w:trHeight w:val="540"/>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N</w:t>
            </w:r>
            <w:r>
              <w:rPr>
                <w:sz w:val="16"/>
                <w:szCs w:val="16"/>
              </w:rPr>
              <w:t>º</w:t>
            </w:r>
            <w:r w:rsidRPr="00290055">
              <w:rPr>
                <w:sz w:val="16"/>
                <w:szCs w:val="16"/>
              </w:rPr>
              <w:t xml:space="preserve"> de visitas al portal sobre la infraestructura de derecho de autor.</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3</w:t>
            </w:r>
          </w:p>
        </w:tc>
      </w:tr>
      <w:tr w:rsidR="00236E18" w:rsidRPr="00290055" w:rsidTr="00294272">
        <w:trPr>
          <w:cantSplit/>
          <w:trHeight w:val="522"/>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N</w:t>
            </w:r>
            <w:r>
              <w:rPr>
                <w:sz w:val="16"/>
                <w:szCs w:val="16"/>
              </w:rPr>
              <w:t>º</w:t>
            </w:r>
            <w:r w:rsidRPr="00290055">
              <w:rPr>
                <w:sz w:val="16"/>
                <w:szCs w:val="16"/>
              </w:rPr>
              <w:t xml:space="preserve"> de editor</w:t>
            </w:r>
            <w:r>
              <w:rPr>
                <w:sz w:val="16"/>
                <w:szCs w:val="16"/>
              </w:rPr>
              <w:t>ial</w:t>
            </w:r>
            <w:r w:rsidRPr="00290055">
              <w:rPr>
                <w:sz w:val="16"/>
                <w:szCs w:val="16"/>
              </w:rPr>
              <w:t>es que firman la Carta de la edición accesible del ABC (la Carta).</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3</w:t>
            </w:r>
          </w:p>
        </w:tc>
      </w:tr>
      <w:tr w:rsidR="00236E18" w:rsidRPr="00290055" w:rsidTr="00294272">
        <w:trPr>
          <w:cantSplit/>
          <w:trHeight w:val="666"/>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N</w:t>
            </w:r>
            <w:r>
              <w:rPr>
                <w:sz w:val="16"/>
                <w:szCs w:val="16"/>
              </w:rPr>
              <w:t>º</w:t>
            </w:r>
            <w:r w:rsidRPr="00290055">
              <w:rPr>
                <w:sz w:val="16"/>
                <w:szCs w:val="16"/>
              </w:rPr>
              <w:t xml:space="preserve"> de libros en formatos accesibles que se prestan a las personas con dificultades para acceder al texto impreso.</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3</w:t>
            </w:r>
          </w:p>
        </w:tc>
      </w:tr>
      <w:tr w:rsidR="00236E18" w:rsidRPr="00290055" w:rsidTr="00294272">
        <w:trPr>
          <w:cantSplit/>
          <w:trHeight w:val="800"/>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Porcentaje de participantes en reuniones y talleres de creación de capacidad sobre cuestiones de derecho de autor que expresaron satisfacción al respecto.</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3</w:t>
            </w:r>
          </w:p>
        </w:tc>
      </w:tr>
      <w:tr w:rsidR="00236E18" w:rsidRPr="00290055" w:rsidTr="00294272">
        <w:trPr>
          <w:cantSplit/>
          <w:trHeight w:val="800"/>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8E4709">
              <w:rPr>
                <w:sz w:val="16"/>
                <w:szCs w:val="16"/>
              </w:rPr>
              <w:t xml:space="preserve">Porcentaje de participantes en talleres de creación de capacidad sobre cuestiones de derecho de autor que informaron de la utilidad práctica de los conocimientos adquiridos </w:t>
            </w:r>
            <w:r>
              <w:rPr>
                <w:sz w:val="16"/>
                <w:szCs w:val="16"/>
              </w:rPr>
              <w:t>9</w:t>
            </w:r>
            <w:r w:rsidRPr="008E4709">
              <w:rPr>
                <w:sz w:val="16"/>
                <w:szCs w:val="16"/>
              </w:rPr>
              <w:t xml:space="preserve"> meses después del taller.</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3</w:t>
            </w:r>
          </w:p>
        </w:tc>
      </w:tr>
      <w:tr w:rsidR="00236E18" w:rsidRPr="00290055" w:rsidTr="00294272">
        <w:trPr>
          <w:cantSplit/>
          <w:trHeight w:val="800"/>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Porcentaje de participantes con mayores conocimientos y competencias en la ejecución de actividades de formación en sus respectivos países.</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3</w:t>
            </w:r>
          </w:p>
        </w:tc>
      </w:tr>
      <w:tr w:rsidR="00236E18" w:rsidRPr="00290055" w:rsidTr="00294272">
        <w:trPr>
          <w:cantSplit/>
          <w:trHeight w:val="800"/>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tabs>
                <w:tab w:val="left" w:pos="2043"/>
              </w:tabs>
              <w:ind w:right="199"/>
              <w:rPr>
                <w:sz w:val="16"/>
                <w:szCs w:val="16"/>
              </w:rPr>
            </w:pPr>
            <w:r w:rsidRPr="00290055">
              <w:rPr>
                <w:sz w:val="16"/>
                <w:szCs w:val="16"/>
              </w:rPr>
              <w:t>Porcentaje de participantes en actividades de la OMPI que informan de que han aumentado su capacidad para comprender y utilizar principios, sistemas y herramientas de P.I. para la protección de los CC.TT. y las ECT, y para la gestión de la relación entre la P.I. y los RR.GG.</w:t>
            </w:r>
          </w:p>
          <w:p w:rsidR="00236E18" w:rsidRPr="00290055" w:rsidRDefault="00236E18" w:rsidP="00294272">
            <w:pPr>
              <w:rPr>
                <w:sz w:val="16"/>
                <w:szCs w:val="16"/>
              </w:rPr>
            </w:pP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4</w:t>
            </w:r>
          </w:p>
        </w:tc>
      </w:tr>
      <w:tr w:rsidR="00236E18" w:rsidRPr="00290055" w:rsidTr="00294272">
        <w:trPr>
          <w:cantSplit/>
          <w:trHeight w:val="550"/>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Porcentaje de participantes en actividades de la OMPI que se muestran satisfechos del contenido y la organización de dichos actos</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9</w:t>
            </w:r>
          </w:p>
        </w:tc>
      </w:tr>
      <w:tr w:rsidR="00236E18" w:rsidRPr="00290055" w:rsidTr="00294272">
        <w:trPr>
          <w:cantSplit/>
          <w:trHeight w:val="554"/>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Porcentaje de participantes en talleres de la OMPI que aplican las capacidades adquiridas en su labor/empresa</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9</w:t>
            </w:r>
          </w:p>
        </w:tc>
      </w:tr>
      <w:tr w:rsidR="00236E18" w:rsidRPr="00290055" w:rsidTr="00294272">
        <w:trPr>
          <w:cantSplit/>
          <w:trHeight w:val="532"/>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Porcentaje de expertos nacionales y regionales de P.I. que participan como expertos en las actividades de la OMPI.</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9</w:t>
            </w:r>
          </w:p>
        </w:tc>
      </w:tr>
      <w:tr w:rsidR="00236E18" w:rsidRPr="00290055" w:rsidTr="00294272">
        <w:trPr>
          <w:cantSplit/>
          <w:trHeight w:val="547"/>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N</w:t>
            </w:r>
            <w:r>
              <w:rPr>
                <w:sz w:val="16"/>
                <w:szCs w:val="16"/>
              </w:rPr>
              <w:t>º</w:t>
            </w:r>
            <w:r w:rsidRPr="00290055">
              <w:rPr>
                <w:sz w:val="16"/>
                <w:szCs w:val="16"/>
              </w:rPr>
              <w:t xml:space="preserve"> de países en transición que han establecido programas o cursos anuales de formación en P.I. para los profesionales de la P.I.</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10</w:t>
            </w:r>
          </w:p>
        </w:tc>
      </w:tr>
      <w:tr w:rsidR="00236E18" w:rsidRPr="00290055" w:rsidTr="00294272">
        <w:trPr>
          <w:cantSplit/>
          <w:trHeight w:val="538"/>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Porcentaje de profesionales de P.I. y funcionarios de oficinas de P.I. que han recibido formación y utilizan en su trabajo las nuevas aptitudes adquiridas.</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10</w:t>
            </w:r>
          </w:p>
        </w:tc>
      </w:tr>
      <w:tr w:rsidR="00236E18" w:rsidRPr="00290055" w:rsidTr="00294272">
        <w:trPr>
          <w:cantSplit/>
          <w:trHeight w:val="800"/>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Porcentaje de participantes en actividades de formación y supervisores satisfechos con los programas de formación desarrollados a partir de ejercicios de evaluación de las necesidades de formación.</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11</w:t>
            </w:r>
          </w:p>
        </w:tc>
      </w:tr>
      <w:tr w:rsidR="00236E18" w:rsidRPr="00290055" w:rsidTr="00294272">
        <w:trPr>
          <w:cantSplit/>
          <w:trHeight w:val="453"/>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Porcentaje de participantes que utilizan sus conocimientos y competencias reforzados en varios ámbitos de la P.I.</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11</w:t>
            </w:r>
          </w:p>
        </w:tc>
      </w:tr>
      <w:tr w:rsidR="00236E18" w:rsidRPr="00290055" w:rsidTr="00294272">
        <w:trPr>
          <w:cantSplit/>
          <w:trHeight w:val="800"/>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Default="00236E18" w:rsidP="00294272">
            <w:pPr>
              <w:rPr>
                <w:sz w:val="16"/>
                <w:szCs w:val="16"/>
              </w:rPr>
            </w:pPr>
            <w:r w:rsidRPr="00290055">
              <w:rPr>
                <w:sz w:val="16"/>
                <w:szCs w:val="16"/>
              </w:rPr>
              <w:t>N</w:t>
            </w:r>
            <w:r>
              <w:rPr>
                <w:sz w:val="16"/>
                <w:szCs w:val="16"/>
              </w:rPr>
              <w:t>º</w:t>
            </w:r>
            <w:r w:rsidRPr="00290055">
              <w:rPr>
                <w:sz w:val="16"/>
                <w:szCs w:val="16"/>
              </w:rPr>
              <w:t xml:space="preserve"> de acuerdos y alianzas de cooperación establecidos conforme a la nueva visión de la Academia.</w:t>
            </w:r>
            <w:r>
              <w:rPr>
                <w:sz w:val="16"/>
                <w:szCs w:val="16"/>
              </w:rPr>
              <w:t xml:space="preserve"> </w:t>
            </w:r>
          </w:p>
          <w:p w:rsidR="00236E18" w:rsidRDefault="00236E18" w:rsidP="00294272">
            <w:pPr>
              <w:rPr>
                <w:sz w:val="16"/>
                <w:szCs w:val="16"/>
              </w:rPr>
            </w:pPr>
          </w:p>
          <w:p w:rsidR="00236E18" w:rsidRPr="00B5570F" w:rsidRDefault="00236E18" w:rsidP="00294272">
            <w:pPr>
              <w:rPr>
                <w:rFonts w:eastAsia="Times New Roman"/>
                <w:sz w:val="16"/>
                <w:szCs w:val="16"/>
              </w:rPr>
            </w:pPr>
            <w:r>
              <w:rPr>
                <w:rFonts w:eastAsia="Times New Roman"/>
                <w:sz w:val="16"/>
                <w:szCs w:val="16"/>
              </w:rPr>
              <w:t>Porcentaje</w:t>
            </w:r>
            <w:r w:rsidRPr="00B5570F">
              <w:rPr>
                <w:rFonts w:eastAsia="Times New Roman"/>
                <w:sz w:val="16"/>
                <w:szCs w:val="16"/>
              </w:rPr>
              <w:t xml:space="preserve"> de aumento del número de participantes que siguen los cursos de enseñanza a distancia (DL) de la Academia</w:t>
            </w:r>
          </w:p>
          <w:p w:rsidR="00236E18" w:rsidRPr="00B5570F" w:rsidRDefault="00236E18" w:rsidP="00294272">
            <w:pPr>
              <w:spacing w:line="360" w:lineRule="auto"/>
              <w:rPr>
                <w:rFonts w:eastAsia="Times New Roman"/>
                <w:sz w:val="16"/>
                <w:szCs w:val="16"/>
              </w:rPr>
            </w:pPr>
          </w:p>
          <w:p w:rsidR="00236E18" w:rsidRPr="00290055" w:rsidRDefault="00236E18" w:rsidP="00294272">
            <w:pPr>
              <w:rPr>
                <w:sz w:val="16"/>
                <w:szCs w:val="16"/>
              </w:rPr>
            </w:pPr>
            <w:r w:rsidRPr="00B5570F">
              <w:rPr>
                <w:rFonts w:eastAsia="Times New Roman"/>
                <w:sz w:val="16"/>
                <w:szCs w:val="16"/>
              </w:rPr>
              <w:t>Número de cursos de enseñanza a distancia que han sido analizados y actualizados</w:t>
            </w:r>
          </w:p>
        </w:tc>
        <w:tc>
          <w:tcPr>
            <w:tcW w:w="1524" w:type="pct"/>
            <w:shd w:val="clear" w:color="auto" w:fill="FFFFFF"/>
            <w:tcMar>
              <w:top w:w="85" w:type="dxa"/>
              <w:bottom w:w="28" w:type="dxa"/>
            </w:tcMar>
          </w:tcPr>
          <w:p w:rsidR="00236E18" w:rsidRDefault="00236E18" w:rsidP="00294272">
            <w:pPr>
              <w:ind w:left="551"/>
              <w:rPr>
                <w:sz w:val="16"/>
                <w:szCs w:val="16"/>
                <w:lang w:bidi="th-TH"/>
              </w:rPr>
            </w:pPr>
            <w:r w:rsidRPr="00290055">
              <w:rPr>
                <w:sz w:val="16"/>
                <w:szCs w:val="16"/>
                <w:lang w:bidi="th-TH"/>
              </w:rPr>
              <w:t>Programa 11</w:t>
            </w:r>
          </w:p>
          <w:p w:rsidR="00236E18" w:rsidRDefault="00236E18" w:rsidP="00294272">
            <w:pPr>
              <w:ind w:left="551"/>
              <w:rPr>
                <w:sz w:val="16"/>
                <w:szCs w:val="16"/>
                <w:lang w:bidi="th-TH"/>
              </w:rPr>
            </w:pPr>
          </w:p>
          <w:p w:rsidR="00236E18" w:rsidRDefault="00236E18" w:rsidP="00294272">
            <w:pPr>
              <w:ind w:left="551"/>
              <w:rPr>
                <w:sz w:val="16"/>
                <w:szCs w:val="16"/>
                <w:lang w:bidi="th-TH"/>
              </w:rPr>
            </w:pPr>
          </w:p>
          <w:p w:rsidR="00236E18" w:rsidRDefault="00236E18" w:rsidP="00294272">
            <w:pPr>
              <w:ind w:left="551"/>
              <w:rPr>
                <w:sz w:val="16"/>
                <w:szCs w:val="16"/>
                <w:lang w:bidi="th-TH"/>
              </w:rPr>
            </w:pPr>
          </w:p>
          <w:p w:rsidR="00236E18" w:rsidRDefault="00236E18" w:rsidP="00294272">
            <w:pPr>
              <w:ind w:left="551"/>
              <w:rPr>
                <w:sz w:val="16"/>
                <w:szCs w:val="16"/>
                <w:lang w:bidi="th-TH"/>
              </w:rPr>
            </w:pPr>
            <w:r>
              <w:rPr>
                <w:sz w:val="16"/>
                <w:szCs w:val="16"/>
                <w:lang w:bidi="th-TH"/>
              </w:rPr>
              <w:t>Programa 11</w:t>
            </w:r>
          </w:p>
          <w:p w:rsidR="00236E18" w:rsidRDefault="00236E18" w:rsidP="00294272">
            <w:pPr>
              <w:ind w:left="551"/>
              <w:rPr>
                <w:sz w:val="16"/>
                <w:szCs w:val="16"/>
                <w:lang w:bidi="th-TH"/>
              </w:rPr>
            </w:pPr>
          </w:p>
          <w:p w:rsidR="00236E18" w:rsidRDefault="00236E18" w:rsidP="00294272">
            <w:pPr>
              <w:ind w:left="551"/>
              <w:rPr>
                <w:sz w:val="16"/>
                <w:szCs w:val="16"/>
                <w:lang w:bidi="th-TH"/>
              </w:rPr>
            </w:pPr>
          </w:p>
          <w:p w:rsidR="00236E18" w:rsidRDefault="00236E18" w:rsidP="00294272">
            <w:pPr>
              <w:ind w:left="551"/>
              <w:rPr>
                <w:sz w:val="16"/>
                <w:szCs w:val="16"/>
                <w:lang w:bidi="th-TH"/>
              </w:rPr>
            </w:pPr>
          </w:p>
          <w:p w:rsidR="00236E18" w:rsidRDefault="00236E18" w:rsidP="00294272">
            <w:pPr>
              <w:ind w:left="551"/>
              <w:rPr>
                <w:sz w:val="16"/>
                <w:szCs w:val="16"/>
                <w:lang w:bidi="th-TH"/>
              </w:rPr>
            </w:pPr>
          </w:p>
          <w:p w:rsidR="00236E18" w:rsidRDefault="00236E18" w:rsidP="00294272">
            <w:pPr>
              <w:ind w:left="551"/>
              <w:rPr>
                <w:sz w:val="16"/>
                <w:szCs w:val="16"/>
                <w:lang w:bidi="th-TH"/>
              </w:rPr>
            </w:pPr>
          </w:p>
          <w:p w:rsidR="00236E18" w:rsidRPr="00290055" w:rsidRDefault="00236E18" w:rsidP="00294272">
            <w:pPr>
              <w:ind w:left="551"/>
              <w:rPr>
                <w:sz w:val="16"/>
                <w:szCs w:val="16"/>
                <w:lang w:bidi="th-TH"/>
              </w:rPr>
            </w:pPr>
            <w:r>
              <w:rPr>
                <w:sz w:val="16"/>
                <w:szCs w:val="16"/>
                <w:lang w:bidi="th-TH"/>
              </w:rPr>
              <w:t>Programa 11</w:t>
            </w:r>
          </w:p>
        </w:tc>
      </w:tr>
      <w:tr w:rsidR="00236E18" w:rsidRPr="00290055" w:rsidTr="00294272">
        <w:trPr>
          <w:cantSplit/>
          <w:trHeight w:val="588"/>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N</w:t>
            </w:r>
            <w:r>
              <w:rPr>
                <w:sz w:val="16"/>
                <w:szCs w:val="16"/>
              </w:rPr>
              <w:t>º</w:t>
            </w:r>
            <w:r w:rsidRPr="00290055">
              <w:rPr>
                <w:sz w:val="16"/>
                <w:szCs w:val="16"/>
              </w:rPr>
              <w:t xml:space="preserve"> de nuevas academias nacionales creadas en el marco del proyecto que han pasado a ser sostenibles</w:t>
            </w:r>
            <w:r>
              <w:rPr>
                <w:rStyle w:val="FootnoteReference"/>
                <w:sz w:val="16"/>
                <w:szCs w:val="16"/>
              </w:rPr>
              <w:footnoteReference w:id="18"/>
            </w:r>
            <w:r w:rsidRPr="00290055">
              <w:rPr>
                <w:sz w:val="16"/>
                <w:szCs w:val="16"/>
              </w:rPr>
              <w:t>.</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11</w:t>
            </w:r>
          </w:p>
        </w:tc>
      </w:tr>
      <w:tr w:rsidR="00236E18" w:rsidRPr="00290055" w:rsidTr="00294272">
        <w:trPr>
          <w:cantSplit/>
          <w:trHeight w:val="588"/>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Nuevos cursos y programas de P.I. mejorados en las instituciones de enseñanza.</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11</w:t>
            </w:r>
          </w:p>
        </w:tc>
      </w:tr>
      <w:tr w:rsidR="00236E18" w:rsidRPr="00290055" w:rsidTr="00294272">
        <w:trPr>
          <w:cantSplit/>
          <w:trHeight w:val="551"/>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Mejor equilibrio en la distribución geográfica de los cursos de verano.</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11</w:t>
            </w:r>
          </w:p>
        </w:tc>
      </w:tr>
      <w:tr w:rsidR="00236E18" w:rsidRPr="00290055" w:rsidTr="00294272">
        <w:trPr>
          <w:cantSplit/>
          <w:trHeight w:val="726"/>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Porcentaje de participantes que han recibido formación que expresan satisfacción con la utilidad y pertinencia de la formación impartida para el ejercicio de sus funciones profesionales.</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17</w:t>
            </w:r>
          </w:p>
        </w:tc>
      </w:tr>
      <w:tr w:rsidR="00236E18" w:rsidRPr="00290055" w:rsidTr="00294272">
        <w:trPr>
          <w:cantSplit/>
          <w:trHeight w:val="492"/>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N</w:t>
            </w:r>
            <w:r>
              <w:rPr>
                <w:sz w:val="16"/>
                <w:szCs w:val="16"/>
              </w:rPr>
              <w:t>º</w:t>
            </w:r>
            <w:r w:rsidRPr="00290055">
              <w:rPr>
                <w:sz w:val="16"/>
                <w:szCs w:val="16"/>
              </w:rPr>
              <w:t xml:space="preserve"> de acuerdos de acogida de científicos de países en desarrollo.</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18</w:t>
            </w:r>
          </w:p>
        </w:tc>
      </w:tr>
      <w:tr w:rsidR="00236E18" w:rsidRPr="00290055" w:rsidTr="00294272">
        <w:trPr>
          <w:cantSplit/>
          <w:trHeight w:val="492"/>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Porcentaje de participantes del módulo de enseñanza a distancia sobre la P.I. y la salud que afirman utilizar la P.I. en pro del desarrollo mediante la transferencia de conocimientos y la creación de capacidades.</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18</w:t>
            </w:r>
          </w:p>
        </w:tc>
      </w:tr>
      <w:tr w:rsidR="00236E18" w:rsidRPr="00290055" w:rsidTr="00294272">
        <w:trPr>
          <w:cantSplit/>
          <w:trHeight w:val="800"/>
        </w:trPr>
        <w:tc>
          <w:tcPr>
            <w:tcW w:w="1768" w:type="pct"/>
            <w:shd w:val="clear" w:color="auto" w:fill="auto"/>
            <w:tcMar>
              <w:top w:w="85" w:type="dxa"/>
              <w:bottom w:w="28" w:type="dxa"/>
            </w:tcMar>
          </w:tcPr>
          <w:p w:rsidR="00236E18" w:rsidRPr="00290055"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p>
          <w:p w:rsidR="00236E18" w:rsidRPr="00290055" w:rsidRDefault="00236E18" w:rsidP="00294272">
            <w:pPr>
              <w:rPr>
                <w:sz w:val="16"/>
                <w:szCs w:val="16"/>
              </w:rPr>
            </w:pPr>
            <w:r w:rsidRPr="00290055">
              <w:rPr>
                <w:sz w:val="16"/>
                <w:szCs w:val="16"/>
              </w:rPr>
              <w:t>Porcentaje de encargados de la adopción de políticas, funcionarios gubernamentales, profesionales de la P.I. y otros grupos destinatarios, incluidas las universidades, organismos de gestión colectiva y periodistas con un mayor conocimiento de las políticas de P.I. y sobre cómo utilizar con eficacia la P.I. en pro del desarrollo.</w:t>
            </w:r>
          </w:p>
          <w:p w:rsidR="00236E18" w:rsidRPr="00290055" w:rsidRDefault="00236E18" w:rsidP="00294272">
            <w:pPr>
              <w:rPr>
                <w:sz w:val="16"/>
                <w:szCs w:val="16"/>
              </w:rPr>
            </w:pPr>
          </w:p>
          <w:p w:rsidR="00236E18" w:rsidRPr="00290055" w:rsidRDefault="00236E18" w:rsidP="00294272">
            <w:pPr>
              <w:rPr>
                <w:sz w:val="16"/>
                <w:szCs w:val="16"/>
              </w:rPr>
            </w:pPr>
            <w:r w:rsidRPr="00290055">
              <w:rPr>
                <w:sz w:val="16"/>
                <w:szCs w:val="16"/>
              </w:rPr>
              <w:t>Porcentaje de profesionales de la P.I. formados que utilizan en su trabajo las nuevas aptitudes adquiridas</w:t>
            </w:r>
          </w:p>
          <w:p w:rsidR="00236E18" w:rsidRPr="00290055" w:rsidRDefault="00236E18" w:rsidP="00294272">
            <w:pPr>
              <w:rPr>
                <w:sz w:val="16"/>
                <w:szCs w:val="16"/>
              </w:rPr>
            </w:pP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Pr>
                <w:sz w:val="16"/>
                <w:szCs w:val="16"/>
                <w:lang w:bidi="th-TH"/>
              </w:rPr>
              <w:br/>
            </w:r>
            <w:r w:rsidRPr="00290055">
              <w:rPr>
                <w:sz w:val="16"/>
                <w:szCs w:val="16"/>
                <w:lang w:bidi="th-TH"/>
              </w:rPr>
              <w:t>Programa 20</w:t>
            </w:r>
          </w:p>
          <w:p w:rsidR="00236E18" w:rsidRPr="00290055" w:rsidRDefault="00236E18" w:rsidP="00294272">
            <w:pPr>
              <w:ind w:left="551"/>
              <w:rPr>
                <w:sz w:val="16"/>
                <w:szCs w:val="16"/>
                <w:lang w:bidi="th-TH"/>
              </w:rPr>
            </w:pPr>
          </w:p>
          <w:p w:rsidR="00236E18" w:rsidRPr="00290055" w:rsidRDefault="00236E18" w:rsidP="00294272">
            <w:pPr>
              <w:ind w:left="551"/>
              <w:rPr>
                <w:sz w:val="16"/>
                <w:szCs w:val="16"/>
                <w:lang w:bidi="th-TH"/>
              </w:rPr>
            </w:pPr>
          </w:p>
          <w:p w:rsidR="00236E18" w:rsidRPr="00290055" w:rsidRDefault="00236E18" w:rsidP="00294272">
            <w:pPr>
              <w:ind w:left="551"/>
              <w:rPr>
                <w:sz w:val="16"/>
                <w:szCs w:val="16"/>
                <w:lang w:bidi="th-TH"/>
              </w:rPr>
            </w:pPr>
          </w:p>
          <w:p w:rsidR="00236E18" w:rsidRDefault="00236E18" w:rsidP="00294272">
            <w:pPr>
              <w:ind w:left="551"/>
              <w:rPr>
                <w:sz w:val="16"/>
                <w:szCs w:val="16"/>
                <w:lang w:bidi="th-TH"/>
              </w:rPr>
            </w:pPr>
          </w:p>
          <w:p w:rsidR="00236E18" w:rsidRDefault="00236E18" w:rsidP="00294272">
            <w:pPr>
              <w:ind w:left="551"/>
              <w:rPr>
                <w:sz w:val="16"/>
                <w:szCs w:val="16"/>
                <w:lang w:bidi="th-TH"/>
              </w:rPr>
            </w:pPr>
          </w:p>
          <w:p w:rsidR="00236E18" w:rsidRDefault="00236E18" w:rsidP="00294272">
            <w:pPr>
              <w:ind w:left="551"/>
              <w:rPr>
                <w:sz w:val="16"/>
                <w:szCs w:val="16"/>
                <w:lang w:bidi="th-TH"/>
              </w:rPr>
            </w:pPr>
          </w:p>
          <w:p w:rsidR="00236E18" w:rsidRDefault="00236E18" w:rsidP="00294272">
            <w:pPr>
              <w:ind w:left="551"/>
              <w:rPr>
                <w:sz w:val="16"/>
                <w:szCs w:val="16"/>
                <w:lang w:bidi="th-TH"/>
              </w:rPr>
            </w:pPr>
          </w:p>
          <w:p w:rsidR="00236E18" w:rsidRPr="00290055" w:rsidRDefault="00236E18" w:rsidP="00294272">
            <w:pPr>
              <w:ind w:left="551"/>
              <w:rPr>
                <w:sz w:val="16"/>
                <w:szCs w:val="16"/>
                <w:lang w:bidi="th-TH"/>
              </w:rPr>
            </w:pPr>
          </w:p>
          <w:p w:rsidR="00236E18" w:rsidRPr="00290055" w:rsidRDefault="00236E18" w:rsidP="00294272">
            <w:pPr>
              <w:ind w:left="551"/>
              <w:rPr>
                <w:sz w:val="16"/>
                <w:szCs w:val="16"/>
                <w:lang w:bidi="th-TH"/>
              </w:rPr>
            </w:pPr>
          </w:p>
          <w:p w:rsidR="00236E18" w:rsidRPr="00290055" w:rsidRDefault="00236E18" w:rsidP="00294272">
            <w:pPr>
              <w:ind w:left="551"/>
              <w:rPr>
                <w:sz w:val="16"/>
                <w:szCs w:val="16"/>
                <w:lang w:bidi="th-TH"/>
              </w:rPr>
            </w:pPr>
            <w:r w:rsidRPr="00290055">
              <w:rPr>
                <w:sz w:val="16"/>
                <w:szCs w:val="16"/>
                <w:lang w:bidi="th-TH"/>
              </w:rPr>
              <w:t>Programa 30</w:t>
            </w:r>
          </w:p>
        </w:tc>
      </w:tr>
      <w:tr w:rsidR="00236E18" w:rsidRPr="00290055" w:rsidTr="00294272">
        <w:trPr>
          <w:cantSplit/>
          <w:trHeight w:val="544"/>
        </w:trPr>
        <w:tc>
          <w:tcPr>
            <w:tcW w:w="1768" w:type="pct"/>
            <w:shd w:val="clear" w:color="auto" w:fill="auto"/>
            <w:tcMar>
              <w:top w:w="85" w:type="dxa"/>
              <w:bottom w:w="28" w:type="dxa"/>
            </w:tcMar>
          </w:tcPr>
          <w:p w:rsidR="00236E18" w:rsidRPr="00713077" w:rsidRDefault="00236E18" w:rsidP="00294272">
            <w:pPr>
              <w:rPr>
                <w:sz w:val="16"/>
                <w:szCs w:val="16"/>
              </w:rPr>
            </w:pPr>
            <w:r w:rsidRPr="00713077">
              <w:rPr>
                <w:sz w:val="16"/>
                <w:szCs w:val="16"/>
              </w:rPr>
              <w:t xml:space="preserve">III.3  </w:t>
            </w:r>
            <w:r w:rsidRPr="00713077">
              <w:rPr>
                <w:sz w:val="16"/>
                <w:szCs w:val="16"/>
                <w:lang w:val="es-ES_tradnl"/>
              </w:rPr>
              <w:t>Incorporación de las recomendaciones de la Agenda para el Desarrollo en la labor de la OMPI</w:t>
            </w: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 xml:space="preserve">Principios de desarrollo incluidos en las recomendaciones de la A.D. integrados en la labor de los programas de la OMPI. </w:t>
            </w:r>
          </w:p>
          <w:p w:rsidR="00236E18" w:rsidRPr="00290055" w:rsidRDefault="00236E18" w:rsidP="00294272">
            <w:pPr>
              <w:rPr>
                <w:sz w:val="16"/>
                <w:szCs w:val="16"/>
              </w:rPr>
            </w:pPr>
          </w:p>
          <w:p w:rsidR="00236E18" w:rsidRPr="00290055" w:rsidRDefault="00236E18" w:rsidP="00294272">
            <w:pPr>
              <w:rPr>
                <w:sz w:val="16"/>
                <w:szCs w:val="16"/>
              </w:rPr>
            </w:pPr>
            <w:r w:rsidRPr="00290055">
              <w:rPr>
                <w:sz w:val="16"/>
                <w:szCs w:val="16"/>
              </w:rPr>
              <w:t>Seguimiento de la aplicación de las recomendaciones del examen independiente de la A.D.</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8</w:t>
            </w:r>
          </w:p>
          <w:p w:rsidR="00236E18" w:rsidRPr="00290055" w:rsidRDefault="00236E18" w:rsidP="00294272">
            <w:pPr>
              <w:ind w:left="551"/>
              <w:rPr>
                <w:sz w:val="16"/>
                <w:szCs w:val="16"/>
                <w:lang w:bidi="th-TH"/>
              </w:rPr>
            </w:pPr>
          </w:p>
          <w:p w:rsidR="00236E18" w:rsidRPr="00290055" w:rsidRDefault="00236E18" w:rsidP="00294272">
            <w:pPr>
              <w:ind w:left="551"/>
              <w:rPr>
                <w:sz w:val="16"/>
                <w:szCs w:val="16"/>
                <w:lang w:bidi="th-TH"/>
              </w:rPr>
            </w:pPr>
          </w:p>
          <w:p w:rsidR="00236E18" w:rsidRPr="00290055" w:rsidRDefault="00236E18" w:rsidP="00294272">
            <w:pPr>
              <w:ind w:left="551"/>
              <w:rPr>
                <w:sz w:val="16"/>
                <w:szCs w:val="16"/>
                <w:lang w:bidi="th-TH"/>
              </w:rPr>
            </w:pPr>
          </w:p>
          <w:p w:rsidR="00236E18" w:rsidRPr="00290055" w:rsidRDefault="00236E18" w:rsidP="00294272">
            <w:pPr>
              <w:ind w:left="551"/>
              <w:rPr>
                <w:sz w:val="16"/>
                <w:szCs w:val="16"/>
                <w:lang w:bidi="th-TH"/>
              </w:rPr>
            </w:pPr>
            <w:r w:rsidRPr="00290055">
              <w:rPr>
                <w:sz w:val="16"/>
                <w:szCs w:val="16"/>
                <w:lang w:bidi="th-TH"/>
              </w:rPr>
              <w:t>Programa 8</w:t>
            </w:r>
          </w:p>
          <w:p w:rsidR="00236E18" w:rsidRPr="00290055" w:rsidRDefault="00236E18" w:rsidP="00294272">
            <w:pPr>
              <w:ind w:left="551"/>
              <w:rPr>
                <w:sz w:val="16"/>
                <w:szCs w:val="16"/>
                <w:lang w:bidi="th-TH"/>
              </w:rPr>
            </w:pPr>
          </w:p>
        </w:tc>
      </w:tr>
      <w:tr w:rsidR="00236E18" w:rsidRPr="00290055" w:rsidTr="00294272">
        <w:trPr>
          <w:cantSplit/>
          <w:trHeight w:val="547"/>
        </w:trPr>
        <w:tc>
          <w:tcPr>
            <w:tcW w:w="1768" w:type="pct"/>
            <w:shd w:val="clear" w:color="auto" w:fill="auto"/>
            <w:tcMar>
              <w:top w:w="85" w:type="dxa"/>
              <w:bottom w:w="28" w:type="dxa"/>
            </w:tcMar>
          </w:tcPr>
          <w:p w:rsidR="00236E18" w:rsidRPr="00713077"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Mecanismo mejorado para el desarrollo, la aplicación, supervisión, evaluación y presentación de informes sobre los nuevos proyectos y actividades de la A.D.</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8</w:t>
            </w:r>
          </w:p>
        </w:tc>
      </w:tr>
      <w:tr w:rsidR="00236E18" w:rsidRPr="00290055" w:rsidTr="00294272">
        <w:trPr>
          <w:cantSplit/>
          <w:trHeight w:val="708"/>
        </w:trPr>
        <w:tc>
          <w:tcPr>
            <w:tcW w:w="1768" w:type="pct"/>
            <w:shd w:val="clear" w:color="auto" w:fill="auto"/>
            <w:tcMar>
              <w:top w:w="85" w:type="dxa"/>
              <w:bottom w:w="28" w:type="dxa"/>
            </w:tcMar>
          </w:tcPr>
          <w:p w:rsidR="00236E18" w:rsidRPr="00713077" w:rsidRDefault="00236E18" w:rsidP="00294272">
            <w:pPr>
              <w:tabs>
                <w:tab w:val="right" w:pos="2835"/>
              </w:tabs>
              <w:spacing w:after="60"/>
              <w:rPr>
                <w:sz w:val="15"/>
                <w:szCs w:val="15"/>
              </w:rPr>
            </w:pPr>
            <w:r w:rsidRPr="00713077">
              <w:rPr>
                <w:sz w:val="16"/>
                <w:szCs w:val="16"/>
              </w:rPr>
              <w:t xml:space="preserve">III.4  </w:t>
            </w:r>
            <w:r w:rsidRPr="00713077">
              <w:rPr>
                <w:sz w:val="16"/>
                <w:szCs w:val="16"/>
                <w:lang w:val="es-ES_tradnl"/>
              </w:rPr>
              <w:t>Fortalecimiento de los mecanismos y de los programas de cooperación conforme a las necesidades de los países en desarrollo</w:t>
            </w:r>
            <w:r>
              <w:rPr>
                <w:sz w:val="16"/>
                <w:szCs w:val="16"/>
                <w:lang w:val="es-ES_tradnl"/>
              </w:rPr>
              <w:t>,</w:t>
            </w:r>
            <w:r w:rsidRPr="00713077">
              <w:rPr>
                <w:sz w:val="16"/>
                <w:szCs w:val="16"/>
                <w:lang w:val="es-ES_tradnl"/>
              </w:rPr>
              <w:t xml:space="preserve"> los PMA</w:t>
            </w:r>
            <w:r>
              <w:rPr>
                <w:sz w:val="16"/>
                <w:szCs w:val="16"/>
                <w:lang w:val="es-ES_tradnl"/>
              </w:rPr>
              <w:t xml:space="preserve"> y los países con economías en transición</w:t>
            </w:r>
          </w:p>
          <w:p w:rsidR="00236E18" w:rsidRPr="00713077"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N</w:t>
            </w:r>
            <w:r>
              <w:rPr>
                <w:sz w:val="16"/>
                <w:szCs w:val="16"/>
              </w:rPr>
              <w:t>º</w:t>
            </w:r>
            <w:r w:rsidRPr="00290055">
              <w:rPr>
                <w:sz w:val="16"/>
                <w:szCs w:val="16"/>
              </w:rPr>
              <w:t xml:space="preserve"> de acuerdos, proyectos, programas y alianzas de cooperación nacionales, subregionales y regionales</w:t>
            </w:r>
            <w:r>
              <w:rPr>
                <w:sz w:val="16"/>
                <w:szCs w:val="16"/>
              </w:rPr>
              <w:t xml:space="preserve"> </w:t>
            </w:r>
            <w:r w:rsidRPr="00290055">
              <w:rPr>
                <w:sz w:val="16"/>
                <w:szCs w:val="16"/>
              </w:rPr>
              <w:t>/</w:t>
            </w:r>
            <w:r>
              <w:rPr>
                <w:sz w:val="16"/>
                <w:szCs w:val="16"/>
              </w:rPr>
              <w:t xml:space="preserve"> </w:t>
            </w:r>
            <w:r w:rsidRPr="00290055">
              <w:rPr>
                <w:sz w:val="16"/>
                <w:szCs w:val="16"/>
              </w:rPr>
              <w:t>interregionales para fomentar el uso eficaz de los sistemas de P.I. mediante el intercambio de las mejores prácticas.</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9</w:t>
            </w:r>
          </w:p>
        </w:tc>
      </w:tr>
      <w:tr w:rsidR="00236E18" w:rsidRPr="00290055" w:rsidTr="00294272">
        <w:trPr>
          <w:cantSplit/>
          <w:trHeight w:val="310"/>
        </w:trPr>
        <w:tc>
          <w:tcPr>
            <w:tcW w:w="1768" w:type="pct"/>
            <w:shd w:val="clear" w:color="auto" w:fill="auto"/>
            <w:tcMar>
              <w:top w:w="85" w:type="dxa"/>
              <w:bottom w:w="28" w:type="dxa"/>
            </w:tcMar>
          </w:tcPr>
          <w:p w:rsidR="00236E18" w:rsidRPr="00713077"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N</w:t>
            </w:r>
            <w:r>
              <w:rPr>
                <w:sz w:val="16"/>
                <w:szCs w:val="16"/>
              </w:rPr>
              <w:t>º</w:t>
            </w:r>
            <w:r w:rsidRPr="00290055">
              <w:rPr>
                <w:sz w:val="16"/>
                <w:szCs w:val="16"/>
              </w:rPr>
              <w:t xml:space="preserve"> de alianzas establecidas.</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10</w:t>
            </w:r>
          </w:p>
        </w:tc>
      </w:tr>
      <w:tr w:rsidR="00236E18" w:rsidRPr="00290055" w:rsidTr="00294272">
        <w:trPr>
          <w:cantSplit/>
          <w:trHeight w:val="652"/>
        </w:trPr>
        <w:tc>
          <w:tcPr>
            <w:tcW w:w="1768" w:type="pct"/>
            <w:shd w:val="clear" w:color="auto" w:fill="auto"/>
            <w:tcMar>
              <w:top w:w="85" w:type="dxa"/>
              <w:bottom w:w="28" w:type="dxa"/>
            </w:tcMar>
          </w:tcPr>
          <w:p w:rsidR="00236E18" w:rsidRPr="00713077" w:rsidRDefault="00236E18" w:rsidP="00294272">
            <w:pPr>
              <w:rPr>
                <w:sz w:val="16"/>
                <w:szCs w:val="16"/>
              </w:rPr>
            </w:pPr>
            <w:r w:rsidRPr="00713077">
              <w:rPr>
                <w:sz w:val="16"/>
                <w:szCs w:val="16"/>
              </w:rPr>
              <w:t xml:space="preserve">III.5  </w:t>
            </w:r>
            <w:r w:rsidRPr="00713077">
              <w:rPr>
                <w:sz w:val="16"/>
                <w:szCs w:val="16"/>
                <w:lang w:val="es-ES_tradnl"/>
              </w:rPr>
              <w:t>Mejor comprensión de la Agenda para el Desarrollo por los Estados miembros, las OIG, la sociedad civil y demás partes interesadas</w:t>
            </w: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Las actividades de asistencia técnica llevadas a cabo por la OMPI reflejan la dimensión de la A.D. y los resultados de los proyectos de la A.D.</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8</w:t>
            </w:r>
          </w:p>
        </w:tc>
      </w:tr>
      <w:tr w:rsidR="00236E18" w:rsidRPr="00290055" w:rsidTr="00294272">
        <w:trPr>
          <w:cantSplit/>
          <w:trHeight w:val="652"/>
        </w:trPr>
        <w:tc>
          <w:tcPr>
            <w:tcW w:w="1768" w:type="pct"/>
            <w:shd w:val="clear" w:color="auto" w:fill="auto"/>
            <w:tcMar>
              <w:top w:w="85" w:type="dxa"/>
              <w:bottom w:w="28" w:type="dxa"/>
            </w:tcMar>
          </w:tcPr>
          <w:p w:rsidR="00236E18" w:rsidRPr="00713077" w:rsidRDefault="00236E18" w:rsidP="00294272">
            <w:pPr>
              <w:rPr>
                <w:sz w:val="16"/>
                <w:szCs w:val="16"/>
              </w:rPr>
            </w:pPr>
          </w:p>
        </w:tc>
        <w:tc>
          <w:tcPr>
            <w:tcW w:w="1708" w:type="pct"/>
            <w:shd w:val="clear" w:color="auto" w:fill="auto"/>
            <w:tcMar>
              <w:top w:w="85" w:type="dxa"/>
              <w:bottom w:w="28" w:type="dxa"/>
            </w:tcMar>
          </w:tcPr>
          <w:p w:rsidR="00236E18" w:rsidRPr="00290055" w:rsidRDefault="00236E18" w:rsidP="00294272">
            <w:pPr>
              <w:rPr>
                <w:sz w:val="16"/>
                <w:szCs w:val="16"/>
              </w:rPr>
            </w:pPr>
            <w:r w:rsidRPr="00290055">
              <w:rPr>
                <w:sz w:val="16"/>
                <w:szCs w:val="16"/>
              </w:rPr>
              <w:t>Porcentaje de participantes satisfechos en actividades sobre la A.D. destinadas a los Estados miembros, la sociedad civil, las organizaciones intergubernamentales y los sectores interesados.</w:t>
            </w:r>
          </w:p>
        </w:tc>
        <w:tc>
          <w:tcPr>
            <w:tcW w:w="1524" w:type="pct"/>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8</w:t>
            </w:r>
          </w:p>
        </w:tc>
      </w:tr>
      <w:tr w:rsidR="00236E18" w:rsidRPr="00290055" w:rsidTr="00294272">
        <w:trPr>
          <w:cantSplit/>
          <w:trHeight w:val="652"/>
        </w:trPr>
        <w:tc>
          <w:tcPr>
            <w:tcW w:w="1768" w:type="pct"/>
            <w:shd w:val="clear" w:color="auto" w:fill="auto"/>
            <w:tcMar>
              <w:top w:w="85" w:type="dxa"/>
              <w:bottom w:w="28" w:type="dxa"/>
            </w:tcMar>
          </w:tcPr>
          <w:p w:rsidR="00236E18" w:rsidRPr="00713077" w:rsidRDefault="00236E18" w:rsidP="00294272">
            <w:pPr>
              <w:keepNext/>
              <w:keepLines/>
              <w:rPr>
                <w:sz w:val="16"/>
                <w:szCs w:val="16"/>
              </w:rPr>
            </w:pPr>
            <w:r w:rsidRPr="00713077">
              <w:rPr>
                <w:sz w:val="16"/>
                <w:szCs w:val="16"/>
              </w:rPr>
              <w:lastRenderedPageBreak/>
              <w:t xml:space="preserve">III.6  </w:t>
            </w:r>
            <w:r w:rsidRPr="00713077">
              <w:rPr>
                <w:sz w:val="16"/>
                <w:szCs w:val="16"/>
                <w:lang w:val="es-ES_tradnl"/>
              </w:rPr>
              <w:t>Mayor capacidad de las pymes para utilizar con éxito la P.I. con el fin de apoyar la innovación</w:t>
            </w:r>
          </w:p>
        </w:tc>
        <w:tc>
          <w:tcPr>
            <w:tcW w:w="1708" w:type="pct"/>
            <w:shd w:val="clear" w:color="auto" w:fill="auto"/>
            <w:tcMar>
              <w:top w:w="85" w:type="dxa"/>
              <w:bottom w:w="28" w:type="dxa"/>
            </w:tcMar>
          </w:tcPr>
          <w:p w:rsidR="00236E18" w:rsidRDefault="00236E18" w:rsidP="00294272">
            <w:pPr>
              <w:keepNext/>
              <w:keepLines/>
              <w:rPr>
                <w:sz w:val="16"/>
                <w:szCs w:val="16"/>
              </w:rPr>
            </w:pPr>
            <w:r>
              <w:rPr>
                <w:sz w:val="16"/>
                <w:szCs w:val="16"/>
              </w:rPr>
              <w:t>Número de suscripciones al Boletín sobre las pymes</w:t>
            </w:r>
          </w:p>
          <w:p w:rsidR="00236E18" w:rsidRDefault="00236E18" w:rsidP="00294272">
            <w:pPr>
              <w:keepNext/>
              <w:keepLines/>
              <w:rPr>
                <w:sz w:val="16"/>
                <w:szCs w:val="16"/>
              </w:rPr>
            </w:pPr>
          </w:p>
          <w:p w:rsidR="00236E18" w:rsidRPr="00B5570F" w:rsidRDefault="00236E18" w:rsidP="00294272">
            <w:pPr>
              <w:keepNext/>
              <w:keepLines/>
              <w:rPr>
                <w:sz w:val="16"/>
                <w:szCs w:val="16"/>
              </w:rPr>
            </w:pPr>
            <w:r w:rsidRPr="00B5570F">
              <w:rPr>
                <w:sz w:val="16"/>
                <w:szCs w:val="16"/>
              </w:rPr>
              <w:t>Número de consultas de material  de información y directrices en el ámbito de las pymes</w:t>
            </w:r>
          </w:p>
          <w:p w:rsidR="00236E18" w:rsidRPr="00B5570F" w:rsidRDefault="00236E18" w:rsidP="00294272">
            <w:pPr>
              <w:keepNext/>
              <w:keepLines/>
              <w:rPr>
                <w:sz w:val="16"/>
                <w:szCs w:val="16"/>
              </w:rPr>
            </w:pPr>
          </w:p>
          <w:p w:rsidR="00236E18" w:rsidRPr="00290055" w:rsidRDefault="00236E18" w:rsidP="00294272">
            <w:pPr>
              <w:keepNext/>
              <w:keepLines/>
              <w:rPr>
                <w:sz w:val="16"/>
                <w:szCs w:val="16"/>
              </w:rPr>
            </w:pPr>
            <w:r w:rsidRPr="00B5570F">
              <w:rPr>
                <w:sz w:val="16"/>
                <w:szCs w:val="16"/>
              </w:rPr>
              <w:t>Porcentaje de participantes en programas de formación destinados a instituciones de apoyo a las pymes que manifiestan satisfacción con el contenido y la organización de esos eventos</w:t>
            </w:r>
          </w:p>
        </w:tc>
        <w:tc>
          <w:tcPr>
            <w:tcW w:w="1524" w:type="pct"/>
            <w:shd w:val="clear" w:color="auto" w:fill="FFFFFF"/>
            <w:tcMar>
              <w:top w:w="85" w:type="dxa"/>
              <w:bottom w:w="28" w:type="dxa"/>
            </w:tcMar>
          </w:tcPr>
          <w:p w:rsidR="00236E18" w:rsidRDefault="00236E18" w:rsidP="00294272">
            <w:pPr>
              <w:ind w:left="569"/>
              <w:rPr>
                <w:sz w:val="16"/>
                <w:szCs w:val="16"/>
                <w:lang w:bidi="th-TH"/>
              </w:rPr>
            </w:pPr>
            <w:r w:rsidRPr="00290055">
              <w:rPr>
                <w:sz w:val="16"/>
                <w:szCs w:val="16"/>
                <w:lang w:bidi="th-TH"/>
              </w:rPr>
              <w:t>Programa 30</w:t>
            </w:r>
          </w:p>
          <w:p w:rsidR="00236E18" w:rsidRDefault="00236E18" w:rsidP="00294272">
            <w:pPr>
              <w:ind w:left="569"/>
              <w:rPr>
                <w:sz w:val="16"/>
                <w:szCs w:val="16"/>
                <w:lang w:bidi="th-TH"/>
              </w:rPr>
            </w:pPr>
          </w:p>
          <w:p w:rsidR="00236E18" w:rsidRDefault="00236E18" w:rsidP="00294272">
            <w:pPr>
              <w:ind w:left="569"/>
              <w:rPr>
                <w:sz w:val="16"/>
                <w:szCs w:val="16"/>
                <w:lang w:bidi="th-TH"/>
              </w:rPr>
            </w:pPr>
          </w:p>
          <w:p w:rsidR="00236E18" w:rsidRDefault="00236E18" w:rsidP="00294272">
            <w:pPr>
              <w:ind w:left="569"/>
              <w:rPr>
                <w:sz w:val="16"/>
                <w:szCs w:val="16"/>
                <w:lang w:bidi="th-TH"/>
              </w:rPr>
            </w:pPr>
            <w:r w:rsidRPr="00290055">
              <w:rPr>
                <w:sz w:val="16"/>
                <w:szCs w:val="16"/>
                <w:lang w:bidi="th-TH"/>
              </w:rPr>
              <w:t>Programa 30</w:t>
            </w:r>
          </w:p>
          <w:p w:rsidR="00236E18" w:rsidRDefault="00236E18" w:rsidP="00294272">
            <w:pPr>
              <w:ind w:left="569"/>
              <w:rPr>
                <w:sz w:val="16"/>
                <w:szCs w:val="16"/>
                <w:lang w:bidi="th-TH"/>
              </w:rPr>
            </w:pPr>
          </w:p>
          <w:p w:rsidR="00236E18" w:rsidRDefault="00236E18" w:rsidP="00294272">
            <w:pPr>
              <w:ind w:left="569"/>
              <w:rPr>
                <w:sz w:val="16"/>
                <w:szCs w:val="16"/>
                <w:lang w:bidi="th-TH"/>
              </w:rPr>
            </w:pPr>
          </w:p>
          <w:p w:rsidR="00236E18" w:rsidRDefault="00236E18" w:rsidP="00294272">
            <w:pPr>
              <w:ind w:left="569"/>
              <w:rPr>
                <w:sz w:val="16"/>
                <w:szCs w:val="16"/>
                <w:lang w:bidi="th-TH"/>
              </w:rPr>
            </w:pPr>
          </w:p>
          <w:p w:rsidR="00236E18" w:rsidRPr="00290055" w:rsidRDefault="00236E18" w:rsidP="00294272">
            <w:pPr>
              <w:ind w:left="569"/>
              <w:rPr>
                <w:sz w:val="16"/>
                <w:szCs w:val="16"/>
                <w:lang w:bidi="th-TH"/>
              </w:rPr>
            </w:pPr>
            <w:r w:rsidRPr="00290055">
              <w:rPr>
                <w:sz w:val="16"/>
                <w:szCs w:val="16"/>
                <w:lang w:bidi="th-TH"/>
              </w:rPr>
              <w:t>Programa 30</w:t>
            </w:r>
          </w:p>
        </w:tc>
      </w:tr>
      <w:tr w:rsidR="00236E18" w:rsidRPr="00290055" w:rsidTr="00294272">
        <w:trPr>
          <w:cantSplit/>
          <w:trHeight w:val="418"/>
        </w:trPr>
        <w:tc>
          <w:tcPr>
            <w:tcW w:w="1768" w:type="pct"/>
            <w:shd w:val="clear" w:color="auto" w:fill="auto"/>
            <w:tcMar>
              <w:top w:w="85" w:type="dxa"/>
              <w:bottom w:w="28" w:type="dxa"/>
            </w:tcMar>
          </w:tcPr>
          <w:p w:rsidR="00236E18" w:rsidRPr="00713077" w:rsidRDefault="00236E18" w:rsidP="00294272">
            <w:pPr>
              <w:keepNext/>
              <w:keepLines/>
              <w:rPr>
                <w:sz w:val="16"/>
                <w:szCs w:val="16"/>
              </w:rPr>
            </w:pPr>
          </w:p>
        </w:tc>
        <w:tc>
          <w:tcPr>
            <w:tcW w:w="1708" w:type="pct"/>
            <w:tcBorders>
              <w:bottom w:val="nil"/>
            </w:tcBorders>
            <w:shd w:val="clear" w:color="auto" w:fill="auto"/>
            <w:tcMar>
              <w:top w:w="85" w:type="dxa"/>
              <w:bottom w:w="28" w:type="dxa"/>
            </w:tcMar>
          </w:tcPr>
          <w:p w:rsidR="00236E18" w:rsidRDefault="00236E18" w:rsidP="00294272">
            <w:pPr>
              <w:keepNext/>
              <w:keepLines/>
              <w:rPr>
                <w:sz w:val="16"/>
                <w:szCs w:val="16"/>
              </w:rPr>
            </w:pPr>
            <w:r w:rsidRPr="00290055">
              <w:rPr>
                <w:sz w:val="16"/>
                <w:szCs w:val="16"/>
              </w:rPr>
              <w:t>Porcentaje de instituciones de apoyo a las pymes que, tras haber recibido formación, suministran información y prestan servicios de asesoramiento sobre gestión de activos de P.I.</w:t>
            </w:r>
          </w:p>
          <w:p w:rsidR="00236E18" w:rsidRDefault="00236E18" w:rsidP="00294272">
            <w:pPr>
              <w:keepNext/>
              <w:keepLines/>
              <w:rPr>
                <w:sz w:val="16"/>
                <w:szCs w:val="16"/>
              </w:rPr>
            </w:pPr>
          </w:p>
          <w:p w:rsidR="00236E18" w:rsidRPr="00290055" w:rsidRDefault="00236E18" w:rsidP="00294272">
            <w:pPr>
              <w:keepNext/>
              <w:keepLines/>
              <w:rPr>
                <w:sz w:val="16"/>
                <w:szCs w:val="16"/>
              </w:rPr>
            </w:pPr>
            <w:r>
              <w:rPr>
                <w:sz w:val="16"/>
                <w:szCs w:val="16"/>
              </w:rPr>
              <w:t xml:space="preserve">Porcentaje </w:t>
            </w:r>
            <w:r w:rsidRPr="00B5570F">
              <w:rPr>
                <w:sz w:val="16"/>
                <w:szCs w:val="16"/>
              </w:rPr>
              <w:t>de participantes en programas de formación destinados a las instituciones e apoyo a las pymes que han adquirido mayores conocimientos y perfeccionado habilidades para su trabajo</w:t>
            </w:r>
          </w:p>
        </w:tc>
        <w:tc>
          <w:tcPr>
            <w:tcW w:w="1524" w:type="pct"/>
            <w:tcBorders>
              <w:bottom w:val="nil"/>
            </w:tcBorders>
            <w:shd w:val="clear" w:color="auto" w:fill="FFFFFF"/>
            <w:tcMar>
              <w:top w:w="85" w:type="dxa"/>
              <w:bottom w:w="28" w:type="dxa"/>
            </w:tcMar>
          </w:tcPr>
          <w:p w:rsidR="00236E18" w:rsidRDefault="00236E18" w:rsidP="00294272">
            <w:pPr>
              <w:ind w:left="551"/>
              <w:rPr>
                <w:sz w:val="16"/>
                <w:szCs w:val="16"/>
                <w:lang w:bidi="th-TH"/>
              </w:rPr>
            </w:pPr>
            <w:r w:rsidRPr="00290055">
              <w:rPr>
                <w:sz w:val="16"/>
                <w:szCs w:val="16"/>
                <w:lang w:bidi="th-TH"/>
              </w:rPr>
              <w:t>Programa 30</w:t>
            </w:r>
          </w:p>
          <w:p w:rsidR="00236E18" w:rsidRDefault="00236E18" w:rsidP="00294272">
            <w:pPr>
              <w:ind w:left="551"/>
              <w:rPr>
                <w:sz w:val="16"/>
                <w:szCs w:val="16"/>
                <w:lang w:bidi="th-TH"/>
              </w:rPr>
            </w:pPr>
          </w:p>
          <w:p w:rsidR="00236E18" w:rsidRDefault="00236E18" w:rsidP="00294272">
            <w:pPr>
              <w:ind w:left="551"/>
              <w:rPr>
                <w:sz w:val="16"/>
                <w:szCs w:val="16"/>
                <w:lang w:bidi="th-TH"/>
              </w:rPr>
            </w:pPr>
          </w:p>
          <w:p w:rsidR="00236E18" w:rsidRDefault="00236E18" w:rsidP="00294272">
            <w:pPr>
              <w:ind w:left="551"/>
              <w:rPr>
                <w:sz w:val="16"/>
                <w:szCs w:val="16"/>
                <w:lang w:bidi="th-TH"/>
              </w:rPr>
            </w:pPr>
          </w:p>
          <w:p w:rsidR="00236E18" w:rsidRDefault="00236E18" w:rsidP="00294272">
            <w:pPr>
              <w:ind w:left="551"/>
              <w:rPr>
                <w:sz w:val="16"/>
                <w:szCs w:val="16"/>
                <w:lang w:bidi="th-TH"/>
              </w:rPr>
            </w:pPr>
          </w:p>
          <w:p w:rsidR="00236E18" w:rsidRDefault="00236E18" w:rsidP="00294272">
            <w:pPr>
              <w:ind w:left="551"/>
              <w:rPr>
                <w:sz w:val="16"/>
                <w:szCs w:val="16"/>
                <w:lang w:bidi="th-TH"/>
              </w:rPr>
            </w:pPr>
          </w:p>
          <w:p w:rsidR="00236E18" w:rsidRPr="00290055" w:rsidRDefault="00236E18" w:rsidP="00294272">
            <w:pPr>
              <w:ind w:left="551"/>
              <w:rPr>
                <w:sz w:val="16"/>
                <w:szCs w:val="16"/>
                <w:lang w:bidi="th-TH"/>
              </w:rPr>
            </w:pPr>
            <w:r w:rsidRPr="00290055">
              <w:rPr>
                <w:sz w:val="16"/>
                <w:szCs w:val="16"/>
                <w:lang w:bidi="th-TH"/>
              </w:rPr>
              <w:t>Programa 30</w:t>
            </w:r>
          </w:p>
        </w:tc>
      </w:tr>
      <w:tr w:rsidR="00236E18" w:rsidRPr="00290055" w:rsidTr="00294272">
        <w:trPr>
          <w:cantSplit/>
          <w:trHeight w:val="418"/>
        </w:trPr>
        <w:tc>
          <w:tcPr>
            <w:tcW w:w="1768" w:type="pct"/>
            <w:shd w:val="clear" w:color="auto" w:fill="auto"/>
            <w:tcMar>
              <w:top w:w="85" w:type="dxa"/>
              <w:bottom w:w="28" w:type="dxa"/>
            </w:tcMar>
          </w:tcPr>
          <w:p w:rsidR="00236E18" w:rsidRPr="00290055" w:rsidRDefault="00236E18" w:rsidP="00294272">
            <w:pPr>
              <w:keepNext/>
              <w:keepLines/>
              <w:rPr>
                <w:sz w:val="16"/>
                <w:szCs w:val="16"/>
              </w:rPr>
            </w:pPr>
          </w:p>
        </w:tc>
        <w:tc>
          <w:tcPr>
            <w:tcW w:w="1708" w:type="pct"/>
            <w:tcBorders>
              <w:top w:val="nil"/>
              <w:bottom w:val="single" w:sz="4" w:space="0" w:color="auto"/>
            </w:tcBorders>
            <w:shd w:val="clear" w:color="auto" w:fill="auto"/>
            <w:tcMar>
              <w:top w:w="85" w:type="dxa"/>
              <w:bottom w:w="28" w:type="dxa"/>
            </w:tcMar>
          </w:tcPr>
          <w:p w:rsidR="00236E18" w:rsidRPr="00290055" w:rsidRDefault="00236E18" w:rsidP="00294272">
            <w:pPr>
              <w:keepNext/>
              <w:keepLines/>
              <w:rPr>
                <w:sz w:val="16"/>
                <w:szCs w:val="16"/>
              </w:rPr>
            </w:pPr>
            <w:r w:rsidRPr="00290055">
              <w:rPr>
                <w:sz w:val="16"/>
                <w:szCs w:val="16"/>
              </w:rPr>
              <w:t>N</w:t>
            </w:r>
            <w:r>
              <w:rPr>
                <w:sz w:val="16"/>
                <w:szCs w:val="16"/>
              </w:rPr>
              <w:t>º</w:t>
            </w:r>
            <w:r w:rsidRPr="00290055">
              <w:rPr>
                <w:sz w:val="16"/>
                <w:szCs w:val="16"/>
              </w:rPr>
              <w:t xml:space="preserve"> de países que han establecido o mejorado los programas de formación en P.I. destinados a las pymes.</w:t>
            </w:r>
          </w:p>
          <w:p w:rsidR="00236E18" w:rsidRPr="00290055" w:rsidRDefault="00236E18" w:rsidP="00294272">
            <w:pPr>
              <w:keepNext/>
              <w:keepLines/>
              <w:rPr>
                <w:sz w:val="16"/>
                <w:szCs w:val="16"/>
              </w:rPr>
            </w:pPr>
          </w:p>
        </w:tc>
        <w:tc>
          <w:tcPr>
            <w:tcW w:w="1524" w:type="pct"/>
            <w:tcBorders>
              <w:top w:val="nil"/>
              <w:bottom w:val="single" w:sz="4" w:space="0" w:color="auto"/>
            </w:tcBorders>
            <w:shd w:val="clear" w:color="auto" w:fill="FFFFFF"/>
            <w:tcMar>
              <w:top w:w="85" w:type="dxa"/>
              <w:bottom w:w="28" w:type="dxa"/>
            </w:tcMar>
          </w:tcPr>
          <w:p w:rsidR="00236E18" w:rsidRPr="00290055" w:rsidRDefault="00236E18" w:rsidP="00294272">
            <w:pPr>
              <w:ind w:left="551"/>
              <w:rPr>
                <w:sz w:val="16"/>
                <w:szCs w:val="16"/>
                <w:lang w:bidi="th-TH"/>
              </w:rPr>
            </w:pPr>
            <w:r w:rsidRPr="00290055">
              <w:rPr>
                <w:sz w:val="16"/>
                <w:szCs w:val="16"/>
                <w:lang w:bidi="th-TH"/>
              </w:rPr>
              <w:t>Programa 30</w:t>
            </w:r>
          </w:p>
          <w:p w:rsidR="00236E18" w:rsidRPr="00290055" w:rsidRDefault="00236E18" w:rsidP="00294272">
            <w:pPr>
              <w:ind w:left="551"/>
              <w:rPr>
                <w:sz w:val="16"/>
                <w:szCs w:val="16"/>
                <w:lang w:bidi="th-TH"/>
              </w:rPr>
            </w:pPr>
          </w:p>
        </w:tc>
      </w:tr>
    </w:tbl>
    <w:p w:rsidR="00236E18" w:rsidRPr="000F58A9" w:rsidRDefault="00236E18" w:rsidP="00236E18">
      <w:pPr>
        <w:rPr>
          <w:sz w:val="20"/>
        </w:rPr>
      </w:pPr>
    </w:p>
    <w:p w:rsidR="00236E18" w:rsidRDefault="00236E18" w:rsidP="00236E18">
      <w:pPr>
        <w:rPr>
          <w:szCs w:val="22"/>
        </w:rPr>
      </w:pPr>
      <w:r>
        <w:rPr>
          <w:szCs w:val="22"/>
        </w:rPr>
        <w:br w:type="page"/>
      </w:r>
    </w:p>
    <w:p w:rsidR="00236E18" w:rsidRPr="00F4741E" w:rsidRDefault="00236E18" w:rsidP="00236E18">
      <w:pPr>
        <w:pStyle w:val="StyleStyleHeading3ComplexItalicLatin12pt"/>
        <w:rPr>
          <w:lang w:val="es-ES"/>
        </w:rPr>
      </w:pPr>
      <w:bookmarkStart w:id="62" w:name="_Toc418668571"/>
      <w:bookmarkStart w:id="63" w:name="_Toc431573550"/>
      <w:bookmarkStart w:id="64" w:name="_Toc431573951"/>
      <w:r>
        <w:rPr>
          <w:lang w:val="es-ES"/>
        </w:rPr>
        <w:lastRenderedPageBreak/>
        <w:t>PROGRAMA 8</w:t>
      </w:r>
      <w:r w:rsidRPr="00F4741E">
        <w:rPr>
          <w:lang w:val="es-ES"/>
        </w:rPr>
        <w:tab/>
        <w:t>COORDINACIÓN DE LA AGENDA PARA EL DESARROLLO</w:t>
      </w:r>
      <w:bookmarkEnd w:id="62"/>
      <w:bookmarkEnd w:id="63"/>
      <w:bookmarkEnd w:id="64"/>
    </w:p>
    <w:p w:rsidR="00236E18" w:rsidRPr="00371284" w:rsidRDefault="00236E18" w:rsidP="00236E18">
      <w:pPr>
        <w:autoSpaceDE w:val="0"/>
        <w:autoSpaceDN w:val="0"/>
        <w:adjustRightInd w:val="0"/>
        <w:rPr>
          <w:sz w:val="20"/>
        </w:rPr>
      </w:pPr>
    </w:p>
    <w:p w:rsidR="00236E18" w:rsidRPr="00371284" w:rsidRDefault="00236E18" w:rsidP="00236E18">
      <w:pPr>
        <w:autoSpaceDE w:val="0"/>
        <w:autoSpaceDN w:val="0"/>
        <w:adjustRightInd w:val="0"/>
        <w:rPr>
          <w:sz w:val="20"/>
        </w:rPr>
      </w:pPr>
    </w:p>
    <w:p w:rsidR="00236E18" w:rsidRPr="00371284" w:rsidRDefault="00236E18" w:rsidP="00236E18">
      <w:pPr>
        <w:autoSpaceDE w:val="0"/>
        <w:autoSpaceDN w:val="0"/>
        <w:adjustRightInd w:val="0"/>
      </w:pPr>
      <w:r w:rsidRPr="00371284">
        <w:t>CONTEXTO DE PLANIFICACIÓN</w:t>
      </w:r>
    </w:p>
    <w:p w:rsidR="00236E18" w:rsidRPr="00371284" w:rsidRDefault="00236E18" w:rsidP="00236E18">
      <w:pPr>
        <w:pStyle w:val="ListParagraph"/>
        <w:tabs>
          <w:tab w:val="left" w:pos="567"/>
        </w:tabs>
        <w:autoSpaceDE w:val="0"/>
        <w:autoSpaceDN w:val="0"/>
        <w:adjustRightInd w:val="0"/>
        <w:ind w:left="0"/>
        <w:jc w:val="both"/>
        <w:rPr>
          <w:rFonts w:ascii="Arial" w:hAnsi="Arial" w:cs="Arial"/>
          <w:sz w:val="20"/>
          <w:lang w:val="es-ES"/>
        </w:rPr>
      </w:pPr>
    </w:p>
    <w:p w:rsidR="00236E18" w:rsidRPr="00371284" w:rsidRDefault="00236E18" w:rsidP="00236E18">
      <w:pPr>
        <w:pStyle w:val="ListParagraph"/>
        <w:numPr>
          <w:ilvl w:val="1"/>
          <w:numId w:val="20"/>
        </w:numPr>
        <w:tabs>
          <w:tab w:val="left" w:pos="567"/>
          <w:tab w:val="left" w:pos="709"/>
        </w:tabs>
        <w:autoSpaceDE w:val="0"/>
        <w:autoSpaceDN w:val="0"/>
        <w:adjustRightInd w:val="0"/>
        <w:jc w:val="both"/>
        <w:rPr>
          <w:rFonts w:ascii="Arial" w:hAnsi="Arial" w:cs="Arial"/>
          <w:sz w:val="20"/>
          <w:szCs w:val="20"/>
          <w:lang w:val="es-ES"/>
        </w:rPr>
      </w:pPr>
      <w:r w:rsidRPr="00371284">
        <w:rPr>
          <w:rFonts w:ascii="Arial" w:hAnsi="Arial" w:cs="Arial"/>
          <w:sz w:val="20"/>
          <w:szCs w:val="20"/>
          <w:lang w:val="es-ES"/>
        </w:rPr>
        <w:t xml:space="preserve">La creciente influencia que ejerce la Agenda para el Desarrollo (A.D.) en las actividades de la Organización y las consiguientes necesidades y demandas de los Estados miembros serán el motor que impulsará las actividades del programa en el bienio 2016/2017.  En los bienios anteriores se </w:t>
      </w:r>
      <w:r>
        <w:rPr>
          <w:rFonts w:ascii="Arial" w:hAnsi="Arial" w:cs="Arial"/>
          <w:sz w:val="20"/>
          <w:szCs w:val="20"/>
          <w:lang w:val="es-ES"/>
        </w:rPr>
        <w:t>han logrado</w:t>
      </w:r>
      <w:r w:rsidRPr="00371284">
        <w:rPr>
          <w:rFonts w:ascii="Arial" w:hAnsi="Arial" w:cs="Arial"/>
          <w:sz w:val="20"/>
          <w:szCs w:val="20"/>
          <w:lang w:val="es-ES"/>
        </w:rPr>
        <w:t xml:space="preserve"> avances significativos en la aplicación de las recomendaciones de la A.D., </w:t>
      </w:r>
      <w:r>
        <w:rPr>
          <w:rFonts w:ascii="Arial" w:hAnsi="Arial" w:cs="Arial"/>
          <w:sz w:val="20"/>
          <w:szCs w:val="20"/>
          <w:lang w:val="es-ES"/>
        </w:rPr>
        <w:t>principalmente</w:t>
      </w:r>
      <w:r w:rsidRPr="00371284">
        <w:rPr>
          <w:rFonts w:ascii="Arial" w:hAnsi="Arial" w:cs="Arial"/>
          <w:sz w:val="20"/>
          <w:szCs w:val="20"/>
          <w:lang w:val="es-ES"/>
        </w:rPr>
        <w:t xml:space="preserve"> en la ejecución de proyectos de la A.D. que aplicaban una metodología de gestión de proyectos más perfeccionada, que incluía la supervisión y evaluación sistemáticas de la integración de las actividades terminadas de todos los proyectos de la A.D. en las actividades ordinarias de la Organización, en la aplicación de los mecanismos de coordinación y de las modalidades de supervisión, evaluación y presentación de informes (el ‘mecanismo de coordinación’), aprobados por los Estados miembros en forma de informes sobre la marcha de los trabajos y de evaluación, en la realización del examen independiente de la aplicación de las recomendaciones de la A.D., y en la consecución de una mayor participación de los Estados miembros, principalmente, de los países en desarrollo y los PMA.</w:t>
      </w:r>
    </w:p>
    <w:p w:rsidR="00236E18" w:rsidRPr="00371284" w:rsidRDefault="00236E18" w:rsidP="00236E18">
      <w:pPr>
        <w:pStyle w:val="ListParagraph"/>
        <w:tabs>
          <w:tab w:val="left" w:pos="567"/>
        </w:tabs>
        <w:autoSpaceDE w:val="0"/>
        <w:autoSpaceDN w:val="0"/>
        <w:adjustRightInd w:val="0"/>
        <w:ind w:left="0"/>
        <w:jc w:val="both"/>
        <w:rPr>
          <w:rFonts w:ascii="Arial" w:hAnsi="Arial" w:cs="Arial"/>
          <w:sz w:val="20"/>
          <w:szCs w:val="20"/>
          <w:lang w:val="es-ES"/>
        </w:rPr>
      </w:pPr>
    </w:p>
    <w:p w:rsidR="00236E18" w:rsidRPr="00371284" w:rsidRDefault="00236E18" w:rsidP="00236E18">
      <w:pPr>
        <w:pStyle w:val="ListParagraph"/>
        <w:numPr>
          <w:ilvl w:val="1"/>
          <w:numId w:val="20"/>
        </w:numPr>
        <w:tabs>
          <w:tab w:val="left" w:pos="567"/>
        </w:tabs>
        <w:autoSpaceDE w:val="0"/>
        <w:autoSpaceDN w:val="0"/>
        <w:adjustRightInd w:val="0"/>
        <w:jc w:val="both"/>
        <w:rPr>
          <w:rFonts w:ascii="Arial" w:hAnsi="Arial" w:cs="Arial"/>
          <w:sz w:val="20"/>
          <w:szCs w:val="20"/>
          <w:lang w:val="es-ES"/>
        </w:rPr>
      </w:pPr>
      <w:r w:rsidRPr="00371284">
        <w:rPr>
          <w:rFonts w:ascii="Arial" w:hAnsi="Arial" w:cs="Arial"/>
          <w:sz w:val="20"/>
          <w:szCs w:val="20"/>
          <w:lang w:val="es-ES"/>
        </w:rPr>
        <w:t>La continuación de la labor de incorporación de la A.D. y la consecución de sus objetivos seguirán orientando la creciente labor de la Organización en el ámbito del desarrollo durante el bienio.</w:t>
      </w:r>
    </w:p>
    <w:p w:rsidR="00236E18" w:rsidRPr="00371284" w:rsidRDefault="00236E18" w:rsidP="00236E18">
      <w:pPr>
        <w:pStyle w:val="ListParagraph"/>
        <w:ind w:left="0"/>
        <w:jc w:val="both"/>
        <w:rPr>
          <w:rFonts w:ascii="Arial" w:hAnsi="Arial" w:cs="Arial"/>
          <w:sz w:val="20"/>
          <w:szCs w:val="20"/>
          <w:lang w:val="es-ES"/>
        </w:rPr>
      </w:pPr>
    </w:p>
    <w:p w:rsidR="00236E18" w:rsidRPr="00371284" w:rsidRDefault="00236E18" w:rsidP="00236E18">
      <w:pPr>
        <w:pStyle w:val="ListParagraph"/>
        <w:ind w:left="0"/>
        <w:jc w:val="both"/>
        <w:rPr>
          <w:rFonts w:ascii="Arial" w:hAnsi="Arial" w:cs="Arial"/>
          <w:sz w:val="20"/>
          <w:szCs w:val="20"/>
          <w:lang w:val="es-ES"/>
        </w:rPr>
      </w:pPr>
    </w:p>
    <w:p w:rsidR="00236E18" w:rsidRPr="00371284" w:rsidRDefault="00236E18" w:rsidP="00236E18">
      <w:pPr>
        <w:tabs>
          <w:tab w:val="left" w:pos="567"/>
        </w:tabs>
        <w:jc w:val="both"/>
      </w:pPr>
      <w:r w:rsidRPr="00371284">
        <w:t>ESTRATEGIAS DE EJECUCIÓN</w:t>
      </w:r>
    </w:p>
    <w:p w:rsidR="00236E18" w:rsidRPr="00371284" w:rsidRDefault="00236E18" w:rsidP="00236E18">
      <w:pPr>
        <w:tabs>
          <w:tab w:val="left" w:pos="567"/>
        </w:tabs>
        <w:jc w:val="both"/>
      </w:pPr>
    </w:p>
    <w:p w:rsidR="00236E18" w:rsidRPr="00371284" w:rsidRDefault="00236E18" w:rsidP="00236E18">
      <w:pPr>
        <w:pStyle w:val="ListParagraph"/>
        <w:numPr>
          <w:ilvl w:val="1"/>
          <w:numId w:val="20"/>
        </w:numPr>
        <w:tabs>
          <w:tab w:val="left" w:pos="567"/>
        </w:tabs>
        <w:autoSpaceDE w:val="0"/>
        <w:autoSpaceDN w:val="0"/>
        <w:adjustRightInd w:val="0"/>
        <w:jc w:val="both"/>
        <w:rPr>
          <w:rFonts w:ascii="Arial" w:hAnsi="Arial" w:cs="Arial"/>
          <w:sz w:val="20"/>
          <w:szCs w:val="20"/>
          <w:lang w:val="es-ES"/>
        </w:rPr>
      </w:pPr>
      <w:r w:rsidRPr="00371284">
        <w:rPr>
          <w:rFonts w:ascii="Arial" w:hAnsi="Arial" w:cs="Arial"/>
          <w:sz w:val="20"/>
          <w:szCs w:val="20"/>
          <w:lang w:val="es-ES"/>
        </w:rPr>
        <w:t xml:space="preserve">El programa permitirá que se sigan integrando de manera adecuada, rápida y duradera las recomendaciones y los principios de la A.D. en todos los aspectos de la labor de la Organización relacionada con el desarrollo.  Con ese fin, se seguirá coordinando y facilitando el trabajo de otros programas con miras a aplicar las recomendaciones de la A.D.  </w:t>
      </w:r>
      <w:r>
        <w:rPr>
          <w:rFonts w:ascii="Arial" w:hAnsi="Arial" w:cs="Arial"/>
          <w:sz w:val="20"/>
          <w:szCs w:val="20"/>
          <w:lang w:val="es-ES"/>
        </w:rPr>
        <w:t xml:space="preserve">El programa facilitará la implementación de las </w:t>
      </w:r>
      <w:r w:rsidRPr="00371284">
        <w:rPr>
          <w:rFonts w:ascii="Arial" w:hAnsi="Arial" w:cs="Arial"/>
          <w:sz w:val="20"/>
          <w:szCs w:val="20"/>
          <w:lang w:val="es-ES"/>
        </w:rPr>
        <w:t xml:space="preserve">decisiones de la Asamblea General de la OMPI y del Comité de Desarrollo y Propiedad Intelectual (CDIP), a través de una coordinación activa que abarque todos los sectores de la OMPI y una colaboración dinámica con los Estados miembros.  A este respecto, el programa apoyará </w:t>
      </w:r>
      <w:r>
        <w:rPr>
          <w:rFonts w:ascii="Arial" w:hAnsi="Arial" w:cs="Arial"/>
          <w:sz w:val="20"/>
          <w:szCs w:val="20"/>
          <w:lang w:val="es-ES"/>
        </w:rPr>
        <w:t xml:space="preserve">los </w:t>
      </w:r>
      <w:r w:rsidRPr="00371284">
        <w:rPr>
          <w:rFonts w:ascii="Arial" w:hAnsi="Arial" w:cs="Arial"/>
          <w:sz w:val="20"/>
          <w:szCs w:val="20"/>
          <w:lang w:val="es-ES"/>
        </w:rPr>
        <w:t xml:space="preserve">nuevos proyectos y actividades </w:t>
      </w:r>
      <w:r>
        <w:rPr>
          <w:rFonts w:ascii="Arial" w:hAnsi="Arial" w:cs="Arial"/>
          <w:sz w:val="20"/>
          <w:szCs w:val="20"/>
          <w:lang w:val="es-ES"/>
        </w:rPr>
        <w:t>que propongan</w:t>
      </w:r>
      <w:r w:rsidRPr="00371284">
        <w:rPr>
          <w:rFonts w:ascii="Arial" w:hAnsi="Arial" w:cs="Arial"/>
          <w:sz w:val="20"/>
          <w:szCs w:val="20"/>
          <w:lang w:val="es-ES"/>
        </w:rPr>
        <w:t xml:space="preserve"> los Estados miembros</w:t>
      </w:r>
      <w:r>
        <w:rPr>
          <w:rFonts w:ascii="Arial" w:hAnsi="Arial" w:cs="Arial"/>
          <w:sz w:val="20"/>
          <w:szCs w:val="20"/>
          <w:lang w:val="es-ES"/>
        </w:rPr>
        <w:t>, así como su ejecución en la Organización por los programas de que se trate</w:t>
      </w:r>
      <w:r w:rsidRPr="00371284">
        <w:rPr>
          <w:rFonts w:ascii="Arial" w:hAnsi="Arial" w:cs="Arial"/>
          <w:sz w:val="20"/>
          <w:szCs w:val="20"/>
          <w:lang w:val="es-ES"/>
        </w:rPr>
        <w:t xml:space="preserve">.  </w:t>
      </w:r>
    </w:p>
    <w:p w:rsidR="00236E18" w:rsidRPr="00371284" w:rsidRDefault="00236E18" w:rsidP="00236E18">
      <w:pPr>
        <w:tabs>
          <w:tab w:val="left" w:pos="567"/>
        </w:tabs>
        <w:autoSpaceDE w:val="0"/>
        <w:autoSpaceDN w:val="0"/>
        <w:adjustRightInd w:val="0"/>
        <w:jc w:val="both"/>
        <w:rPr>
          <w:sz w:val="20"/>
        </w:rPr>
      </w:pPr>
    </w:p>
    <w:p w:rsidR="00236E18" w:rsidRPr="00371284" w:rsidRDefault="00236E18" w:rsidP="00236E18">
      <w:pPr>
        <w:pStyle w:val="ListParagraph"/>
        <w:numPr>
          <w:ilvl w:val="1"/>
          <w:numId w:val="20"/>
        </w:numPr>
        <w:tabs>
          <w:tab w:val="left" w:pos="567"/>
        </w:tabs>
        <w:autoSpaceDE w:val="0"/>
        <w:autoSpaceDN w:val="0"/>
        <w:adjustRightInd w:val="0"/>
        <w:jc w:val="both"/>
        <w:rPr>
          <w:rFonts w:ascii="Arial" w:hAnsi="Arial" w:cs="Arial"/>
          <w:sz w:val="20"/>
          <w:szCs w:val="20"/>
          <w:lang w:val="es-ES"/>
        </w:rPr>
      </w:pPr>
      <w:r w:rsidRPr="00371284">
        <w:rPr>
          <w:rFonts w:ascii="Arial" w:hAnsi="Arial" w:cs="Arial"/>
          <w:sz w:val="20"/>
          <w:szCs w:val="20"/>
          <w:lang w:val="es-ES"/>
        </w:rPr>
        <w:t>Se seguirá apoyando la labor del CDIP, en particular, propiciando procesos de negociación entre los Estados miembros; elaborando estrategias para la aplicación de las recomendaciones de la A.D.; coordinando la gestión y la aplicación, seguimiento, evaluación y presentación de informes de los proyectos de la A.D. efectivas, así como las actividades relacionadas con la A.D. que ya se han integrado; la aplicación de las recomendaciones y de las actividades resultantes del examen independiente, y el apoyo a la divulgación de información y a la sensibilización sobre asuntos relacionados con la A.D.   Los proyectos de la A.D., incluidas las fases subsiguientes de proyectos en curso, aprobados por el CDIP seguirán siendo enteramente financiados con arreglo al procedimiento presupuestario aplicado a los proyectos que se expone en el documento A/48/5/Rev., aprobado por los Estados miembros en 2010.</w:t>
      </w:r>
    </w:p>
    <w:p w:rsidR="00236E18" w:rsidRPr="00371284" w:rsidRDefault="00236E18" w:rsidP="00236E18">
      <w:pPr>
        <w:tabs>
          <w:tab w:val="left" w:pos="567"/>
        </w:tabs>
        <w:autoSpaceDE w:val="0"/>
        <w:autoSpaceDN w:val="0"/>
        <w:adjustRightInd w:val="0"/>
        <w:jc w:val="both"/>
        <w:rPr>
          <w:sz w:val="20"/>
        </w:rPr>
      </w:pPr>
    </w:p>
    <w:p w:rsidR="00236E18" w:rsidRPr="00371284" w:rsidRDefault="00236E18" w:rsidP="00236E18">
      <w:pPr>
        <w:pStyle w:val="ListParagraph"/>
        <w:numPr>
          <w:ilvl w:val="1"/>
          <w:numId w:val="20"/>
        </w:numPr>
        <w:tabs>
          <w:tab w:val="left" w:pos="567"/>
        </w:tabs>
        <w:autoSpaceDE w:val="0"/>
        <w:autoSpaceDN w:val="0"/>
        <w:adjustRightInd w:val="0"/>
        <w:jc w:val="both"/>
        <w:rPr>
          <w:rFonts w:ascii="Arial" w:hAnsi="Arial" w:cs="Arial"/>
          <w:sz w:val="20"/>
          <w:szCs w:val="20"/>
          <w:lang w:val="es-ES"/>
        </w:rPr>
      </w:pPr>
      <w:r w:rsidRPr="00371284">
        <w:rPr>
          <w:rFonts w:ascii="Arial" w:hAnsi="Arial" w:cs="Arial"/>
          <w:sz w:val="20"/>
          <w:szCs w:val="20"/>
          <w:lang w:val="es-ES"/>
        </w:rPr>
        <w:t xml:space="preserve">Durante el bienio 2016/2017 se celebrará una Conferencia Internacional sobre P.I. y Desarrollo.  Asimismo, en el marco del programa se seguirán facilitando </w:t>
      </w:r>
      <w:r>
        <w:rPr>
          <w:rFonts w:ascii="Arial" w:hAnsi="Arial" w:cs="Arial"/>
          <w:sz w:val="20"/>
          <w:szCs w:val="20"/>
          <w:lang w:val="es-ES"/>
        </w:rPr>
        <w:t>el debate y la ejecución de toda nueva actividad</w:t>
      </w:r>
      <w:r w:rsidRPr="00371284">
        <w:rPr>
          <w:rFonts w:ascii="Arial" w:hAnsi="Arial" w:cs="Arial"/>
          <w:sz w:val="20"/>
          <w:szCs w:val="20"/>
          <w:lang w:val="es-ES"/>
        </w:rPr>
        <w:t xml:space="preserve"> relacionada con la P.I. y el desarrollo, </w:t>
      </w:r>
      <w:r>
        <w:rPr>
          <w:rFonts w:ascii="Arial" w:hAnsi="Arial" w:cs="Arial"/>
          <w:sz w:val="20"/>
          <w:szCs w:val="20"/>
          <w:lang w:val="es-ES"/>
        </w:rPr>
        <w:t>según lo s</w:t>
      </w:r>
      <w:r w:rsidRPr="00371284">
        <w:rPr>
          <w:rFonts w:ascii="Arial" w:hAnsi="Arial" w:cs="Arial"/>
          <w:sz w:val="20"/>
          <w:szCs w:val="20"/>
          <w:lang w:val="es-ES"/>
        </w:rPr>
        <w:t>olicit</w:t>
      </w:r>
      <w:r>
        <w:rPr>
          <w:rFonts w:ascii="Arial" w:hAnsi="Arial" w:cs="Arial"/>
          <w:sz w:val="20"/>
          <w:szCs w:val="20"/>
          <w:lang w:val="es-ES"/>
        </w:rPr>
        <w:t>en</w:t>
      </w:r>
      <w:r w:rsidRPr="00371284">
        <w:rPr>
          <w:rFonts w:ascii="Arial" w:hAnsi="Arial" w:cs="Arial"/>
          <w:sz w:val="20"/>
          <w:szCs w:val="20"/>
          <w:lang w:val="es-ES"/>
        </w:rPr>
        <w:t xml:space="preserve"> el CDIP y la Asamblea General</w:t>
      </w:r>
      <w:r>
        <w:rPr>
          <w:rFonts w:ascii="Arial" w:hAnsi="Arial" w:cs="Arial"/>
          <w:sz w:val="20"/>
          <w:szCs w:val="20"/>
          <w:lang w:val="es-ES"/>
        </w:rPr>
        <w:t xml:space="preserve"> de la OMPI</w:t>
      </w:r>
      <w:r w:rsidRPr="00371284">
        <w:rPr>
          <w:rFonts w:ascii="Arial" w:hAnsi="Arial" w:cs="Arial"/>
          <w:sz w:val="20"/>
          <w:szCs w:val="20"/>
          <w:lang w:val="es-ES"/>
        </w:rPr>
        <w:t xml:space="preserve">. </w:t>
      </w:r>
    </w:p>
    <w:p w:rsidR="00236E18" w:rsidRPr="00371284" w:rsidRDefault="00236E18" w:rsidP="00236E18">
      <w:pPr>
        <w:tabs>
          <w:tab w:val="left" w:pos="567"/>
        </w:tabs>
        <w:autoSpaceDE w:val="0"/>
        <w:autoSpaceDN w:val="0"/>
        <w:adjustRightInd w:val="0"/>
        <w:jc w:val="both"/>
      </w:pPr>
    </w:p>
    <w:p w:rsidR="00236E18" w:rsidRPr="00371284" w:rsidRDefault="00236E18" w:rsidP="00236E18">
      <w:pPr>
        <w:tabs>
          <w:tab w:val="left" w:pos="567"/>
        </w:tabs>
        <w:autoSpaceDE w:val="0"/>
        <w:autoSpaceDN w:val="0"/>
        <w:adjustRightInd w:val="0"/>
        <w:jc w:val="both"/>
      </w:pPr>
    </w:p>
    <w:p w:rsidR="00236E18" w:rsidRPr="00371284" w:rsidRDefault="00236E18" w:rsidP="00236E18">
      <w:pPr>
        <w:keepNext/>
      </w:pPr>
      <w:r w:rsidRPr="00371284">
        <w:t>PRINCIPALES RIESGOS Y ESTRATEGIAS DE MITIGACIÓN</w:t>
      </w:r>
    </w:p>
    <w:p w:rsidR="00236E18" w:rsidRPr="00371284" w:rsidRDefault="00236E18" w:rsidP="00236E18">
      <w:pPr>
        <w:keepNext/>
        <w:autoSpaceDE w:val="0"/>
        <w:autoSpaceDN w:val="0"/>
        <w:adjustRightInd w:val="0"/>
        <w:rPr>
          <w:rFonts w:eastAsia="Times New Roman"/>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236E18" w:rsidRPr="00371284" w:rsidTr="00294272">
        <w:trPr>
          <w:trHeight w:val="577"/>
        </w:trPr>
        <w:tc>
          <w:tcPr>
            <w:tcW w:w="4111" w:type="dxa"/>
            <w:tcBorders>
              <w:top w:val="single" w:sz="4" w:space="0" w:color="auto"/>
              <w:bottom w:val="single" w:sz="4" w:space="0" w:color="auto"/>
            </w:tcBorders>
            <w:shd w:val="clear" w:color="auto" w:fill="C6D9F1"/>
            <w:vAlign w:val="center"/>
          </w:tcPr>
          <w:p w:rsidR="00236E18" w:rsidRPr="00371284" w:rsidRDefault="00236E18" w:rsidP="00294272">
            <w:pPr>
              <w:keepNext/>
              <w:jc w:val="center"/>
              <w:rPr>
                <w:rFonts w:eastAsia="Times New Roman"/>
                <w:b/>
                <w:bCs/>
                <w:sz w:val="18"/>
                <w:szCs w:val="18"/>
              </w:rPr>
            </w:pPr>
            <w:r w:rsidRPr="00371284">
              <w:rPr>
                <w:rFonts w:eastAsia="Times New Roman"/>
                <w:b/>
                <w:bCs/>
                <w:sz w:val="18"/>
                <w:szCs w:val="18"/>
              </w:rPr>
              <w:t>Riesgo</w:t>
            </w:r>
          </w:p>
        </w:tc>
        <w:tc>
          <w:tcPr>
            <w:tcW w:w="5103" w:type="dxa"/>
            <w:tcBorders>
              <w:top w:val="single" w:sz="4" w:space="0" w:color="auto"/>
              <w:bottom w:val="single" w:sz="4" w:space="0" w:color="auto"/>
            </w:tcBorders>
            <w:shd w:val="clear" w:color="auto" w:fill="C6D9F1"/>
            <w:vAlign w:val="center"/>
          </w:tcPr>
          <w:p w:rsidR="00236E18" w:rsidRPr="00371284" w:rsidRDefault="00236E18" w:rsidP="00294272">
            <w:pPr>
              <w:keepNext/>
              <w:jc w:val="center"/>
              <w:rPr>
                <w:rFonts w:eastAsia="Times New Roman"/>
                <w:b/>
                <w:bCs/>
                <w:sz w:val="18"/>
                <w:szCs w:val="18"/>
              </w:rPr>
            </w:pPr>
            <w:r w:rsidRPr="00371284">
              <w:rPr>
                <w:rFonts w:eastAsia="Times New Roman"/>
                <w:b/>
                <w:bCs/>
                <w:sz w:val="18"/>
                <w:szCs w:val="18"/>
              </w:rPr>
              <w:t>Mitigación</w:t>
            </w:r>
          </w:p>
        </w:tc>
      </w:tr>
      <w:tr w:rsidR="00236E18" w:rsidRPr="00371284" w:rsidTr="00294272">
        <w:trPr>
          <w:trHeight w:val="507"/>
        </w:trPr>
        <w:tc>
          <w:tcPr>
            <w:tcW w:w="4111"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236E18" w:rsidRPr="00371284" w:rsidRDefault="00236E18" w:rsidP="00294272">
            <w:pPr>
              <w:rPr>
                <w:rFonts w:eastAsia="Times New Roman"/>
                <w:sz w:val="16"/>
                <w:szCs w:val="16"/>
              </w:rPr>
            </w:pPr>
            <w:r w:rsidRPr="00371284">
              <w:rPr>
                <w:rFonts w:eastAsia="Times New Roman"/>
                <w:sz w:val="16"/>
              </w:rPr>
              <w:t>Opiniones divergentes de los Estados miembros en relación con la incorporación de las recomendaciones de la A.D. en la labor de la OMPI</w:t>
            </w:r>
          </w:p>
        </w:tc>
        <w:tc>
          <w:tcPr>
            <w:tcW w:w="5103"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236E18" w:rsidRPr="00371284" w:rsidRDefault="00236E18" w:rsidP="00294272">
            <w:pPr>
              <w:rPr>
                <w:rFonts w:eastAsia="Times New Roman"/>
                <w:sz w:val="16"/>
                <w:szCs w:val="16"/>
              </w:rPr>
            </w:pPr>
            <w:r w:rsidRPr="00371284">
              <w:rPr>
                <w:rFonts w:eastAsia="Times New Roman"/>
                <w:sz w:val="16"/>
                <w:szCs w:val="16"/>
              </w:rPr>
              <w:t xml:space="preserve">Entablar consultas periódicas con los Estados miembros destinadas a facilitar la convergencia de las opiniones de los Estados miembros sobre la </w:t>
            </w:r>
            <w:r w:rsidRPr="00371284">
              <w:rPr>
                <w:rFonts w:eastAsia="Times New Roman"/>
                <w:sz w:val="16"/>
              </w:rPr>
              <w:t>incorporación</w:t>
            </w:r>
            <w:r w:rsidRPr="00371284">
              <w:rPr>
                <w:rFonts w:eastAsia="Times New Roman"/>
                <w:sz w:val="16"/>
                <w:szCs w:val="16"/>
              </w:rPr>
              <w:t xml:space="preserve"> de las </w:t>
            </w:r>
            <w:r w:rsidRPr="00371284">
              <w:rPr>
                <w:rFonts w:eastAsia="Times New Roman"/>
                <w:sz w:val="16"/>
              </w:rPr>
              <w:t>recomendaciones de la A.D.</w:t>
            </w:r>
          </w:p>
        </w:tc>
      </w:tr>
    </w:tbl>
    <w:p w:rsidR="00236E18" w:rsidRPr="00371284" w:rsidRDefault="00236E18" w:rsidP="00236E18">
      <w:pPr>
        <w:rPr>
          <w:rFonts w:eastAsia="Times New Roman"/>
        </w:rPr>
      </w:pPr>
    </w:p>
    <w:p w:rsidR="00236E18" w:rsidRPr="00371284" w:rsidRDefault="00236E18" w:rsidP="00236E18">
      <w:pPr>
        <w:rPr>
          <w:rFonts w:eastAsia="Times New Roman"/>
        </w:rPr>
      </w:pPr>
    </w:p>
    <w:p w:rsidR="00236E18" w:rsidRPr="00371284" w:rsidRDefault="00236E18" w:rsidP="00236E18">
      <w:pPr>
        <w:keepNext/>
        <w:keepLines/>
        <w:rPr>
          <w:rFonts w:eastAsia="Times New Roman"/>
        </w:rPr>
      </w:pPr>
      <w:r w:rsidRPr="00371284">
        <w:rPr>
          <w:rFonts w:eastAsia="Times New Roman"/>
        </w:rPr>
        <w:lastRenderedPageBreak/>
        <w:t>MARCO DE RESULTADOS</w:t>
      </w:r>
    </w:p>
    <w:p w:rsidR="00236E18" w:rsidRPr="00371284" w:rsidRDefault="00236E18" w:rsidP="00236E18">
      <w:pPr>
        <w:keepNext/>
        <w:keepLines/>
        <w:rPr>
          <w:rFonts w:eastAsia="Times New Roman"/>
        </w:rPr>
      </w:pPr>
    </w:p>
    <w:tbl>
      <w:tblPr>
        <w:tblW w:w="9229" w:type="dxa"/>
        <w:tblInd w:w="93" w:type="dxa"/>
        <w:tblLook w:val="04A0" w:firstRow="1" w:lastRow="0" w:firstColumn="1" w:lastColumn="0" w:noHBand="0" w:noVBand="1"/>
      </w:tblPr>
      <w:tblGrid>
        <w:gridCol w:w="2440"/>
        <w:gridCol w:w="2580"/>
        <w:gridCol w:w="1920"/>
        <w:gridCol w:w="2289"/>
      </w:tblGrid>
      <w:tr w:rsidR="00236E18" w:rsidRPr="00371284" w:rsidTr="00294272">
        <w:trPr>
          <w:trHeight w:val="615"/>
        </w:trPr>
        <w:tc>
          <w:tcPr>
            <w:tcW w:w="2440" w:type="dxa"/>
            <w:tcBorders>
              <w:top w:val="single" w:sz="4" w:space="0" w:color="auto"/>
              <w:left w:val="single" w:sz="4" w:space="0" w:color="auto"/>
              <w:bottom w:val="single" w:sz="4" w:space="0" w:color="auto"/>
              <w:right w:val="nil"/>
            </w:tcBorders>
            <w:shd w:val="clear" w:color="auto" w:fill="C6D9F1"/>
            <w:vAlign w:val="center"/>
            <w:hideMark/>
          </w:tcPr>
          <w:p w:rsidR="00236E18" w:rsidRPr="00371284" w:rsidRDefault="00236E18" w:rsidP="00294272">
            <w:pPr>
              <w:keepNext/>
              <w:keepLines/>
              <w:jc w:val="center"/>
              <w:rPr>
                <w:rFonts w:eastAsia="Times New Roman"/>
                <w:b/>
                <w:bCs/>
                <w:sz w:val="18"/>
                <w:szCs w:val="18"/>
              </w:rPr>
            </w:pPr>
            <w:r w:rsidRPr="00371284">
              <w:rPr>
                <w:rFonts w:eastAsia="Times New Roman"/>
                <w:b/>
                <w:bCs/>
                <w:sz w:val="18"/>
                <w:szCs w:val="18"/>
              </w:rPr>
              <w:t>Resultados previstos</w:t>
            </w:r>
          </w:p>
        </w:tc>
        <w:tc>
          <w:tcPr>
            <w:tcW w:w="2580" w:type="dxa"/>
            <w:tcBorders>
              <w:top w:val="single" w:sz="4" w:space="0" w:color="auto"/>
              <w:left w:val="nil"/>
              <w:bottom w:val="single" w:sz="4" w:space="0" w:color="auto"/>
              <w:right w:val="nil"/>
            </w:tcBorders>
            <w:shd w:val="clear" w:color="auto" w:fill="C6D9F1"/>
            <w:vAlign w:val="center"/>
            <w:hideMark/>
          </w:tcPr>
          <w:p w:rsidR="00236E18" w:rsidRPr="00371284" w:rsidRDefault="00236E18" w:rsidP="00294272">
            <w:pPr>
              <w:keepNext/>
              <w:keepLines/>
              <w:jc w:val="center"/>
              <w:rPr>
                <w:rFonts w:eastAsia="Times New Roman"/>
                <w:b/>
                <w:bCs/>
                <w:sz w:val="18"/>
                <w:szCs w:val="18"/>
              </w:rPr>
            </w:pPr>
            <w:r w:rsidRPr="00371284">
              <w:rPr>
                <w:rFonts w:eastAsia="Times New Roman"/>
                <w:b/>
                <w:bCs/>
                <w:sz w:val="18"/>
                <w:szCs w:val="18"/>
              </w:rPr>
              <w:t>Indicadores de rendimiento</w:t>
            </w:r>
          </w:p>
        </w:tc>
        <w:tc>
          <w:tcPr>
            <w:tcW w:w="1920" w:type="dxa"/>
            <w:tcBorders>
              <w:top w:val="single" w:sz="4" w:space="0" w:color="auto"/>
              <w:left w:val="nil"/>
              <w:bottom w:val="single" w:sz="4" w:space="0" w:color="auto"/>
              <w:right w:val="nil"/>
            </w:tcBorders>
            <w:shd w:val="clear" w:color="auto" w:fill="C6D9F1"/>
            <w:vAlign w:val="center"/>
            <w:hideMark/>
          </w:tcPr>
          <w:p w:rsidR="00236E18" w:rsidRPr="00371284" w:rsidRDefault="00236E18" w:rsidP="00294272">
            <w:pPr>
              <w:keepNext/>
              <w:keepLines/>
              <w:jc w:val="center"/>
              <w:rPr>
                <w:rFonts w:eastAsia="Times New Roman"/>
                <w:b/>
                <w:bCs/>
                <w:sz w:val="18"/>
                <w:szCs w:val="18"/>
              </w:rPr>
            </w:pPr>
            <w:r w:rsidRPr="00371284">
              <w:rPr>
                <w:rFonts w:eastAsia="Times New Roman"/>
                <w:b/>
                <w:bCs/>
                <w:sz w:val="18"/>
                <w:szCs w:val="18"/>
              </w:rPr>
              <w:t>Referencia</w:t>
            </w:r>
          </w:p>
        </w:tc>
        <w:tc>
          <w:tcPr>
            <w:tcW w:w="2289" w:type="dxa"/>
            <w:tcBorders>
              <w:top w:val="single" w:sz="4" w:space="0" w:color="auto"/>
              <w:left w:val="nil"/>
              <w:bottom w:val="single" w:sz="4" w:space="0" w:color="auto"/>
              <w:right w:val="single" w:sz="4" w:space="0" w:color="auto"/>
            </w:tcBorders>
            <w:shd w:val="clear" w:color="auto" w:fill="C6D9F1"/>
            <w:vAlign w:val="center"/>
            <w:hideMark/>
          </w:tcPr>
          <w:p w:rsidR="00236E18" w:rsidRPr="00371284" w:rsidRDefault="00236E18" w:rsidP="00294272">
            <w:pPr>
              <w:keepNext/>
              <w:keepLines/>
              <w:jc w:val="center"/>
              <w:rPr>
                <w:rFonts w:eastAsia="Times New Roman"/>
                <w:b/>
                <w:bCs/>
                <w:sz w:val="18"/>
                <w:szCs w:val="18"/>
              </w:rPr>
            </w:pPr>
            <w:r w:rsidRPr="00371284">
              <w:rPr>
                <w:rFonts w:eastAsia="Times New Roman"/>
                <w:b/>
                <w:bCs/>
                <w:sz w:val="18"/>
                <w:szCs w:val="18"/>
              </w:rPr>
              <w:t>Objetivos</w:t>
            </w:r>
          </w:p>
        </w:tc>
      </w:tr>
      <w:tr w:rsidR="00236E18" w:rsidRPr="00371284" w:rsidTr="00294272">
        <w:trPr>
          <w:trHeight w:val="1316"/>
        </w:trPr>
        <w:tc>
          <w:tcPr>
            <w:tcW w:w="2440" w:type="dxa"/>
            <w:tcBorders>
              <w:top w:val="nil"/>
              <w:left w:val="single" w:sz="4" w:space="0" w:color="auto"/>
              <w:bottom w:val="nil"/>
              <w:right w:val="nil"/>
            </w:tcBorders>
            <w:shd w:val="clear" w:color="000000" w:fill="FFFFFF"/>
            <w:hideMark/>
          </w:tcPr>
          <w:p w:rsidR="00236E18" w:rsidRPr="00DB14B1" w:rsidRDefault="00236E18" w:rsidP="00294272">
            <w:pPr>
              <w:rPr>
                <w:rFonts w:eastAsia="Times New Roman"/>
                <w:sz w:val="16"/>
                <w:szCs w:val="16"/>
              </w:rPr>
            </w:pPr>
            <w:r w:rsidRPr="00DB14B1">
              <w:rPr>
                <w:rFonts w:eastAsia="Times New Roman"/>
                <w:sz w:val="16"/>
                <w:szCs w:val="16"/>
              </w:rPr>
              <w:t xml:space="preserve">III.3  </w:t>
            </w:r>
            <w:r w:rsidRPr="00DB14B1">
              <w:rPr>
                <w:sz w:val="16"/>
                <w:szCs w:val="16"/>
                <w:lang w:val="es-ES_tradnl"/>
              </w:rPr>
              <w:t>Incorporación de las recomendaciones de la Agenda para el Desarrollo en la labor de la OMPI</w:t>
            </w:r>
          </w:p>
        </w:tc>
        <w:tc>
          <w:tcPr>
            <w:tcW w:w="2580" w:type="dxa"/>
            <w:tcBorders>
              <w:top w:val="nil"/>
              <w:left w:val="nil"/>
              <w:bottom w:val="nil"/>
              <w:right w:val="nil"/>
            </w:tcBorders>
            <w:shd w:val="clear" w:color="000000" w:fill="FFFFFF"/>
            <w:hideMark/>
          </w:tcPr>
          <w:p w:rsidR="00236E18" w:rsidRPr="00371284" w:rsidRDefault="00236E18" w:rsidP="00294272">
            <w:pPr>
              <w:ind w:left="161" w:firstLineChars="99" w:firstLine="158"/>
              <w:rPr>
                <w:rFonts w:eastAsia="Times New Roman"/>
                <w:sz w:val="16"/>
                <w:szCs w:val="16"/>
              </w:rPr>
            </w:pPr>
            <w:r w:rsidRPr="00371284">
              <w:rPr>
                <w:rFonts w:eastAsia="Times New Roman"/>
                <w:sz w:val="16"/>
                <w:szCs w:val="16"/>
              </w:rPr>
              <w:br/>
              <w:t>Los principios relativos al desarrollo incluidos en las recomendaciones de la A.D. se incorporan efectivamente en la labor de los programas de la OMPI</w:t>
            </w:r>
            <w:r>
              <w:rPr>
                <w:rFonts w:eastAsia="Times New Roman"/>
                <w:sz w:val="16"/>
                <w:szCs w:val="16"/>
              </w:rPr>
              <w:br/>
            </w:r>
          </w:p>
        </w:tc>
        <w:tc>
          <w:tcPr>
            <w:tcW w:w="1920" w:type="dxa"/>
            <w:tcBorders>
              <w:top w:val="nil"/>
              <w:left w:val="nil"/>
              <w:bottom w:val="nil"/>
              <w:right w:val="nil"/>
            </w:tcBorders>
            <w:shd w:val="clear" w:color="000000" w:fill="FFFFFF"/>
            <w:hideMark/>
          </w:tcPr>
          <w:p w:rsidR="00236E18" w:rsidRPr="00371284" w:rsidRDefault="00236E18" w:rsidP="00294272">
            <w:pPr>
              <w:ind w:left="274" w:firstLineChars="200" w:firstLine="320"/>
              <w:rPr>
                <w:rFonts w:eastAsia="Times New Roman"/>
                <w:sz w:val="16"/>
                <w:szCs w:val="16"/>
              </w:rPr>
            </w:pPr>
            <w:r w:rsidRPr="00371284">
              <w:rPr>
                <w:rFonts w:eastAsia="Times New Roman"/>
                <w:sz w:val="16"/>
                <w:szCs w:val="16"/>
              </w:rPr>
              <w:br/>
            </w:r>
            <w:proofErr w:type="spellStart"/>
            <w:r w:rsidRPr="00371284">
              <w:rPr>
                <w:rFonts w:eastAsia="Times New Roman"/>
                <w:sz w:val="16"/>
                <w:szCs w:val="16"/>
              </w:rPr>
              <w:t>n.d</w:t>
            </w:r>
            <w:proofErr w:type="spellEnd"/>
            <w:r w:rsidRPr="00371284">
              <w:rPr>
                <w:rFonts w:eastAsia="Times New Roman"/>
                <w:sz w:val="16"/>
                <w:szCs w:val="16"/>
              </w:rPr>
              <w:t>. (nuevos indicadores de rendimiento)</w:t>
            </w:r>
          </w:p>
        </w:tc>
        <w:tc>
          <w:tcPr>
            <w:tcW w:w="2289" w:type="dxa"/>
            <w:tcBorders>
              <w:top w:val="nil"/>
              <w:left w:val="nil"/>
              <w:bottom w:val="nil"/>
              <w:right w:val="single" w:sz="4" w:space="0" w:color="auto"/>
            </w:tcBorders>
            <w:shd w:val="clear" w:color="000000" w:fill="FFFFFF"/>
            <w:hideMark/>
          </w:tcPr>
          <w:p w:rsidR="00236E18" w:rsidRPr="00371284" w:rsidRDefault="00236E18" w:rsidP="00294272">
            <w:pPr>
              <w:ind w:left="197" w:firstLineChars="76" w:firstLine="122"/>
              <w:rPr>
                <w:rFonts w:eastAsia="Times New Roman"/>
                <w:sz w:val="16"/>
                <w:szCs w:val="16"/>
              </w:rPr>
            </w:pPr>
            <w:r w:rsidRPr="00371284">
              <w:rPr>
                <w:rFonts w:eastAsia="Times New Roman"/>
                <w:sz w:val="16"/>
                <w:szCs w:val="16"/>
              </w:rPr>
              <w:br/>
              <w:t>Mayor integración de los principios incluidos en las 45 recomendaciones de la A.D. en los programas de la OMPI</w:t>
            </w:r>
          </w:p>
        </w:tc>
      </w:tr>
      <w:tr w:rsidR="00236E18" w:rsidRPr="00371284" w:rsidTr="00294272">
        <w:trPr>
          <w:trHeight w:val="1130"/>
        </w:trPr>
        <w:tc>
          <w:tcPr>
            <w:tcW w:w="2440" w:type="dxa"/>
            <w:tcBorders>
              <w:top w:val="nil"/>
              <w:left w:val="single" w:sz="4" w:space="0" w:color="auto"/>
              <w:bottom w:val="nil"/>
              <w:right w:val="nil"/>
            </w:tcBorders>
            <w:shd w:val="clear" w:color="000000" w:fill="FFFFFF"/>
            <w:hideMark/>
          </w:tcPr>
          <w:p w:rsidR="00236E18" w:rsidRPr="00DB14B1" w:rsidRDefault="00236E18" w:rsidP="00294272">
            <w:pPr>
              <w:rPr>
                <w:rFonts w:eastAsia="Times New Roman"/>
                <w:sz w:val="16"/>
                <w:szCs w:val="16"/>
              </w:rPr>
            </w:pPr>
            <w:r w:rsidRPr="00DB14B1">
              <w:rPr>
                <w:rFonts w:eastAsia="Times New Roman"/>
                <w:sz w:val="16"/>
                <w:szCs w:val="16"/>
              </w:rPr>
              <w:t> </w:t>
            </w:r>
          </w:p>
        </w:tc>
        <w:tc>
          <w:tcPr>
            <w:tcW w:w="2580" w:type="dxa"/>
            <w:tcBorders>
              <w:top w:val="nil"/>
              <w:left w:val="nil"/>
              <w:bottom w:val="nil"/>
              <w:right w:val="nil"/>
            </w:tcBorders>
            <w:shd w:val="clear" w:color="000000" w:fill="FFFFFF"/>
            <w:hideMark/>
          </w:tcPr>
          <w:p w:rsidR="00236E18" w:rsidRPr="00371284" w:rsidRDefault="00236E18" w:rsidP="00294272">
            <w:pPr>
              <w:ind w:left="161"/>
              <w:rPr>
                <w:rFonts w:eastAsia="Times New Roman"/>
                <w:sz w:val="16"/>
                <w:szCs w:val="16"/>
              </w:rPr>
            </w:pPr>
            <w:r w:rsidRPr="00371284">
              <w:rPr>
                <w:rFonts w:eastAsia="Times New Roman"/>
                <w:sz w:val="16"/>
                <w:szCs w:val="16"/>
              </w:rPr>
              <w:t xml:space="preserve">Seguimiento adecuado de la aplicación de las  recomendaciones del examen independiente de la aplicación de las recomendaciones de la A.D. </w:t>
            </w:r>
          </w:p>
        </w:tc>
        <w:tc>
          <w:tcPr>
            <w:tcW w:w="1920" w:type="dxa"/>
            <w:tcBorders>
              <w:top w:val="nil"/>
              <w:left w:val="nil"/>
              <w:bottom w:val="nil"/>
              <w:right w:val="nil"/>
            </w:tcBorders>
            <w:shd w:val="clear" w:color="000000" w:fill="FFFFFF"/>
            <w:hideMark/>
          </w:tcPr>
          <w:p w:rsidR="00236E18" w:rsidRPr="00371284" w:rsidRDefault="00236E18" w:rsidP="00294272">
            <w:pPr>
              <w:ind w:left="274"/>
              <w:rPr>
                <w:rFonts w:eastAsia="Times New Roman"/>
                <w:sz w:val="16"/>
                <w:szCs w:val="16"/>
              </w:rPr>
            </w:pPr>
            <w:proofErr w:type="spellStart"/>
            <w:r w:rsidRPr="00371284">
              <w:rPr>
                <w:rFonts w:eastAsia="Times New Roman"/>
                <w:sz w:val="16"/>
                <w:szCs w:val="16"/>
              </w:rPr>
              <w:t>n.d</w:t>
            </w:r>
            <w:proofErr w:type="spellEnd"/>
            <w:r w:rsidRPr="00371284">
              <w:rPr>
                <w:rFonts w:eastAsia="Times New Roman"/>
                <w:sz w:val="16"/>
                <w:szCs w:val="16"/>
              </w:rPr>
              <w:t>. (nuevos indicadores de rendimiento)</w:t>
            </w:r>
          </w:p>
        </w:tc>
        <w:tc>
          <w:tcPr>
            <w:tcW w:w="2289" w:type="dxa"/>
            <w:tcBorders>
              <w:top w:val="nil"/>
              <w:left w:val="nil"/>
              <w:bottom w:val="nil"/>
              <w:right w:val="single" w:sz="4" w:space="0" w:color="auto"/>
            </w:tcBorders>
            <w:shd w:val="clear" w:color="000000" w:fill="FFFFFF"/>
            <w:hideMark/>
          </w:tcPr>
          <w:p w:rsidR="00236E18" w:rsidRPr="00371284" w:rsidRDefault="00236E18" w:rsidP="00294272">
            <w:pPr>
              <w:ind w:left="197"/>
              <w:rPr>
                <w:rFonts w:eastAsia="Times New Roman"/>
                <w:sz w:val="16"/>
                <w:szCs w:val="16"/>
              </w:rPr>
            </w:pPr>
            <w:r w:rsidRPr="00371284">
              <w:rPr>
                <w:rFonts w:eastAsia="Times New Roman"/>
                <w:sz w:val="16"/>
                <w:szCs w:val="16"/>
              </w:rPr>
              <w:t>La OMPI pone en marcha un sistema eficaz para supervisar la aplicación de las recomendaciones resultantes del examen</w:t>
            </w:r>
          </w:p>
          <w:p w:rsidR="00236E18" w:rsidRPr="00371284" w:rsidRDefault="00236E18" w:rsidP="00294272">
            <w:pPr>
              <w:ind w:left="197"/>
              <w:rPr>
                <w:rFonts w:eastAsia="Times New Roman"/>
                <w:sz w:val="16"/>
                <w:szCs w:val="16"/>
              </w:rPr>
            </w:pPr>
          </w:p>
        </w:tc>
      </w:tr>
      <w:tr w:rsidR="00236E18" w:rsidRPr="00371284" w:rsidTr="00294272">
        <w:trPr>
          <w:trHeight w:val="1557"/>
        </w:trPr>
        <w:tc>
          <w:tcPr>
            <w:tcW w:w="2440" w:type="dxa"/>
            <w:tcBorders>
              <w:top w:val="nil"/>
              <w:left w:val="single" w:sz="4" w:space="0" w:color="auto"/>
              <w:bottom w:val="nil"/>
              <w:right w:val="nil"/>
            </w:tcBorders>
            <w:shd w:val="clear" w:color="000000" w:fill="FFFFFF"/>
            <w:hideMark/>
          </w:tcPr>
          <w:p w:rsidR="00236E18" w:rsidRPr="00DB14B1" w:rsidRDefault="00236E18" w:rsidP="00294272">
            <w:pPr>
              <w:rPr>
                <w:rFonts w:eastAsia="Times New Roman"/>
                <w:sz w:val="16"/>
                <w:szCs w:val="16"/>
              </w:rPr>
            </w:pPr>
            <w:r w:rsidRPr="00DB14B1">
              <w:rPr>
                <w:rFonts w:eastAsia="Times New Roman"/>
                <w:sz w:val="16"/>
                <w:szCs w:val="16"/>
              </w:rPr>
              <w:t> </w:t>
            </w:r>
          </w:p>
        </w:tc>
        <w:tc>
          <w:tcPr>
            <w:tcW w:w="2580" w:type="dxa"/>
            <w:tcBorders>
              <w:top w:val="nil"/>
              <w:left w:val="nil"/>
              <w:bottom w:val="nil"/>
              <w:right w:val="nil"/>
            </w:tcBorders>
            <w:shd w:val="clear" w:color="000000" w:fill="FFFFFF"/>
            <w:hideMark/>
          </w:tcPr>
          <w:p w:rsidR="00236E18" w:rsidRPr="00371284" w:rsidRDefault="00236E18" w:rsidP="00294272">
            <w:pPr>
              <w:ind w:left="161"/>
              <w:rPr>
                <w:rFonts w:eastAsia="Times New Roman"/>
                <w:sz w:val="16"/>
                <w:szCs w:val="16"/>
              </w:rPr>
            </w:pPr>
          </w:p>
          <w:p w:rsidR="00236E18" w:rsidRPr="00371284" w:rsidRDefault="00236E18" w:rsidP="00294272">
            <w:pPr>
              <w:ind w:left="161"/>
              <w:rPr>
                <w:rFonts w:eastAsia="Times New Roman"/>
                <w:sz w:val="16"/>
                <w:szCs w:val="16"/>
              </w:rPr>
            </w:pPr>
            <w:r w:rsidRPr="00371284">
              <w:rPr>
                <w:rFonts w:eastAsia="Times New Roman"/>
                <w:sz w:val="16"/>
                <w:szCs w:val="16"/>
              </w:rPr>
              <w:t>Mecanismo mejorado para la elaboración, aplicación, supervisión</w:t>
            </w:r>
            <w:r>
              <w:rPr>
                <w:rFonts w:eastAsia="Times New Roman"/>
                <w:sz w:val="16"/>
                <w:szCs w:val="16"/>
              </w:rPr>
              <w:t>,</w:t>
            </w:r>
            <w:r w:rsidRPr="00371284">
              <w:rPr>
                <w:rFonts w:eastAsia="Times New Roman"/>
                <w:sz w:val="16"/>
                <w:szCs w:val="16"/>
              </w:rPr>
              <w:t xml:space="preserve"> evaluación</w:t>
            </w:r>
            <w:r>
              <w:rPr>
                <w:rFonts w:eastAsia="Times New Roman"/>
                <w:sz w:val="16"/>
                <w:szCs w:val="16"/>
              </w:rPr>
              <w:t xml:space="preserve"> y presentación de informes respecto</w:t>
            </w:r>
            <w:r w:rsidRPr="00371284">
              <w:rPr>
                <w:rFonts w:eastAsia="Times New Roman"/>
                <w:sz w:val="16"/>
                <w:szCs w:val="16"/>
              </w:rPr>
              <w:t xml:space="preserve"> de los nuevos proyectos y actividades de la A.D.</w:t>
            </w:r>
          </w:p>
        </w:tc>
        <w:tc>
          <w:tcPr>
            <w:tcW w:w="1920" w:type="dxa"/>
            <w:tcBorders>
              <w:top w:val="nil"/>
              <w:left w:val="nil"/>
              <w:bottom w:val="nil"/>
              <w:right w:val="nil"/>
            </w:tcBorders>
            <w:shd w:val="clear" w:color="000000" w:fill="FFFFFF"/>
            <w:hideMark/>
          </w:tcPr>
          <w:p w:rsidR="00236E18" w:rsidRPr="00371284" w:rsidRDefault="00236E18" w:rsidP="00294272">
            <w:pPr>
              <w:ind w:left="274"/>
              <w:rPr>
                <w:rFonts w:eastAsia="Times New Roman"/>
                <w:sz w:val="16"/>
                <w:szCs w:val="16"/>
              </w:rPr>
            </w:pPr>
          </w:p>
          <w:p w:rsidR="00236E18" w:rsidRPr="00371284" w:rsidRDefault="00236E18" w:rsidP="00294272">
            <w:pPr>
              <w:ind w:left="274"/>
              <w:rPr>
                <w:rFonts w:eastAsia="Times New Roman"/>
                <w:sz w:val="16"/>
                <w:szCs w:val="16"/>
              </w:rPr>
            </w:pPr>
            <w:proofErr w:type="spellStart"/>
            <w:r w:rsidRPr="00371284">
              <w:rPr>
                <w:rFonts w:eastAsia="Times New Roman"/>
                <w:sz w:val="16"/>
                <w:szCs w:val="16"/>
              </w:rPr>
              <w:t>n.d</w:t>
            </w:r>
            <w:proofErr w:type="spellEnd"/>
            <w:r w:rsidRPr="00371284">
              <w:rPr>
                <w:rFonts w:eastAsia="Times New Roman"/>
                <w:sz w:val="16"/>
                <w:szCs w:val="16"/>
              </w:rPr>
              <w:t>. (nuevos indicadores de rendimiento)</w:t>
            </w:r>
          </w:p>
        </w:tc>
        <w:tc>
          <w:tcPr>
            <w:tcW w:w="2289" w:type="dxa"/>
            <w:tcBorders>
              <w:top w:val="nil"/>
              <w:left w:val="nil"/>
              <w:bottom w:val="nil"/>
              <w:right w:val="single" w:sz="4" w:space="0" w:color="auto"/>
            </w:tcBorders>
            <w:shd w:val="clear" w:color="000000" w:fill="FFFFFF"/>
            <w:hideMark/>
          </w:tcPr>
          <w:p w:rsidR="00236E18" w:rsidRPr="00371284" w:rsidRDefault="00236E18" w:rsidP="00294272">
            <w:pPr>
              <w:ind w:left="197"/>
              <w:rPr>
                <w:rFonts w:eastAsia="Times New Roman"/>
                <w:sz w:val="16"/>
                <w:szCs w:val="16"/>
              </w:rPr>
            </w:pPr>
          </w:p>
          <w:p w:rsidR="00236E18" w:rsidRPr="00371284" w:rsidRDefault="00236E18" w:rsidP="00294272">
            <w:pPr>
              <w:ind w:left="197"/>
              <w:rPr>
                <w:rFonts w:eastAsia="Times New Roman"/>
                <w:sz w:val="16"/>
                <w:szCs w:val="16"/>
              </w:rPr>
            </w:pPr>
            <w:r w:rsidRPr="00371284">
              <w:rPr>
                <w:rFonts w:eastAsia="Times New Roman"/>
                <w:sz w:val="16"/>
                <w:szCs w:val="16"/>
              </w:rPr>
              <w:t>Nuevo mecanismo que tiene en cuenta las recomendaciones resultantes de las evaluaciones de los proyectos de la A.D., examinados durante las sesiones 12ª, 13ª, 14ª y 15ª del CDIP.</w:t>
            </w:r>
          </w:p>
          <w:p w:rsidR="00236E18" w:rsidRPr="00371284" w:rsidRDefault="00236E18" w:rsidP="00294272">
            <w:pPr>
              <w:ind w:left="197"/>
              <w:rPr>
                <w:rFonts w:eastAsia="Times New Roman"/>
                <w:sz w:val="16"/>
                <w:szCs w:val="16"/>
              </w:rPr>
            </w:pPr>
          </w:p>
        </w:tc>
      </w:tr>
      <w:tr w:rsidR="00236E18" w:rsidRPr="00371284" w:rsidTr="00294272">
        <w:trPr>
          <w:trHeight w:val="1410"/>
        </w:trPr>
        <w:tc>
          <w:tcPr>
            <w:tcW w:w="2440" w:type="dxa"/>
            <w:tcBorders>
              <w:top w:val="nil"/>
              <w:left w:val="single" w:sz="4" w:space="0" w:color="auto"/>
              <w:bottom w:val="nil"/>
              <w:right w:val="nil"/>
            </w:tcBorders>
            <w:shd w:val="clear" w:color="000000" w:fill="FFFFFF"/>
            <w:hideMark/>
          </w:tcPr>
          <w:p w:rsidR="00236E18" w:rsidRPr="00DB14B1" w:rsidRDefault="00236E18" w:rsidP="00294272">
            <w:pPr>
              <w:rPr>
                <w:rFonts w:eastAsia="Times New Roman"/>
                <w:sz w:val="16"/>
                <w:szCs w:val="16"/>
              </w:rPr>
            </w:pPr>
            <w:r w:rsidRPr="00DB14B1">
              <w:rPr>
                <w:rFonts w:eastAsia="Times New Roman"/>
                <w:sz w:val="16"/>
                <w:szCs w:val="16"/>
              </w:rPr>
              <w:t xml:space="preserve">III.5  </w:t>
            </w:r>
            <w:r w:rsidRPr="00DB14B1">
              <w:rPr>
                <w:sz w:val="16"/>
                <w:szCs w:val="16"/>
                <w:lang w:val="es-ES_tradnl"/>
              </w:rPr>
              <w:t>Mejor comprensión de la Agenda para el Desarrollo por los Estados miembros, las OIG, la sociedad civil y demás partes interesadas</w:t>
            </w:r>
          </w:p>
        </w:tc>
        <w:tc>
          <w:tcPr>
            <w:tcW w:w="2580" w:type="dxa"/>
            <w:tcBorders>
              <w:top w:val="nil"/>
              <w:left w:val="nil"/>
              <w:bottom w:val="nil"/>
              <w:right w:val="nil"/>
            </w:tcBorders>
            <w:shd w:val="clear" w:color="000000" w:fill="FFFFFF"/>
            <w:hideMark/>
          </w:tcPr>
          <w:p w:rsidR="00236E18" w:rsidRPr="00371284" w:rsidRDefault="00236E18" w:rsidP="00294272">
            <w:pPr>
              <w:ind w:left="161"/>
              <w:rPr>
                <w:rFonts w:eastAsia="Times New Roman"/>
                <w:sz w:val="16"/>
                <w:szCs w:val="16"/>
              </w:rPr>
            </w:pPr>
            <w:r w:rsidRPr="00371284">
              <w:rPr>
                <w:rFonts w:eastAsia="Times New Roman"/>
                <w:sz w:val="16"/>
                <w:szCs w:val="16"/>
              </w:rPr>
              <w:t xml:space="preserve">Las actividades d asistencia técnica realizadas por la OMPI reflejan la dimensión relativa a la Agenda para el Desarrollo y los resultados de los proyectos de la A.D. </w:t>
            </w:r>
          </w:p>
          <w:p w:rsidR="00236E18" w:rsidRPr="00371284" w:rsidRDefault="00236E18" w:rsidP="00294272">
            <w:pPr>
              <w:ind w:left="161"/>
              <w:rPr>
                <w:rFonts w:eastAsia="Times New Roman"/>
                <w:sz w:val="16"/>
                <w:szCs w:val="16"/>
              </w:rPr>
            </w:pPr>
          </w:p>
        </w:tc>
        <w:tc>
          <w:tcPr>
            <w:tcW w:w="1920" w:type="dxa"/>
            <w:tcBorders>
              <w:top w:val="nil"/>
              <w:left w:val="nil"/>
              <w:bottom w:val="nil"/>
              <w:right w:val="nil"/>
            </w:tcBorders>
            <w:shd w:val="clear" w:color="000000" w:fill="FFFFFF"/>
            <w:hideMark/>
          </w:tcPr>
          <w:p w:rsidR="00236E18" w:rsidRPr="00371284" w:rsidRDefault="00236E18" w:rsidP="00294272">
            <w:pPr>
              <w:ind w:left="274"/>
              <w:rPr>
                <w:rFonts w:eastAsia="Times New Roman"/>
                <w:sz w:val="16"/>
                <w:szCs w:val="16"/>
              </w:rPr>
            </w:pPr>
            <w:proofErr w:type="spellStart"/>
            <w:r w:rsidRPr="00371284">
              <w:rPr>
                <w:rFonts w:eastAsia="Times New Roman"/>
                <w:sz w:val="16"/>
                <w:szCs w:val="16"/>
              </w:rPr>
              <w:t>n.d</w:t>
            </w:r>
            <w:proofErr w:type="spellEnd"/>
            <w:r w:rsidRPr="00371284">
              <w:rPr>
                <w:rFonts w:eastAsia="Times New Roman"/>
                <w:sz w:val="16"/>
                <w:szCs w:val="16"/>
              </w:rPr>
              <w:t>.(nuevos indicadores de rendimiento)</w:t>
            </w:r>
          </w:p>
        </w:tc>
        <w:tc>
          <w:tcPr>
            <w:tcW w:w="2289" w:type="dxa"/>
            <w:tcBorders>
              <w:top w:val="nil"/>
              <w:left w:val="nil"/>
              <w:bottom w:val="nil"/>
              <w:right w:val="single" w:sz="4" w:space="0" w:color="auto"/>
            </w:tcBorders>
            <w:shd w:val="clear" w:color="000000" w:fill="FFFFFF"/>
            <w:hideMark/>
          </w:tcPr>
          <w:p w:rsidR="00236E18" w:rsidRPr="00371284" w:rsidRDefault="00236E18" w:rsidP="00294272">
            <w:pPr>
              <w:ind w:left="197"/>
              <w:rPr>
                <w:rFonts w:eastAsia="Times New Roman"/>
                <w:sz w:val="16"/>
                <w:szCs w:val="16"/>
              </w:rPr>
            </w:pPr>
            <w:r w:rsidRPr="00371284">
              <w:rPr>
                <w:rFonts w:eastAsia="Times New Roman"/>
                <w:sz w:val="16"/>
                <w:szCs w:val="16"/>
              </w:rPr>
              <w:t>Se elabora un sistema que permite que todas las actividades de asistencia técnica se realicen de conformidad con los principios de la A.D.</w:t>
            </w:r>
          </w:p>
        </w:tc>
      </w:tr>
      <w:tr w:rsidR="00236E18" w:rsidRPr="00371284" w:rsidTr="00294272">
        <w:trPr>
          <w:trHeight w:val="1228"/>
        </w:trPr>
        <w:tc>
          <w:tcPr>
            <w:tcW w:w="2440" w:type="dxa"/>
            <w:tcBorders>
              <w:top w:val="nil"/>
              <w:left w:val="single" w:sz="4" w:space="0" w:color="auto"/>
              <w:bottom w:val="single" w:sz="4" w:space="0" w:color="auto"/>
              <w:right w:val="nil"/>
            </w:tcBorders>
            <w:shd w:val="clear" w:color="000000" w:fill="FFFFFF"/>
            <w:hideMark/>
          </w:tcPr>
          <w:p w:rsidR="00236E18" w:rsidRPr="00371284" w:rsidRDefault="00236E18" w:rsidP="00294272">
            <w:pPr>
              <w:rPr>
                <w:rFonts w:eastAsia="Times New Roman"/>
                <w:sz w:val="16"/>
                <w:szCs w:val="16"/>
              </w:rPr>
            </w:pPr>
            <w:r w:rsidRPr="00371284">
              <w:rPr>
                <w:rFonts w:eastAsia="Times New Roman"/>
                <w:sz w:val="16"/>
                <w:szCs w:val="16"/>
              </w:rPr>
              <w:t> </w:t>
            </w:r>
          </w:p>
        </w:tc>
        <w:tc>
          <w:tcPr>
            <w:tcW w:w="2580" w:type="dxa"/>
            <w:tcBorders>
              <w:top w:val="nil"/>
              <w:left w:val="nil"/>
              <w:bottom w:val="single" w:sz="4" w:space="0" w:color="auto"/>
              <w:right w:val="nil"/>
            </w:tcBorders>
            <w:shd w:val="clear" w:color="000000" w:fill="FFFFFF"/>
            <w:hideMark/>
          </w:tcPr>
          <w:p w:rsidR="00236E18" w:rsidRPr="00371284" w:rsidRDefault="00236E18" w:rsidP="00294272">
            <w:pPr>
              <w:ind w:left="161"/>
              <w:rPr>
                <w:rFonts w:eastAsia="Times New Roman"/>
                <w:sz w:val="16"/>
                <w:szCs w:val="16"/>
              </w:rPr>
            </w:pPr>
            <w:r w:rsidRPr="00371284">
              <w:rPr>
                <w:rFonts w:eastAsia="Times New Roman"/>
                <w:sz w:val="16"/>
                <w:szCs w:val="16"/>
              </w:rPr>
              <w:t xml:space="preserve">Porcentaje de satisfacción de los participantes en los eventos de la Agenda para el Desarrollo de la OMPI dirigidos a los Estados miembros, la sociedad civil, las OIG y las partes interesadas </w:t>
            </w:r>
            <w:r>
              <w:rPr>
                <w:rFonts w:eastAsia="Times New Roman"/>
                <w:sz w:val="16"/>
                <w:szCs w:val="16"/>
              </w:rPr>
              <w:br/>
            </w:r>
          </w:p>
        </w:tc>
        <w:tc>
          <w:tcPr>
            <w:tcW w:w="1920" w:type="dxa"/>
            <w:tcBorders>
              <w:top w:val="nil"/>
              <w:left w:val="nil"/>
              <w:bottom w:val="single" w:sz="4" w:space="0" w:color="auto"/>
              <w:right w:val="nil"/>
            </w:tcBorders>
            <w:shd w:val="clear" w:color="000000" w:fill="FFFFFF"/>
            <w:hideMark/>
          </w:tcPr>
          <w:p w:rsidR="00236E18" w:rsidRPr="00371284" w:rsidRDefault="00236E18" w:rsidP="00294272">
            <w:pPr>
              <w:ind w:left="274"/>
              <w:rPr>
                <w:rFonts w:eastAsia="Times New Roman"/>
                <w:sz w:val="16"/>
                <w:szCs w:val="16"/>
              </w:rPr>
            </w:pPr>
            <w:proofErr w:type="spellStart"/>
            <w:r w:rsidRPr="00371284">
              <w:rPr>
                <w:rFonts w:eastAsia="Times New Roman"/>
                <w:sz w:val="16"/>
                <w:szCs w:val="16"/>
              </w:rPr>
              <w:t>n.d</w:t>
            </w:r>
            <w:proofErr w:type="spellEnd"/>
            <w:r w:rsidRPr="00371284">
              <w:rPr>
                <w:rFonts w:eastAsia="Times New Roman"/>
                <w:sz w:val="16"/>
                <w:szCs w:val="16"/>
              </w:rPr>
              <w:t>. en 2014 (según el informe sobre el rendimiento de los programas de 2014)</w:t>
            </w:r>
          </w:p>
        </w:tc>
        <w:tc>
          <w:tcPr>
            <w:tcW w:w="2289" w:type="dxa"/>
            <w:tcBorders>
              <w:top w:val="nil"/>
              <w:left w:val="nil"/>
              <w:bottom w:val="single" w:sz="4" w:space="0" w:color="auto"/>
              <w:right w:val="single" w:sz="4" w:space="0" w:color="auto"/>
            </w:tcBorders>
            <w:shd w:val="clear" w:color="000000" w:fill="FFFFFF"/>
            <w:hideMark/>
          </w:tcPr>
          <w:p w:rsidR="00236E18" w:rsidRPr="00371284" w:rsidRDefault="00236E18" w:rsidP="00294272">
            <w:pPr>
              <w:ind w:left="197"/>
              <w:rPr>
                <w:rFonts w:eastAsia="Times New Roman"/>
                <w:sz w:val="16"/>
                <w:szCs w:val="16"/>
              </w:rPr>
            </w:pPr>
            <w:r w:rsidRPr="00371284">
              <w:rPr>
                <w:rFonts w:eastAsia="Times New Roman"/>
                <w:sz w:val="16"/>
                <w:szCs w:val="16"/>
              </w:rPr>
              <w:t>80%</w:t>
            </w:r>
          </w:p>
        </w:tc>
      </w:tr>
    </w:tbl>
    <w:p w:rsidR="00236E18" w:rsidRPr="00371284" w:rsidRDefault="00236E18" w:rsidP="00236E18">
      <w:pPr>
        <w:rPr>
          <w:sz w:val="20"/>
        </w:rPr>
      </w:pPr>
    </w:p>
    <w:p w:rsidR="00236E18" w:rsidRPr="00371284" w:rsidRDefault="00236E18" w:rsidP="00236E18">
      <w:pPr>
        <w:rPr>
          <w:sz w:val="20"/>
        </w:rPr>
      </w:pPr>
    </w:p>
    <w:p w:rsidR="00236E18" w:rsidRPr="00497DA7" w:rsidRDefault="00236E18" w:rsidP="00236E18">
      <w:r w:rsidRPr="00497DA7">
        <w:t>RECURSOS PARA EL PROGRAMA 8</w:t>
      </w:r>
    </w:p>
    <w:p w:rsidR="00236E18" w:rsidRPr="00497DA7" w:rsidRDefault="00236E18" w:rsidP="00236E18">
      <w:pPr>
        <w:jc w:val="both"/>
        <w:rPr>
          <w:sz w:val="20"/>
        </w:rPr>
      </w:pPr>
    </w:p>
    <w:p w:rsidR="00236E18" w:rsidRPr="00497DA7" w:rsidRDefault="00236E18" w:rsidP="00236E18">
      <w:pPr>
        <w:pStyle w:val="ListParagraph"/>
        <w:numPr>
          <w:ilvl w:val="1"/>
          <w:numId w:val="20"/>
        </w:numPr>
        <w:tabs>
          <w:tab w:val="left" w:pos="567"/>
        </w:tabs>
        <w:autoSpaceDE w:val="0"/>
        <w:autoSpaceDN w:val="0"/>
        <w:adjustRightInd w:val="0"/>
        <w:jc w:val="both"/>
        <w:rPr>
          <w:rFonts w:ascii="Arial" w:hAnsi="Arial" w:cs="Arial"/>
          <w:sz w:val="20"/>
          <w:lang w:val="es-ES"/>
        </w:rPr>
      </w:pPr>
      <w:r w:rsidRPr="00EB43D0">
        <w:rPr>
          <w:rFonts w:ascii="Arial" w:hAnsi="Arial" w:cs="Arial"/>
          <w:sz w:val="20"/>
          <w:szCs w:val="20"/>
          <w:lang w:val="es-ES_tradnl"/>
        </w:rPr>
        <w:t>L</w:t>
      </w:r>
      <w:r>
        <w:rPr>
          <w:rFonts w:ascii="Arial" w:hAnsi="Arial" w:cs="Arial"/>
          <w:sz w:val="20"/>
          <w:szCs w:val="20"/>
          <w:lang w:val="es-ES_tradnl"/>
        </w:rPr>
        <w:t>a dotación global de</w:t>
      </w:r>
      <w:r w:rsidRPr="00EB43D0">
        <w:rPr>
          <w:rFonts w:ascii="Arial" w:hAnsi="Arial" w:cs="Arial"/>
          <w:sz w:val="20"/>
          <w:szCs w:val="20"/>
          <w:lang w:val="es-ES_tradnl"/>
        </w:rPr>
        <w:t xml:space="preserve"> recursos </w:t>
      </w:r>
      <w:r>
        <w:rPr>
          <w:rFonts w:ascii="Arial" w:hAnsi="Arial" w:cs="Arial"/>
          <w:sz w:val="20"/>
          <w:szCs w:val="20"/>
          <w:lang w:val="es-ES_tradnl"/>
        </w:rPr>
        <w:t xml:space="preserve">para </w:t>
      </w:r>
      <w:r w:rsidRPr="00EB43D0">
        <w:rPr>
          <w:rFonts w:ascii="Arial" w:hAnsi="Arial" w:cs="Arial"/>
          <w:sz w:val="20"/>
          <w:szCs w:val="20"/>
          <w:lang w:val="es-ES_tradnl"/>
        </w:rPr>
        <w:t xml:space="preserve">el programa 8 en el bienio 2016/17 se mantiene al mismo nivel que </w:t>
      </w:r>
      <w:r>
        <w:rPr>
          <w:rFonts w:ascii="Arial" w:hAnsi="Arial" w:cs="Arial"/>
          <w:sz w:val="20"/>
          <w:szCs w:val="20"/>
          <w:lang w:val="es-ES_tradnl"/>
        </w:rPr>
        <w:t>en</w:t>
      </w:r>
      <w:r w:rsidRPr="00EB43D0">
        <w:rPr>
          <w:rFonts w:ascii="Arial" w:hAnsi="Arial" w:cs="Arial"/>
          <w:sz w:val="20"/>
          <w:szCs w:val="20"/>
          <w:lang w:val="es-ES_tradnl"/>
        </w:rPr>
        <w:t xml:space="preserve"> el presupuesto de 2014/</w:t>
      </w:r>
      <w:r>
        <w:rPr>
          <w:rFonts w:ascii="Arial" w:hAnsi="Arial" w:cs="Arial"/>
          <w:sz w:val="20"/>
          <w:szCs w:val="20"/>
          <w:lang w:val="es-ES_tradnl"/>
        </w:rPr>
        <w:t>15 tras las</w:t>
      </w:r>
      <w:r w:rsidRPr="00EB43D0">
        <w:rPr>
          <w:rFonts w:ascii="Arial" w:hAnsi="Arial" w:cs="Arial"/>
          <w:sz w:val="20"/>
          <w:szCs w:val="20"/>
          <w:lang w:val="es-ES_tradnl"/>
        </w:rPr>
        <w:t xml:space="preserve"> transferencias.  Las diferencias en los recursos que se observan en los resultados previstos III.3 y III.5 se deben principalmente al aplazamiento de la Conferencia Internacional sobre P.I. y Desarrollo de 2014/15 a 2016/17, y al especial hincapié que se hace en la actividades de la Agenda para el Desarrollo de la OMPI dirigidas a los Estados miembros, las OIG, la sociedad civil y otras partes interesadas.  Como consecuencia, se destinan más recursos a las actividades a realizar en el marco del resultado previsto III.5.</w:t>
      </w:r>
    </w:p>
    <w:p w:rsidR="00236E18" w:rsidRPr="00497DA7" w:rsidRDefault="00236E18" w:rsidP="00236E18">
      <w:pPr>
        <w:jc w:val="both"/>
        <w:rPr>
          <w:sz w:val="20"/>
        </w:rPr>
      </w:pPr>
    </w:p>
    <w:p w:rsidR="00236E18" w:rsidRPr="00497DA7" w:rsidRDefault="00236E18" w:rsidP="00236E18">
      <w:pPr>
        <w:rPr>
          <w:sz w:val="20"/>
        </w:rPr>
      </w:pPr>
    </w:p>
    <w:p w:rsidR="00236E18" w:rsidRPr="00497DA7" w:rsidRDefault="00236E18" w:rsidP="00236E18">
      <w:pPr>
        <w:pStyle w:val="ListParagraph"/>
        <w:keepNext/>
        <w:keepLines/>
        <w:spacing w:after="240"/>
        <w:jc w:val="center"/>
        <w:rPr>
          <w:rFonts w:ascii="Arial" w:hAnsi="Arial" w:cs="Arial"/>
          <w:b/>
          <w:sz w:val="20"/>
          <w:lang w:val="es-ES_tradnl"/>
        </w:rPr>
      </w:pPr>
      <w:r w:rsidRPr="00497DA7">
        <w:rPr>
          <w:rFonts w:ascii="Arial" w:hAnsi="Arial" w:cs="Arial"/>
          <w:b/>
          <w:sz w:val="20"/>
          <w:lang w:val="es-ES_tradnl"/>
        </w:rPr>
        <w:lastRenderedPageBreak/>
        <w:t>Programa 8</w:t>
      </w:r>
      <w:proofErr w:type="gramStart"/>
      <w:r w:rsidRPr="00497DA7">
        <w:rPr>
          <w:rFonts w:ascii="Arial" w:hAnsi="Arial" w:cs="Arial"/>
          <w:b/>
          <w:sz w:val="20"/>
          <w:lang w:val="es-ES_tradnl"/>
        </w:rPr>
        <w:t xml:space="preserve">: </w:t>
      </w:r>
      <w:r>
        <w:rPr>
          <w:rFonts w:ascii="Arial" w:hAnsi="Arial" w:cs="Arial"/>
          <w:b/>
          <w:sz w:val="20"/>
          <w:lang w:val="es-ES_tradnl"/>
        </w:rPr>
        <w:t xml:space="preserve"> </w:t>
      </w:r>
      <w:r w:rsidRPr="00497DA7">
        <w:rPr>
          <w:rFonts w:ascii="Arial" w:hAnsi="Arial" w:cs="Arial"/>
          <w:b/>
          <w:sz w:val="20"/>
          <w:lang w:val="es-ES_tradnl"/>
        </w:rPr>
        <w:t>Recursos</w:t>
      </w:r>
      <w:proofErr w:type="gramEnd"/>
      <w:r w:rsidRPr="00497DA7">
        <w:rPr>
          <w:rFonts w:ascii="Arial" w:hAnsi="Arial" w:cs="Arial"/>
          <w:b/>
          <w:sz w:val="20"/>
          <w:lang w:val="es-ES_tradnl"/>
        </w:rPr>
        <w:t xml:space="preserve"> por resultado</w:t>
      </w:r>
    </w:p>
    <w:p w:rsidR="00236E18" w:rsidRPr="00497DA7" w:rsidRDefault="00236E18" w:rsidP="00236E18">
      <w:pPr>
        <w:pStyle w:val="ListParagraph"/>
        <w:keepNext/>
        <w:keepLines/>
        <w:tabs>
          <w:tab w:val="left" w:pos="9072"/>
        </w:tabs>
        <w:spacing w:after="240"/>
        <w:jc w:val="center"/>
        <w:rPr>
          <w:rFonts w:ascii="Arial" w:hAnsi="Arial" w:cs="Arial"/>
          <w:i/>
          <w:sz w:val="20"/>
          <w:lang w:val="es-ES_tradnl"/>
        </w:rPr>
      </w:pPr>
      <w:r w:rsidRPr="00497DA7">
        <w:rPr>
          <w:rFonts w:ascii="Arial" w:hAnsi="Arial" w:cs="Arial"/>
          <w:i/>
          <w:sz w:val="20"/>
          <w:lang w:val="es-ES_tradnl"/>
        </w:rPr>
        <w:t>(</w:t>
      </w:r>
      <w:proofErr w:type="gramStart"/>
      <w:r w:rsidRPr="00497DA7">
        <w:rPr>
          <w:rFonts w:ascii="Arial" w:hAnsi="Arial" w:cs="Arial"/>
          <w:i/>
          <w:sz w:val="20"/>
          <w:lang w:val="es-ES_tradnl"/>
        </w:rPr>
        <w:t>en</w:t>
      </w:r>
      <w:proofErr w:type="gramEnd"/>
      <w:r w:rsidRPr="00497DA7">
        <w:rPr>
          <w:rFonts w:ascii="Arial" w:hAnsi="Arial" w:cs="Arial"/>
          <w:i/>
          <w:sz w:val="20"/>
          <w:lang w:val="es-ES_tradnl"/>
        </w:rPr>
        <w:t xml:space="preserve"> miles de francos suizos)</w:t>
      </w:r>
    </w:p>
    <w:p w:rsidR="00236E18" w:rsidRPr="00497DA7" w:rsidRDefault="00236E18" w:rsidP="00236E18">
      <w:pPr>
        <w:pStyle w:val="ListParagraph"/>
        <w:keepNext/>
        <w:keepLines/>
        <w:spacing w:after="240"/>
        <w:ind w:left="284" w:firstLine="436"/>
        <w:jc w:val="center"/>
        <w:rPr>
          <w:rFonts w:ascii="Arial" w:hAnsi="Arial" w:cs="Arial"/>
          <w:i/>
          <w:sz w:val="20"/>
          <w:lang w:val="es-ES_tradnl"/>
        </w:rPr>
      </w:pPr>
    </w:p>
    <w:p w:rsidR="00236E18" w:rsidRPr="000A0481" w:rsidRDefault="00236E18" w:rsidP="00236E18">
      <w:pPr>
        <w:pStyle w:val="ListParagraph"/>
        <w:keepNext/>
        <w:keepLines/>
        <w:tabs>
          <w:tab w:val="left" w:pos="9072"/>
        </w:tabs>
        <w:spacing w:after="240"/>
        <w:ind w:left="0"/>
        <w:jc w:val="center"/>
        <w:rPr>
          <w:rFonts w:ascii="Arial" w:hAnsi="Arial" w:cs="Arial"/>
          <w:i/>
          <w:sz w:val="20"/>
          <w:highlight w:val="lightGray"/>
        </w:rPr>
      </w:pPr>
      <w:r w:rsidRPr="00DB14B1">
        <w:rPr>
          <w:noProof/>
          <w:lang w:eastAsia="en-US"/>
        </w:rPr>
        <w:drawing>
          <wp:inline distT="0" distB="0" distL="0" distR="0" wp14:anchorId="36AFB3AE" wp14:editId="0D8CECA3">
            <wp:extent cx="5486400" cy="1616710"/>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486400" cy="1616710"/>
                    </a:xfrm>
                    <a:prstGeom prst="rect">
                      <a:avLst/>
                    </a:prstGeom>
                    <a:noFill/>
                    <a:ln>
                      <a:noFill/>
                    </a:ln>
                  </pic:spPr>
                </pic:pic>
              </a:graphicData>
            </a:graphic>
          </wp:inline>
        </w:drawing>
      </w:r>
    </w:p>
    <w:p w:rsidR="00236E18" w:rsidRPr="000A0481" w:rsidRDefault="00236E18" w:rsidP="00236E18">
      <w:pPr>
        <w:pStyle w:val="ListParagraph"/>
        <w:spacing w:after="240"/>
        <w:jc w:val="center"/>
        <w:rPr>
          <w:rFonts w:ascii="Arial" w:hAnsi="Arial" w:cs="Arial"/>
          <w:i/>
          <w:sz w:val="20"/>
          <w:highlight w:val="lightGray"/>
        </w:rPr>
      </w:pPr>
    </w:p>
    <w:p w:rsidR="00236E18" w:rsidRPr="00736AC4" w:rsidRDefault="00236E18" w:rsidP="00236E18">
      <w:pPr>
        <w:pStyle w:val="ListParagraph"/>
        <w:spacing w:after="240"/>
        <w:ind w:left="0"/>
        <w:jc w:val="center"/>
        <w:rPr>
          <w:rFonts w:ascii="Arial" w:hAnsi="Arial" w:cs="Arial"/>
          <w:sz w:val="20"/>
          <w:highlight w:val="lightGray"/>
        </w:rPr>
      </w:pPr>
    </w:p>
    <w:p w:rsidR="00236E18" w:rsidRPr="00736AC4" w:rsidRDefault="00236E18" w:rsidP="00236E18">
      <w:pPr>
        <w:pStyle w:val="ListParagraph"/>
        <w:keepNext/>
        <w:keepLines/>
        <w:spacing w:after="240"/>
        <w:ind w:left="0"/>
        <w:jc w:val="center"/>
        <w:rPr>
          <w:rFonts w:ascii="Arial" w:hAnsi="Arial" w:cs="Arial"/>
          <w:b/>
          <w:sz w:val="20"/>
          <w:lang w:val="es-ES_tradnl"/>
        </w:rPr>
      </w:pPr>
      <w:r w:rsidRPr="00736AC4">
        <w:rPr>
          <w:rFonts w:ascii="Arial" w:hAnsi="Arial" w:cs="Arial"/>
          <w:b/>
          <w:sz w:val="20"/>
          <w:lang w:val="es-ES_tradnl"/>
        </w:rPr>
        <w:t>Programa 8</w:t>
      </w:r>
      <w:proofErr w:type="gramStart"/>
      <w:r>
        <w:rPr>
          <w:rFonts w:ascii="Arial" w:hAnsi="Arial" w:cs="Arial"/>
          <w:b/>
          <w:sz w:val="20"/>
          <w:lang w:val="es-ES_tradnl"/>
        </w:rPr>
        <w:t>:  Recursos</w:t>
      </w:r>
      <w:proofErr w:type="gramEnd"/>
      <w:r>
        <w:rPr>
          <w:rFonts w:ascii="Arial" w:hAnsi="Arial" w:cs="Arial"/>
          <w:b/>
          <w:sz w:val="20"/>
          <w:lang w:val="es-ES_tradnl"/>
        </w:rPr>
        <w:t xml:space="preserve"> por objeto de gasto</w:t>
      </w:r>
    </w:p>
    <w:p w:rsidR="00236E18" w:rsidRPr="001F63E6" w:rsidRDefault="00236E18" w:rsidP="00236E18">
      <w:pPr>
        <w:pStyle w:val="ListParagraph"/>
        <w:keepNext/>
        <w:keepLines/>
        <w:spacing w:after="240"/>
        <w:ind w:left="0"/>
        <w:jc w:val="center"/>
        <w:rPr>
          <w:rFonts w:ascii="Arial" w:hAnsi="Arial" w:cs="Arial"/>
          <w:i/>
          <w:sz w:val="20"/>
          <w:highlight w:val="lightGray"/>
          <w:lang w:val="es-ES_tradnl"/>
        </w:rPr>
      </w:pPr>
      <w:r w:rsidRPr="00736AC4">
        <w:rPr>
          <w:rFonts w:ascii="Arial" w:hAnsi="Arial" w:cs="Arial"/>
          <w:i/>
          <w:sz w:val="20"/>
          <w:lang w:val="es-ES_tradnl"/>
        </w:rPr>
        <w:t>(</w:t>
      </w:r>
      <w:proofErr w:type="gramStart"/>
      <w:r w:rsidRPr="00736AC4">
        <w:rPr>
          <w:rFonts w:ascii="Arial" w:hAnsi="Arial" w:cs="Arial"/>
          <w:i/>
          <w:sz w:val="20"/>
          <w:lang w:val="es-ES_tradnl"/>
        </w:rPr>
        <w:t>en</w:t>
      </w:r>
      <w:proofErr w:type="gramEnd"/>
      <w:r w:rsidRPr="00736AC4">
        <w:rPr>
          <w:rFonts w:ascii="Arial" w:hAnsi="Arial" w:cs="Arial"/>
          <w:i/>
          <w:sz w:val="20"/>
          <w:lang w:val="es-ES_tradnl"/>
        </w:rPr>
        <w:t xml:space="preserve"> miles de francos suizos</w:t>
      </w:r>
      <w:r w:rsidRPr="00452A7E">
        <w:rPr>
          <w:rFonts w:ascii="Arial" w:hAnsi="Arial" w:cs="Arial"/>
          <w:i/>
          <w:color w:val="808080"/>
          <w:sz w:val="20"/>
          <w:lang w:val="es-ES_tradnl"/>
        </w:rPr>
        <w:t>)</w:t>
      </w:r>
    </w:p>
    <w:p w:rsidR="00236E18" w:rsidRPr="001F63E6" w:rsidRDefault="00236E18" w:rsidP="00236E18">
      <w:pPr>
        <w:pStyle w:val="ListParagraph"/>
        <w:keepNext/>
        <w:keepLines/>
        <w:ind w:left="0"/>
        <w:jc w:val="center"/>
        <w:rPr>
          <w:rFonts w:ascii="Arial" w:hAnsi="Arial" w:cs="Arial"/>
          <w:sz w:val="20"/>
          <w:highlight w:val="lightGray"/>
          <w:lang w:val="es-ES_tradnl"/>
        </w:rPr>
      </w:pPr>
    </w:p>
    <w:p w:rsidR="00236E18" w:rsidRPr="009B4A78" w:rsidRDefault="00236E18" w:rsidP="00236E18">
      <w:pPr>
        <w:jc w:val="center"/>
        <w:rPr>
          <w:sz w:val="20"/>
        </w:rPr>
      </w:pPr>
      <w:r>
        <w:rPr>
          <w:noProof/>
          <w:lang w:val="en-US" w:eastAsia="en-US"/>
        </w:rPr>
        <w:drawing>
          <wp:inline distT="0" distB="0" distL="0" distR="0" wp14:anchorId="0A405617" wp14:editId="61335A9D">
            <wp:extent cx="5940425" cy="6080050"/>
            <wp:effectExtent l="0" t="0" r="3175" b="0"/>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0425" cy="6080050"/>
                    </a:xfrm>
                    <a:prstGeom prst="rect">
                      <a:avLst/>
                    </a:prstGeom>
                    <a:noFill/>
                    <a:ln>
                      <a:noFill/>
                    </a:ln>
                  </pic:spPr>
                </pic:pic>
              </a:graphicData>
            </a:graphic>
          </wp:inline>
        </w:drawing>
      </w:r>
    </w:p>
    <w:p w:rsidR="00236E18" w:rsidRDefault="00236E18" w:rsidP="00236E18">
      <w:pPr>
        <w:rPr>
          <w:sz w:val="20"/>
        </w:rPr>
      </w:pPr>
    </w:p>
    <w:p w:rsidR="00236E18" w:rsidRDefault="00236E18" w:rsidP="00236E18">
      <w:pPr>
        <w:rPr>
          <w:szCs w:val="22"/>
        </w:rPr>
      </w:pPr>
      <w:r>
        <w:rPr>
          <w:szCs w:val="22"/>
        </w:rPr>
        <w:br w:type="page"/>
      </w:r>
    </w:p>
    <w:p w:rsidR="00236E18" w:rsidRPr="00B8795A" w:rsidRDefault="00236E18" w:rsidP="00236E18">
      <w:pPr>
        <w:pStyle w:val="StyleStyleHeading3ComplexItalicLatin12pt"/>
        <w:ind w:left="1985" w:hanging="1985"/>
        <w:rPr>
          <w:lang w:val="es-ES"/>
        </w:rPr>
      </w:pPr>
      <w:bookmarkStart w:id="65" w:name="_Toc431573551"/>
      <w:bookmarkStart w:id="66" w:name="_Toc431573952"/>
      <w:r w:rsidRPr="00B8795A">
        <w:rPr>
          <w:lang w:val="es-ES"/>
        </w:rPr>
        <w:lastRenderedPageBreak/>
        <w:t>PROGRAMA 9</w:t>
      </w:r>
      <w:r w:rsidRPr="00B8795A">
        <w:rPr>
          <w:lang w:val="es-ES"/>
        </w:rPr>
        <w:tab/>
        <w:t>PAÍSES AFRICANOS, ÁRABES, DE AMÉRICA LATINA Y EL CARIBE, DE ASIA Y EL PACÍFICO, Y PAÍSES MENOS ADEL</w:t>
      </w:r>
      <w:r>
        <w:rPr>
          <w:lang w:val="es-ES"/>
        </w:rPr>
        <w:t>ANTADOS</w:t>
      </w:r>
      <w:bookmarkEnd w:id="65"/>
      <w:bookmarkEnd w:id="66"/>
    </w:p>
    <w:p w:rsidR="00236E18" w:rsidRPr="0037163B" w:rsidRDefault="00236E18" w:rsidP="00236E18">
      <w:pPr>
        <w:widowControl w:val="0"/>
        <w:jc w:val="both"/>
        <w:rPr>
          <w:bCs/>
        </w:rPr>
      </w:pPr>
    </w:p>
    <w:p w:rsidR="00236E18" w:rsidRPr="0037163B" w:rsidRDefault="00236E18" w:rsidP="00236E18">
      <w:pPr>
        <w:widowControl w:val="0"/>
        <w:jc w:val="both"/>
        <w:rPr>
          <w:bCs/>
        </w:rPr>
      </w:pPr>
    </w:p>
    <w:p w:rsidR="00236E18" w:rsidRPr="0037163B" w:rsidRDefault="00236E18" w:rsidP="00236E18">
      <w:pPr>
        <w:pStyle w:val="ListParagraph"/>
        <w:widowControl w:val="0"/>
        <w:tabs>
          <w:tab w:val="left" w:pos="709"/>
        </w:tabs>
        <w:spacing w:after="240"/>
        <w:ind w:left="0"/>
        <w:jc w:val="both"/>
        <w:rPr>
          <w:rFonts w:ascii="Arial" w:hAnsi="Arial" w:cs="Arial"/>
          <w:bCs/>
          <w:lang w:val="es-ES"/>
        </w:rPr>
      </w:pPr>
      <w:r w:rsidRPr="0037163B">
        <w:rPr>
          <w:rFonts w:ascii="Arial" w:hAnsi="Arial" w:cs="Arial"/>
          <w:bCs/>
          <w:lang w:val="es-ES"/>
        </w:rPr>
        <w:t>CONTEXTO DE PLANIFICACIÓN</w:t>
      </w:r>
    </w:p>
    <w:p w:rsidR="00236E18" w:rsidRDefault="00236E18" w:rsidP="00236E18">
      <w:pPr>
        <w:pStyle w:val="ListParagraph"/>
        <w:widowControl w:val="0"/>
        <w:tabs>
          <w:tab w:val="left" w:pos="709"/>
        </w:tabs>
        <w:spacing w:after="240"/>
        <w:ind w:left="0"/>
        <w:jc w:val="both"/>
        <w:rPr>
          <w:rFonts w:ascii="Arial" w:hAnsi="Arial" w:cs="Arial"/>
          <w:bCs/>
          <w:lang w:val="es-ES"/>
        </w:rPr>
      </w:pPr>
    </w:p>
    <w:p w:rsidR="00236E18" w:rsidRPr="0037163B" w:rsidRDefault="00236E18" w:rsidP="00236E18">
      <w:pPr>
        <w:pStyle w:val="ListParagraph"/>
        <w:widowControl w:val="0"/>
        <w:numPr>
          <w:ilvl w:val="0"/>
          <w:numId w:val="21"/>
        </w:numPr>
        <w:tabs>
          <w:tab w:val="left" w:pos="709"/>
        </w:tabs>
        <w:jc w:val="both"/>
        <w:rPr>
          <w:rFonts w:ascii="Arial" w:hAnsi="Arial" w:cs="Arial"/>
          <w:sz w:val="20"/>
          <w:lang w:val="es-ES"/>
        </w:rPr>
      </w:pPr>
      <w:r w:rsidRPr="0037163B">
        <w:rPr>
          <w:rFonts w:ascii="Arial" w:hAnsi="Arial" w:cs="Arial"/>
          <w:sz w:val="20"/>
          <w:lang w:val="es-ES"/>
        </w:rPr>
        <w:t>De conformidad con la meta estratégica III de la OMPI, el elemento fundamental del programa 9 sigue siendo la facilitación del uso de la P.I. para la promoción del desarrollo económico, social y cultural en los países en desarrollo y los PMA, contribuyendo así al logro de los objetivos de la Agenda para el Desarrollo después de</w:t>
      </w:r>
      <w:r>
        <w:rPr>
          <w:rFonts w:ascii="Arial" w:hAnsi="Arial" w:cs="Arial"/>
          <w:sz w:val="20"/>
          <w:lang w:val="es-ES"/>
        </w:rPr>
        <w:t xml:space="preserve">l </w:t>
      </w:r>
      <w:r w:rsidRPr="0037163B">
        <w:rPr>
          <w:rFonts w:ascii="Arial" w:hAnsi="Arial" w:cs="Arial"/>
          <w:sz w:val="20"/>
          <w:lang w:val="es-ES"/>
        </w:rPr>
        <w:t>2015 y los Objetivos de Desarrollo Sostenible</w:t>
      </w:r>
      <w:r>
        <w:rPr>
          <w:rFonts w:ascii="Arial" w:hAnsi="Arial" w:cs="Arial"/>
          <w:sz w:val="20"/>
          <w:lang w:val="es-ES"/>
        </w:rPr>
        <w:t xml:space="preserve"> (ODS)</w:t>
      </w:r>
      <w:r w:rsidRPr="0037163B">
        <w:rPr>
          <w:rFonts w:ascii="Arial" w:hAnsi="Arial" w:cs="Arial"/>
          <w:sz w:val="20"/>
          <w:lang w:val="es-ES"/>
        </w:rPr>
        <w:t>.  Por consiguiente, el objetivo central de este programa es propiciar el uso eficaz de la P.I. en pro del desarrollo en los Estados miembros de África, la región árabe, Asia y el Pacífico, y los países de América Latina y el Caribe.</w:t>
      </w:r>
    </w:p>
    <w:p w:rsidR="00236E18" w:rsidRPr="0037163B" w:rsidRDefault="00236E18" w:rsidP="00236E18">
      <w:pPr>
        <w:pStyle w:val="ListParagraph"/>
        <w:widowControl w:val="0"/>
        <w:tabs>
          <w:tab w:val="left" w:pos="709"/>
        </w:tabs>
        <w:ind w:left="0"/>
        <w:jc w:val="both"/>
        <w:rPr>
          <w:rFonts w:ascii="Arial" w:hAnsi="Arial" w:cs="Arial"/>
          <w:sz w:val="20"/>
          <w:lang w:val="es-ES"/>
        </w:rPr>
      </w:pPr>
    </w:p>
    <w:p w:rsidR="00236E18" w:rsidRPr="0037163B" w:rsidRDefault="00236E18" w:rsidP="00236E18">
      <w:pPr>
        <w:pStyle w:val="ListParagraph"/>
        <w:widowControl w:val="0"/>
        <w:numPr>
          <w:ilvl w:val="0"/>
          <w:numId w:val="21"/>
        </w:numPr>
        <w:tabs>
          <w:tab w:val="left" w:pos="709"/>
        </w:tabs>
        <w:jc w:val="both"/>
        <w:rPr>
          <w:rFonts w:ascii="Arial" w:hAnsi="Arial" w:cs="Arial"/>
          <w:sz w:val="20"/>
          <w:lang w:val="es-ES"/>
        </w:rPr>
      </w:pPr>
      <w:r w:rsidRPr="0037163B">
        <w:rPr>
          <w:rFonts w:ascii="Arial" w:hAnsi="Arial" w:cs="Arial"/>
          <w:sz w:val="20"/>
          <w:lang w:val="es-ES"/>
        </w:rPr>
        <w:t>El programa tiene por finalidad reforzar la capacidad de los países para utilizar el sistema P.I. como factor coadyuvante al logro de sus metas nacionales de desarrollo, potenciar su participación en la economía del conocimiento y la innovación a nivel mundial, en sintonía con las recomendaciones pertinentes de la Agenda para el Desarrollo (A.D.), y ayudarlos a elaborar y poner en marcha políticas nacionales de P.I. integrales, coherentes y debidamente coordinadas.</w:t>
      </w:r>
    </w:p>
    <w:p w:rsidR="00236E18" w:rsidRPr="0037163B" w:rsidRDefault="00236E18" w:rsidP="00236E18">
      <w:pPr>
        <w:pStyle w:val="ListParagraph"/>
        <w:widowControl w:val="0"/>
        <w:ind w:left="0"/>
        <w:jc w:val="both"/>
        <w:rPr>
          <w:rFonts w:ascii="Arial" w:hAnsi="Arial" w:cs="Arial"/>
          <w:sz w:val="20"/>
          <w:lang w:val="es-ES"/>
        </w:rPr>
      </w:pPr>
    </w:p>
    <w:p w:rsidR="00236E18" w:rsidRPr="0037163B" w:rsidRDefault="00236E18" w:rsidP="00236E18">
      <w:pPr>
        <w:pStyle w:val="ListParagraph"/>
        <w:widowControl w:val="0"/>
        <w:numPr>
          <w:ilvl w:val="0"/>
          <w:numId w:val="21"/>
        </w:numPr>
        <w:tabs>
          <w:tab w:val="left" w:pos="709"/>
        </w:tabs>
        <w:jc w:val="both"/>
        <w:rPr>
          <w:rFonts w:ascii="Arial" w:hAnsi="Arial" w:cs="Arial"/>
          <w:sz w:val="20"/>
          <w:lang w:val="es-ES"/>
        </w:rPr>
      </w:pPr>
      <w:r w:rsidRPr="0037163B">
        <w:rPr>
          <w:rFonts w:ascii="Arial" w:hAnsi="Arial" w:cs="Arial"/>
          <w:sz w:val="20"/>
          <w:lang w:val="es-ES"/>
        </w:rPr>
        <w:t>Para alcanzar esos objetivos será preciso superar varios desafíos importantes</w:t>
      </w:r>
      <w:r>
        <w:rPr>
          <w:rFonts w:ascii="Arial" w:hAnsi="Arial" w:cs="Arial"/>
          <w:sz w:val="20"/>
          <w:lang w:val="es-ES"/>
        </w:rPr>
        <w:t>.  Se trata de</w:t>
      </w:r>
      <w:r w:rsidRPr="0037163B">
        <w:rPr>
          <w:rFonts w:ascii="Arial" w:hAnsi="Arial" w:cs="Arial"/>
          <w:sz w:val="20"/>
          <w:lang w:val="es-ES"/>
        </w:rPr>
        <w:t>:  a)</w:t>
      </w:r>
      <w:r>
        <w:rPr>
          <w:rFonts w:ascii="Arial" w:hAnsi="Arial" w:cs="Arial"/>
          <w:sz w:val="20"/>
          <w:lang w:val="es-ES"/>
        </w:rPr>
        <w:t> </w:t>
      </w:r>
      <w:r w:rsidRPr="0037163B">
        <w:rPr>
          <w:rFonts w:ascii="Arial" w:hAnsi="Arial" w:cs="Arial"/>
          <w:sz w:val="20"/>
          <w:lang w:val="es-ES"/>
        </w:rPr>
        <w:t>recursos limitados;  b) la diversidad de los sistemas sociales, económicos, culturales, políticos y jurídicos;  c) las diferentes etapas de desarrollo en que se halla cada país;  d) la gran cantidad y diversidad de partes interesadas con diferentes necesidades en lo tocante a capacidades, competencias y conocimientos;  d) la necesidad y demanda en continuo aumento de servicios relacionados con el desarrollo, así como de otros servicios de la OMPI;  y e) la dificultad de traducir la noción de una P.I. favorable al desarrollo en resultados concretos</w:t>
      </w:r>
      <w:r>
        <w:rPr>
          <w:rFonts w:ascii="Arial" w:hAnsi="Arial" w:cs="Arial"/>
          <w:sz w:val="20"/>
          <w:lang w:val="es-ES"/>
        </w:rPr>
        <w:t xml:space="preserve"> y sostenibles</w:t>
      </w:r>
      <w:r w:rsidRPr="0037163B">
        <w:rPr>
          <w:rFonts w:ascii="Arial" w:hAnsi="Arial" w:cs="Arial"/>
          <w:sz w:val="20"/>
          <w:lang w:val="es-ES"/>
        </w:rPr>
        <w:t xml:space="preserve"> con ventajas tangibles.  Estos desafíos se ponen de manifiesto en la heterogeneidad de los sistemas nacionales de P.I., en particular en lo que atañe a los marcos institucionales de P.I. y la capacidad de los países de absorber la cooperación técnica.</w:t>
      </w:r>
    </w:p>
    <w:p w:rsidR="00236E18" w:rsidRPr="0037163B" w:rsidRDefault="00236E18" w:rsidP="00236E18">
      <w:pPr>
        <w:pStyle w:val="ListParagraph"/>
        <w:widowControl w:val="0"/>
        <w:tabs>
          <w:tab w:val="left" w:pos="709"/>
        </w:tabs>
        <w:ind w:left="0"/>
        <w:jc w:val="both"/>
        <w:rPr>
          <w:rFonts w:ascii="Arial" w:hAnsi="Arial" w:cs="Arial"/>
          <w:lang w:val="es-ES"/>
        </w:rPr>
      </w:pPr>
    </w:p>
    <w:p w:rsidR="00236E18" w:rsidRPr="0037163B" w:rsidRDefault="00236E18" w:rsidP="00236E18">
      <w:pPr>
        <w:pStyle w:val="ListParagraph"/>
        <w:widowControl w:val="0"/>
        <w:numPr>
          <w:ilvl w:val="0"/>
          <w:numId w:val="21"/>
        </w:numPr>
        <w:tabs>
          <w:tab w:val="left" w:pos="709"/>
        </w:tabs>
        <w:jc w:val="both"/>
        <w:rPr>
          <w:rFonts w:ascii="Arial" w:hAnsi="Arial" w:cs="Arial"/>
          <w:sz w:val="20"/>
          <w:lang w:val="es-ES"/>
        </w:rPr>
      </w:pPr>
      <w:r w:rsidRPr="0037163B">
        <w:rPr>
          <w:rFonts w:ascii="Arial" w:hAnsi="Arial" w:cs="Arial"/>
          <w:sz w:val="20"/>
          <w:lang w:val="es-ES"/>
        </w:rPr>
        <w:t>La concepción, planificación y puesta en marcha de las actividades de cooperación técnica en el marco de este programa se basan e inspiran en las recomendaciones pertinentes de la A.D., en particular las recomendaciones enunciadas en la Categoría A sobre la asistencia técnica y el fortalecimiento de la capacidad de la OMPI.</w:t>
      </w:r>
    </w:p>
    <w:p w:rsidR="00236E18" w:rsidRPr="0037163B" w:rsidRDefault="00236E18" w:rsidP="00236E18">
      <w:pPr>
        <w:pStyle w:val="ListParagraph"/>
        <w:widowControl w:val="0"/>
        <w:tabs>
          <w:tab w:val="left" w:pos="709"/>
        </w:tabs>
        <w:spacing w:after="240"/>
        <w:ind w:left="0"/>
        <w:jc w:val="both"/>
        <w:rPr>
          <w:rFonts w:ascii="Arial" w:hAnsi="Arial" w:cs="Arial"/>
          <w:bCs/>
          <w:lang w:val="es-ES"/>
        </w:rPr>
      </w:pPr>
    </w:p>
    <w:p w:rsidR="00236E18" w:rsidRPr="0037163B" w:rsidRDefault="00236E18" w:rsidP="00236E18">
      <w:pPr>
        <w:pStyle w:val="ListParagraph"/>
        <w:widowControl w:val="0"/>
        <w:tabs>
          <w:tab w:val="left" w:pos="709"/>
        </w:tabs>
        <w:spacing w:after="240"/>
        <w:ind w:left="0"/>
        <w:jc w:val="both"/>
        <w:rPr>
          <w:rFonts w:ascii="Arial" w:hAnsi="Arial" w:cs="Arial"/>
          <w:bCs/>
          <w:lang w:val="es-ES"/>
        </w:rPr>
      </w:pPr>
    </w:p>
    <w:p w:rsidR="00236E18" w:rsidRPr="0037163B" w:rsidRDefault="00236E18" w:rsidP="00236E18">
      <w:pPr>
        <w:pStyle w:val="ListParagraph"/>
        <w:widowControl w:val="0"/>
        <w:tabs>
          <w:tab w:val="left" w:pos="709"/>
        </w:tabs>
        <w:spacing w:after="240"/>
        <w:ind w:left="0"/>
        <w:jc w:val="both"/>
        <w:rPr>
          <w:rFonts w:ascii="Arial" w:hAnsi="Arial" w:cs="Arial"/>
          <w:bCs/>
          <w:lang w:val="es-ES"/>
        </w:rPr>
      </w:pPr>
      <w:r w:rsidRPr="0037163B">
        <w:rPr>
          <w:rFonts w:ascii="Arial" w:hAnsi="Arial" w:cs="Arial"/>
          <w:bCs/>
          <w:lang w:val="es-ES"/>
        </w:rPr>
        <w:t>ESTRATEGIAS DE EJECUCIÓN</w:t>
      </w:r>
    </w:p>
    <w:p w:rsidR="00236E18" w:rsidRPr="0037163B" w:rsidRDefault="00236E18" w:rsidP="00236E18">
      <w:pPr>
        <w:pStyle w:val="ListParagraph"/>
        <w:widowControl w:val="0"/>
        <w:tabs>
          <w:tab w:val="left" w:pos="709"/>
        </w:tabs>
        <w:spacing w:after="240"/>
        <w:ind w:left="0"/>
        <w:jc w:val="both"/>
        <w:rPr>
          <w:rFonts w:ascii="Arial" w:hAnsi="Arial" w:cs="Arial"/>
          <w:bCs/>
          <w:lang w:val="es-ES"/>
        </w:rPr>
      </w:pPr>
    </w:p>
    <w:p w:rsidR="00236E18" w:rsidRPr="0037163B" w:rsidRDefault="00236E18" w:rsidP="00236E18">
      <w:pPr>
        <w:pStyle w:val="ListParagraph"/>
        <w:widowControl w:val="0"/>
        <w:numPr>
          <w:ilvl w:val="0"/>
          <w:numId w:val="21"/>
        </w:numPr>
        <w:tabs>
          <w:tab w:val="left" w:pos="709"/>
        </w:tabs>
        <w:spacing w:after="240"/>
        <w:jc w:val="both"/>
        <w:rPr>
          <w:rFonts w:ascii="Arial" w:hAnsi="Arial" w:cs="Arial"/>
          <w:b/>
          <w:sz w:val="20"/>
          <w:lang w:val="es-ES"/>
        </w:rPr>
      </w:pPr>
      <w:r w:rsidRPr="0037163B">
        <w:rPr>
          <w:rFonts w:ascii="Arial" w:hAnsi="Arial" w:cs="Arial"/>
          <w:sz w:val="20"/>
          <w:lang w:val="es-ES"/>
        </w:rPr>
        <w:t>Para lograr los objetivos mencionados, se otorgará prioridad en el próximo bienio a mejorar la ejecución por parte de la Organización, mediante la coordinación estrecha con otros programas y en consulta constante con los Estados miembros beneficiarios.</w:t>
      </w:r>
    </w:p>
    <w:p w:rsidR="00236E18" w:rsidRPr="0037163B" w:rsidRDefault="00236E18" w:rsidP="00236E18">
      <w:pPr>
        <w:pStyle w:val="ListParagraph"/>
        <w:widowControl w:val="0"/>
        <w:tabs>
          <w:tab w:val="left" w:pos="709"/>
        </w:tabs>
        <w:spacing w:after="240"/>
        <w:ind w:left="0"/>
        <w:jc w:val="both"/>
        <w:rPr>
          <w:rFonts w:ascii="Arial" w:hAnsi="Arial" w:cs="Arial"/>
          <w:b/>
          <w:sz w:val="20"/>
          <w:lang w:val="es-ES"/>
        </w:rPr>
      </w:pPr>
    </w:p>
    <w:p w:rsidR="00236E18" w:rsidRPr="0037163B" w:rsidRDefault="00236E18" w:rsidP="00236E18">
      <w:pPr>
        <w:pStyle w:val="ListParagraph"/>
        <w:widowControl w:val="0"/>
        <w:numPr>
          <w:ilvl w:val="0"/>
          <w:numId w:val="21"/>
        </w:numPr>
        <w:tabs>
          <w:tab w:val="left" w:pos="709"/>
        </w:tabs>
        <w:spacing w:after="240"/>
        <w:jc w:val="both"/>
        <w:rPr>
          <w:rFonts w:ascii="Arial" w:hAnsi="Arial" w:cs="Arial"/>
          <w:b/>
          <w:bCs/>
          <w:sz w:val="20"/>
          <w:lang w:val="es-ES"/>
        </w:rPr>
      </w:pPr>
      <w:r>
        <w:rPr>
          <w:rFonts w:ascii="Arial" w:hAnsi="Arial" w:cs="Arial"/>
          <w:b/>
          <w:sz w:val="20"/>
          <w:lang w:val="es-ES"/>
        </w:rPr>
        <w:t>Estrategias nacionales de P.I.</w:t>
      </w:r>
      <w:r w:rsidRPr="0037163B">
        <w:rPr>
          <w:rFonts w:ascii="Arial" w:hAnsi="Arial" w:cs="Arial"/>
          <w:sz w:val="20"/>
          <w:lang w:val="es-ES"/>
        </w:rPr>
        <w:t xml:space="preserve">  Las estrategias nacionales de P.I. que se elaboren y adopten deberán atender las necesidades específicas de cada país y se elaborarán en el marco de un proceso de consulta nacional incluyente en el que participen, entre otros actores, funcionarios gubernamentales, legisladores, y representantes del sector privado, de las universidades y la sociedad civil.  El requisito básico para el éxito de este proceso es el compromiso del gobierno al más alto nivel, tanto para fines de financiación como de apoyo político.  La metodología para la elaboración de la estrategia de P.I., definida en el marco de un proyecto de la A.D., servirá de base y modelo para la consecución de este objetivo.  La finalidad es aumentar durante el bienio el número de países que posean estrategias personalizadas de P.I.</w:t>
      </w:r>
    </w:p>
    <w:p w:rsidR="00236E18" w:rsidRPr="0037163B" w:rsidRDefault="00236E18" w:rsidP="00236E18">
      <w:pPr>
        <w:pStyle w:val="ListParagraph"/>
        <w:widowControl w:val="0"/>
        <w:tabs>
          <w:tab w:val="left" w:pos="709"/>
        </w:tabs>
        <w:ind w:left="0"/>
        <w:jc w:val="both"/>
        <w:rPr>
          <w:rFonts w:ascii="Arial" w:hAnsi="Arial" w:cs="Arial"/>
          <w:sz w:val="20"/>
          <w:lang w:val="es-ES"/>
        </w:rPr>
      </w:pPr>
    </w:p>
    <w:p w:rsidR="00236E18" w:rsidRPr="0037163B" w:rsidRDefault="00236E18" w:rsidP="00236E18">
      <w:pPr>
        <w:pStyle w:val="ListParagraph"/>
        <w:widowControl w:val="0"/>
        <w:numPr>
          <w:ilvl w:val="0"/>
          <w:numId w:val="21"/>
        </w:numPr>
        <w:tabs>
          <w:tab w:val="left" w:pos="709"/>
        </w:tabs>
        <w:spacing w:after="240"/>
        <w:jc w:val="both"/>
        <w:rPr>
          <w:rFonts w:ascii="Arial" w:hAnsi="Arial" w:cs="Arial"/>
          <w:sz w:val="20"/>
          <w:lang w:val="es-ES"/>
        </w:rPr>
      </w:pPr>
      <w:r w:rsidRPr="0037163B">
        <w:rPr>
          <w:rFonts w:ascii="Arial" w:hAnsi="Arial" w:cs="Arial"/>
          <w:b/>
          <w:sz w:val="20"/>
          <w:lang w:val="es-ES"/>
        </w:rPr>
        <w:t xml:space="preserve">Planes nacionales. </w:t>
      </w:r>
      <w:r w:rsidRPr="0037163B">
        <w:rPr>
          <w:rFonts w:ascii="Arial" w:hAnsi="Arial" w:cs="Arial"/>
          <w:sz w:val="20"/>
          <w:lang w:val="es-ES"/>
        </w:rPr>
        <w:t xml:space="preserve"> El proceso de adopción de estrategias de P.I. es generalmente largo y hasta la fecha solo un número reducido de países lo ha llevado a cabo en su totalidad.  En los países en que el proceso sigue en curso, los planes nacionales siguen siendo la principal herramienta para la prestación de asistencia técnica.  Los planes nacionales, elaborados y supervisados por las Oficinas Regionales en la sede sobre la base de las necesidades y realidades de los países beneficiarios, han sido concebidos para cubrir un periodo mínimo de dos años e incluyen todos los proyectos y actividades </w:t>
      </w:r>
      <w:r>
        <w:rPr>
          <w:rFonts w:ascii="Arial" w:hAnsi="Arial" w:cs="Arial"/>
          <w:sz w:val="20"/>
          <w:lang w:val="es-ES"/>
        </w:rPr>
        <w:t xml:space="preserve">relacionados con la P.I. </w:t>
      </w:r>
      <w:r w:rsidRPr="0037163B">
        <w:rPr>
          <w:rFonts w:ascii="Arial" w:hAnsi="Arial" w:cs="Arial"/>
          <w:sz w:val="20"/>
          <w:lang w:val="es-ES"/>
        </w:rPr>
        <w:t>que se llevarán a cabo en cada país.  Se preparan y aplican en estrecha coordinación con otros programas y las partes interesadas pertinentes en los países beneficiarios.  El objetivo es mejorar la ejecución y la coherencia de la cooperación técnica prestada por la OMPI.</w:t>
      </w:r>
    </w:p>
    <w:p w:rsidR="00236E18" w:rsidRPr="0037163B" w:rsidRDefault="00236E18" w:rsidP="00236E18">
      <w:pPr>
        <w:pStyle w:val="ListParagraph"/>
        <w:widowControl w:val="0"/>
        <w:ind w:left="0"/>
        <w:jc w:val="both"/>
        <w:rPr>
          <w:rFonts w:ascii="Arial" w:hAnsi="Arial" w:cs="Arial"/>
          <w:bCs/>
          <w:sz w:val="20"/>
          <w:lang w:val="es-ES"/>
        </w:rPr>
      </w:pPr>
    </w:p>
    <w:p w:rsidR="00236E18" w:rsidRPr="0037163B" w:rsidRDefault="00236E18" w:rsidP="00236E18">
      <w:pPr>
        <w:pStyle w:val="ListParagraph"/>
        <w:widowControl w:val="0"/>
        <w:numPr>
          <w:ilvl w:val="0"/>
          <w:numId w:val="21"/>
        </w:numPr>
        <w:tabs>
          <w:tab w:val="left" w:pos="709"/>
        </w:tabs>
        <w:spacing w:after="240"/>
        <w:jc w:val="both"/>
        <w:rPr>
          <w:rFonts w:ascii="Arial" w:hAnsi="Arial" w:cs="Arial"/>
          <w:sz w:val="20"/>
          <w:lang w:val="es-ES"/>
        </w:rPr>
      </w:pPr>
      <w:r w:rsidRPr="0037163B">
        <w:rPr>
          <w:rFonts w:ascii="Arial" w:hAnsi="Arial" w:cs="Arial"/>
          <w:b/>
          <w:sz w:val="20"/>
          <w:lang w:val="es-ES"/>
        </w:rPr>
        <w:t>Enfoque basado en proyectos</w:t>
      </w:r>
      <w:r w:rsidRPr="0037163B">
        <w:rPr>
          <w:rFonts w:ascii="Arial" w:hAnsi="Arial" w:cs="Arial"/>
          <w:sz w:val="20"/>
          <w:lang w:val="es-ES"/>
        </w:rPr>
        <w:t>.  Con el fin de maximizar la eficacia de las actividades de asistencia técnica, se proporcionará cooperación técnica cada vez más a través de enfoques basados en proyectos, que potencien la experiencia adquirida en años recientes gracias a la aplicación de la A.D. y otros proyectos de desarrollo especiales.</w:t>
      </w:r>
    </w:p>
    <w:p w:rsidR="00236E18" w:rsidRPr="0037163B" w:rsidRDefault="00236E18" w:rsidP="00236E18">
      <w:pPr>
        <w:pStyle w:val="ListParagraph"/>
        <w:widowControl w:val="0"/>
        <w:tabs>
          <w:tab w:val="left" w:pos="709"/>
        </w:tabs>
        <w:ind w:left="0"/>
        <w:jc w:val="both"/>
        <w:rPr>
          <w:rFonts w:ascii="Arial" w:hAnsi="Arial" w:cs="Arial"/>
          <w:bCs/>
          <w:sz w:val="20"/>
          <w:lang w:val="es-ES"/>
        </w:rPr>
      </w:pPr>
    </w:p>
    <w:p w:rsidR="00236E18" w:rsidRPr="0037163B" w:rsidRDefault="00236E18" w:rsidP="00236E18">
      <w:pPr>
        <w:pStyle w:val="ListParagraph"/>
        <w:widowControl w:val="0"/>
        <w:numPr>
          <w:ilvl w:val="0"/>
          <w:numId w:val="21"/>
        </w:numPr>
        <w:tabs>
          <w:tab w:val="left" w:pos="709"/>
        </w:tabs>
        <w:spacing w:after="240"/>
        <w:jc w:val="both"/>
        <w:rPr>
          <w:rFonts w:ascii="Arial" w:hAnsi="Arial" w:cs="Arial"/>
          <w:sz w:val="20"/>
          <w:lang w:val="es-ES"/>
        </w:rPr>
      </w:pPr>
      <w:r w:rsidRPr="0037163B">
        <w:rPr>
          <w:rFonts w:ascii="Arial" w:hAnsi="Arial" w:cs="Arial"/>
          <w:b/>
          <w:sz w:val="20"/>
          <w:lang w:val="es-ES"/>
        </w:rPr>
        <w:t>Ámbitos abarcados en las diferentes actividades.</w:t>
      </w:r>
      <w:r w:rsidRPr="0037163B">
        <w:rPr>
          <w:rFonts w:ascii="Arial" w:hAnsi="Arial" w:cs="Arial"/>
          <w:sz w:val="20"/>
          <w:lang w:val="es-ES"/>
        </w:rPr>
        <w:t xml:space="preserve">  El programa permitirá seguir reforzando el desarrollo de las aptitudes humanas y profesionales, facilitará la modernización de la infraestructura de la P.I. y el desarrollo de los marcos jurídicos y reglamentarios de la P.I., teniendo en cuenta los compromisos específicos y los objetivos nacionales de desarrollo de los países beneficiarios, y promoviendo la adhesión a los tratados y convenios administrados por la OMPI.  Para esos compromisos, las Oficina Regionales en la sede, en tanto que coordinadores generales, cumplen la función primordial de asegurar la planificación y consecución eficaz y efectiva de resultados concretos y coherentes en los Estados miembros.</w:t>
      </w:r>
    </w:p>
    <w:p w:rsidR="00236E18" w:rsidRPr="0037163B" w:rsidRDefault="00236E18" w:rsidP="00236E18">
      <w:pPr>
        <w:pStyle w:val="ListParagraph"/>
        <w:widowControl w:val="0"/>
        <w:tabs>
          <w:tab w:val="left" w:pos="709"/>
        </w:tabs>
        <w:ind w:left="0"/>
        <w:jc w:val="both"/>
        <w:rPr>
          <w:rFonts w:ascii="Arial" w:hAnsi="Arial" w:cs="Arial"/>
          <w:sz w:val="20"/>
          <w:lang w:val="es-ES"/>
        </w:rPr>
      </w:pPr>
    </w:p>
    <w:p w:rsidR="00236E18" w:rsidRPr="0037163B" w:rsidRDefault="00236E18" w:rsidP="00236E18">
      <w:pPr>
        <w:pStyle w:val="ListParagraph"/>
        <w:widowControl w:val="0"/>
        <w:numPr>
          <w:ilvl w:val="0"/>
          <w:numId w:val="21"/>
        </w:numPr>
        <w:tabs>
          <w:tab w:val="left" w:pos="709"/>
        </w:tabs>
        <w:spacing w:after="240"/>
        <w:jc w:val="both"/>
        <w:rPr>
          <w:rFonts w:ascii="Arial" w:hAnsi="Arial" w:cs="Arial"/>
          <w:sz w:val="20"/>
          <w:lang w:val="es-ES"/>
        </w:rPr>
      </w:pPr>
      <w:r w:rsidRPr="0037163B">
        <w:rPr>
          <w:rFonts w:ascii="Arial" w:hAnsi="Arial" w:cs="Arial"/>
          <w:sz w:val="20"/>
          <w:lang w:val="es-ES"/>
        </w:rPr>
        <w:t xml:space="preserve">Se intensificará la labor destinada a los PMA con el fin de responder a las crecientes necesidades tanto individuales como del conjunto de esos países.  Se prestará especial atención al fortalecimiento de la capacidad nacional y tecnológica en materia de P.I. de los PMA para ayudarlos a alcanzar sus objetivos de desarrollo de reducción de la pobreza, crecimiento económico y desarrollo social y cultural.  En particular, </w:t>
      </w:r>
      <w:r>
        <w:rPr>
          <w:rFonts w:ascii="Arial" w:hAnsi="Arial" w:cs="Arial"/>
          <w:sz w:val="20"/>
          <w:lang w:val="es-ES"/>
        </w:rPr>
        <w:t xml:space="preserve">en el programa de trabajo de </w:t>
      </w:r>
      <w:r w:rsidRPr="0037163B">
        <w:rPr>
          <w:rFonts w:ascii="Arial" w:hAnsi="Arial" w:cs="Arial"/>
          <w:sz w:val="20"/>
          <w:lang w:val="es-ES"/>
        </w:rPr>
        <w:t>la OMPI</w:t>
      </w:r>
      <w:r>
        <w:rPr>
          <w:rFonts w:ascii="Arial" w:hAnsi="Arial" w:cs="Arial"/>
          <w:sz w:val="20"/>
          <w:lang w:val="es-ES"/>
        </w:rPr>
        <w:t xml:space="preserve"> respecto de los PMA se</w:t>
      </w:r>
      <w:r w:rsidRPr="0037163B">
        <w:rPr>
          <w:rFonts w:ascii="Arial" w:hAnsi="Arial" w:cs="Arial"/>
          <w:sz w:val="20"/>
          <w:lang w:val="es-ES"/>
        </w:rPr>
        <w:t xml:space="preserve"> seguirá</w:t>
      </w:r>
      <w:r>
        <w:rPr>
          <w:rFonts w:ascii="Arial" w:hAnsi="Arial" w:cs="Arial"/>
          <w:sz w:val="20"/>
          <w:lang w:val="es-ES"/>
        </w:rPr>
        <w:t xml:space="preserve"> prestando</w:t>
      </w:r>
      <w:r w:rsidRPr="0037163B">
        <w:rPr>
          <w:rFonts w:ascii="Arial" w:hAnsi="Arial" w:cs="Arial"/>
          <w:sz w:val="20"/>
          <w:lang w:val="es-ES"/>
        </w:rPr>
        <w:t xml:space="preserve"> apoy</w:t>
      </w:r>
      <w:r>
        <w:rPr>
          <w:rFonts w:ascii="Arial" w:hAnsi="Arial" w:cs="Arial"/>
          <w:sz w:val="20"/>
          <w:lang w:val="es-ES"/>
        </w:rPr>
        <w:t>o a</w:t>
      </w:r>
      <w:r w:rsidRPr="0037163B">
        <w:rPr>
          <w:rFonts w:ascii="Arial" w:hAnsi="Arial" w:cs="Arial"/>
          <w:sz w:val="20"/>
          <w:lang w:val="es-ES"/>
        </w:rPr>
        <w:t xml:space="preserve"> actividades en las esferas prioritarias definidas en los Aportes concretos de la OMPI, adoptados con ocasión de la Cuarta Conferencia de las Naciones Unidas sobre los PMA (PMA IV) y que tienen por objeto contribuir a la aplicación del Programa de Acción de Estambul.</w:t>
      </w:r>
    </w:p>
    <w:p w:rsidR="00236E18" w:rsidRPr="0037163B" w:rsidRDefault="00236E18" w:rsidP="00236E18">
      <w:pPr>
        <w:pStyle w:val="ListParagraph"/>
        <w:widowControl w:val="0"/>
        <w:tabs>
          <w:tab w:val="left" w:pos="709"/>
        </w:tabs>
        <w:ind w:left="0"/>
        <w:jc w:val="both"/>
        <w:rPr>
          <w:rFonts w:ascii="Arial" w:hAnsi="Arial" w:cs="Arial"/>
          <w:sz w:val="20"/>
          <w:lang w:val="es-ES"/>
        </w:rPr>
      </w:pPr>
    </w:p>
    <w:p w:rsidR="00236E18" w:rsidRPr="0037163B" w:rsidRDefault="00236E18" w:rsidP="00236E18">
      <w:pPr>
        <w:pStyle w:val="ListParagraph"/>
        <w:widowControl w:val="0"/>
        <w:numPr>
          <w:ilvl w:val="0"/>
          <w:numId w:val="21"/>
        </w:numPr>
        <w:tabs>
          <w:tab w:val="left" w:pos="709"/>
        </w:tabs>
        <w:spacing w:after="240"/>
        <w:jc w:val="both"/>
        <w:rPr>
          <w:rFonts w:ascii="Arial" w:hAnsi="Arial" w:cs="Arial"/>
          <w:sz w:val="20"/>
          <w:lang w:val="es-ES"/>
        </w:rPr>
      </w:pPr>
      <w:r w:rsidRPr="0037163B">
        <w:rPr>
          <w:rFonts w:ascii="Arial" w:hAnsi="Arial" w:cs="Arial"/>
          <w:sz w:val="20"/>
          <w:lang w:val="es-ES"/>
        </w:rPr>
        <w:t>Habida cuenta de la creciente importancia de la cooperación subregional, regional e interregional, incluida la cooperación Sur-Sur, entre los países en desarrollo, las Oficinas Regionales en la sede desempeñarán un papel preponderante, favoreciendo las modalidades de esta cooperación horizontal.  Este proceso comprenderá la consolidación de las alianzas entre los países y las regiones, especialmente en el contexto de las agrupaciones subregionales y regionales existentes.  El programa permitirá una planificación coherente y la presentación de informes sobre las actividades Sur-Sur a nivel de la Organización y las relaciones con todas las partes interesadas internas y externas.</w:t>
      </w:r>
    </w:p>
    <w:p w:rsidR="00236E18" w:rsidRPr="0037163B" w:rsidRDefault="00236E18" w:rsidP="00236E18">
      <w:pPr>
        <w:pStyle w:val="ListParagraph"/>
        <w:widowControl w:val="0"/>
        <w:tabs>
          <w:tab w:val="left" w:pos="709"/>
        </w:tabs>
        <w:ind w:left="0"/>
        <w:rPr>
          <w:rFonts w:ascii="Arial" w:hAnsi="Arial" w:cs="Arial"/>
          <w:sz w:val="20"/>
          <w:lang w:val="es-ES"/>
        </w:rPr>
      </w:pPr>
    </w:p>
    <w:p w:rsidR="00236E18" w:rsidRPr="0037163B" w:rsidRDefault="00236E18" w:rsidP="00236E18">
      <w:pPr>
        <w:pStyle w:val="ListParagraph"/>
        <w:widowControl w:val="0"/>
        <w:numPr>
          <w:ilvl w:val="0"/>
          <w:numId w:val="21"/>
        </w:numPr>
        <w:tabs>
          <w:tab w:val="left" w:pos="709"/>
        </w:tabs>
        <w:spacing w:after="240"/>
        <w:jc w:val="both"/>
        <w:rPr>
          <w:rFonts w:ascii="Arial" w:hAnsi="Arial" w:cs="Arial"/>
          <w:sz w:val="20"/>
          <w:lang w:val="es-ES"/>
        </w:rPr>
      </w:pPr>
      <w:r w:rsidRPr="0037163B">
        <w:rPr>
          <w:rFonts w:ascii="Arial" w:hAnsi="Arial" w:cs="Arial"/>
          <w:sz w:val="20"/>
          <w:lang w:val="es-ES"/>
        </w:rPr>
        <w:t>Las bases de datos existentes (asistencia técnica en materia de P.I. (IP-TAD), la lista de consultores (ROC) y la base de datos de vinculación para atender las necesidades de desarrollo en materia de P.I. (IP-DMD)) han demostrado su eficacia para supervisar y orientar la labor de la OMPI en materia de cooperación para el desarrollo.  A lo largo del bienio, esas bases de datos se sincronizarán con el sistema de gestión del rendimiento institucional con el fin de automatizar los datos introducidos.  Esto permitirá a los Estados miembros y a otros usuarios tener acceso a la información más reciente sobre las actividades de cooperación para el desarrollo.  Además, se seguirán desarrollando y aplicando nuevas herramientas para facilitar el proceso de elaboración de estrategias de P.I., así como la evaluación de los proyectos de cooperación Sur-Sur.</w:t>
      </w:r>
    </w:p>
    <w:p w:rsidR="00236E18" w:rsidRPr="0037163B" w:rsidRDefault="00236E18" w:rsidP="00236E18">
      <w:pPr>
        <w:pStyle w:val="ListParagraph"/>
        <w:widowControl w:val="0"/>
        <w:tabs>
          <w:tab w:val="left" w:pos="709"/>
        </w:tabs>
        <w:ind w:left="0"/>
        <w:jc w:val="both"/>
        <w:rPr>
          <w:rFonts w:ascii="Arial" w:hAnsi="Arial" w:cs="Arial"/>
          <w:sz w:val="20"/>
          <w:lang w:val="es-ES"/>
        </w:rPr>
      </w:pPr>
    </w:p>
    <w:p w:rsidR="00236E18" w:rsidRDefault="00236E18" w:rsidP="00236E18">
      <w:pPr>
        <w:pStyle w:val="ListParagraph"/>
        <w:widowControl w:val="0"/>
        <w:numPr>
          <w:ilvl w:val="0"/>
          <w:numId w:val="21"/>
        </w:numPr>
        <w:tabs>
          <w:tab w:val="left" w:pos="709"/>
        </w:tabs>
        <w:spacing w:after="240"/>
        <w:jc w:val="both"/>
        <w:rPr>
          <w:rFonts w:ascii="Arial" w:hAnsi="Arial" w:cs="Arial"/>
          <w:sz w:val="20"/>
          <w:lang w:val="es-ES"/>
        </w:rPr>
      </w:pPr>
      <w:r w:rsidRPr="0037163B">
        <w:rPr>
          <w:rFonts w:ascii="Arial" w:hAnsi="Arial" w:cs="Arial"/>
          <w:sz w:val="20"/>
          <w:lang w:val="es-ES"/>
        </w:rPr>
        <w:t>Se seguirá propiciando la cooperación con los organismos de las NN.UU. y otras organizaciones intergubernamentales e instituciones no gubernamentales para movilizar y agrupar más recursos y conocimientos especializados, con miras a potenciar su impacto.  No se escatimarán esfuerzos para mejorar constantemente la calidad y eficacia de la cooperación técnica, priorizando la obtención de resultados concretos y tangibles, y asegurando la sostenibilidad y continuidad de los programas.</w:t>
      </w:r>
    </w:p>
    <w:p w:rsidR="00236E18" w:rsidRDefault="00236E18" w:rsidP="00236E18">
      <w:pPr>
        <w:pStyle w:val="ListParagraph"/>
        <w:widowControl w:val="0"/>
        <w:ind w:left="0"/>
        <w:rPr>
          <w:rFonts w:ascii="Arial" w:hAnsi="Arial" w:cs="Arial"/>
          <w:lang w:val="es-ES"/>
        </w:rPr>
      </w:pPr>
    </w:p>
    <w:p w:rsidR="00236E18" w:rsidRDefault="00236E18" w:rsidP="00236E18">
      <w:pPr>
        <w:rPr>
          <w:sz w:val="20"/>
        </w:rPr>
      </w:pPr>
      <w:r>
        <w:rPr>
          <w:sz w:val="20"/>
        </w:rPr>
        <w:br w:type="page"/>
      </w:r>
    </w:p>
    <w:p w:rsidR="00236E18" w:rsidRPr="00C37CCD" w:rsidRDefault="00236E18" w:rsidP="00236E18">
      <w:pPr>
        <w:numPr>
          <w:ilvl w:val="0"/>
          <w:numId w:val="21"/>
        </w:numPr>
        <w:jc w:val="both"/>
        <w:rPr>
          <w:sz w:val="20"/>
        </w:rPr>
      </w:pPr>
      <w:r>
        <w:rPr>
          <w:sz w:val="20"/>
        </w:rPr>
        <w:lastRenderedPageBreak/>
        <w:t>El p</w:t>
      </w:r>
      <w:r w:rsidRPr="00C37CCD">
        <w:rPr>
          <w:sz w:val="20"/>
        </w:rPr>
        <w:t>rograma 9 colabora</w:t>
      </w:r>
      <w:r>
        <w:rPr>
          <w:sz w:val="20"/>
        </w:rPr>
        <w:t xml:space="preserve"> principalmente con los programas siguientes</w:t>
      </w:r>
      <w:r w:rsidRPr="00C37CCD">
        <w:rPr>
          <w:sz w:val="20"/>
        </w:rPr>
        <w:t xml:space="preserve">: </w:t>
      </w:r>
    </w:p>
    <w:p w:rsidR="00236E18" w:rsidRPr="006A3CA4" w:rsidRDefault="00236E18" w:rsidP="00236E18">
      <w:pPr>
        <w:pStyle w:val="ListParagraph"/>
        <w:widowControl w:val="0"/>
        <w:ind w:left="0"/>
        <w:rPr>
          <w:rFonts w:ascii="Arial" w:hAnsi="Arial" w:cs="Arial"/>
          <w:lang w:val="es-ES_tradnl"/>
        </w:rPr>
      </w:pPr>
    </w:p>
    <w:p w:rsidR="00236E18" w:rsidRPr="0037163B" w:rsidRDefault="00236E18" w:rsidP="00236E18">
      <w:pPr>
        <w:widowControl w:val="0"/>
        <w:jc w:val="both"/>
      </w:pPr>
      <w:r>
        <w:rPr>
          <w:noProof/>
          <w:lang w:val="en-US" w:eastAsia="en-US"/>
        </w:rPr>
        <w:drawing>
          <wp:inline distT="0" distB="0" distL="0" distR="0" wp14:anchorId="0C5DC951" wp14:editId="0500DE87">
            <wp:extent cx="5940425" cy="2704924"/>
            <wp:effectExtent l="0" t="38100" r="3175" b="635"/>
            <wp:docPr id="79" name="Diagram 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rsidR="00236E18" w:rsidRDefault="00236E18" w:rsidP="00236E18">
      <w:pPr>
        <w:widowControl w:val="0"/>
        <w:rPr>
          <w:bCs/>
          <w:iCs/>
          <w:caps/>
          <w:szCs w:val="28"/>
        </w:rPr>
      </w:pPr>
    </w:p>
    <w:p w:rsidR="00236E18" w:rsidRPr="0037163B" w:rsidRDefault="00236E18" w:rsidP="00236E18">
      <w:pPr>
        <w:widowControl w:val="0"/>
        <w:rPr>
          <w:bCs/>
          <w:iCs/>
          <w:caps/>
          <w:szCs w:val="28"/>
        </w:rPr>
      </w:pPr>
    </w:p>
    <w:p w:rsidR="00236E18" w:rsidRPr="0037163B" w:rsidRDefault="00236E18" w:rsidP="00236E18">
      <w:pPr>
        <w:widowControl w:val="0"/>
      </w:pPr>
      <w:r w:rsidRPr="0037163B">
        <w:t>PRINCIPALES RIESGOS Y ESTRATEGIAS DE MITIGACIÓN</w:t>
      </w:r>
    </w:p>
    <w:p w:rsidR="00236E18" w:rsidRPr="0037163B" w:rsidRDefault="00236E18" w:rsidP="00236E18">
      <w:pPr>
        <w:widowControl w:val="0"/>
        <w:rPr>
          <w:szCs w:val="22"/>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236E18" w:rsidRPr="0037163B" w:rsidTr="00294272">
        <w:trPr>
          <w:trHeight w:val="577"/>
        </w:trPr>
        <w:tc>
          <w:tcPr>
            <w:tcW w:w="4111" w:type="dxa"/>
            <w:tcBorders>
              <w:top w:val="single" w:sz="4" w:space="0" w:color="auto"/>
              <w:bottom w:val="single" w:sz="4" w:space="0" w:color="auto"/>
            </w:tcBorders>
            <w:shd w:val="clear" w:color="auto" w:fill="C6D9F1" w:themeFill="text2" w:themeFillTint="33"/>
            <w:vAlign w:val="center"/>
          </w:tcPr>
          <w:p w:rsidR="00236E18" w:rsidRPr="0037163B" w:rsidRDefault="00236E18" w:rsidP="00294272">
            <w:pPr>
              <w:widowControl w:val="0"/>
              <w:jc w:val="center"/>
              <w:rPr>
                <w:b/>
                <w:bCs/>
                <w:sz w:val="18"/>
                <w:szCs w:val="18"/>
              </w:rPr>
            </w:pPr>
            <w:r w:rsidRPr="0037163B">
              <w:rPr>
                <w:b/>
                <w:bCs/>
                <w:sz w:val="18"/>
                <w:szCs w:val="18"/>
              </w:rPr>
              <w:t>Riesgo</w:t>
            </w:r>
          </w:p>
        </w:tc>
        <w:tc>
          <w:tcPr>
            <w:tcW w:w="5103" w:type="dxa"/>
            <w:tcBorders>
              <w:top w:val="single" w:sz="4" w:space="0" w:color="auto"/>
              <w:bottom w:val="single" w:sz="4" w:space="0" w:color="auto"/>
            </w:tcBorders>
            <w:shd w:val="clear" w:color="auto" w:fill="C6D9F1" w:themeFill="text2" w:themeFillTint="33"/>
            <w:vAlign w:val="center"/>
          </w:tcPr>
          <w:p w:rsidR="00236E18" w:rsidRPr="0037163B" w:rsidRDefault="00236E18" w:rsidP="00294272">
            <w:pPr>
              <w:widowControl w:val="0"/>
              <w:jc w:val="center"/>
              <w:rPr>
                <w:b/>
                <w:bCs/>
                <w:sz w:val="18"/>
                <w:szCs w:val="18"/>
              </w:rPr>
            </w:pPr>
            <w:r w:rsidRPr="0037163B">
              <w:rPr>
                <w:b/>
                <w:bCs/>
                <w:sz w:val="18"/>
                <w:szCs w:val="18"/>
              </w:rPr>
              <w:t>Mitigación</w:t>
            </w:r>
          </w:p>
        </w:tc>
      </w:tr>
      <w:tr w:rsidR="00236E18" w:rsidRPr="0037163B" w:rsidTr="00294272">
        <w:trPr>
          <w:trHeight w:val="259"/>
        </w:trPr>
        <w:tc>
          <w:tcPr>
            <w:tcW w:w="4111" w:type="dxa"/>
            <w:tcBorders>
              <w:top w:val="single" w:sz="4" w:space="0" w:color="auto"/>
            </w:tcBorders>
            <w:shd w:val="clear" w:color="auto" w:fill="auto"/>
            <w:tcMar>
              <w:top w:w="113" w:type="dxa"/>
              <w:bottom w:w="113" w:type="dxa"/>
            </w:tcMar>
          </w:tcPr>
          <w:p w:rsidR="00236E18" w:rsidRPr="0037163B" w:rsidRDefault="00236E18" w:rsidP="00294272">
            <w:pPr>
              <w:widowControl w:val="0"/>
              <w:rPr>
                <w:sz w:val="16"/>
                <w:szCs w:val="16"/>
              </w:rPr>
            </w:pPr>
            <w:r w:rsidRPr="0037163B">
              <w:rPr>
                <w:sz w:val="16"/>
                <w:szCs w:val="16"/>
              </w:rPr>
              <w:t>Los cambios políticos que provocan cambios en la política de P.I. a nivel nacional pueden afectar la prestación de servicios.</w:t>
            </w:r>
          </w:p>
          <w:p w:rsidR="00236E18" w:rsidRPr="0037163B" w:rsidRDefault="00236E18" w:rsidP="00294272">
            <w:pPr>
              <w:widowControl w:val="0"/>
              <w:rPr>
                <w:sz w:val="16"/>
                <w:szCs w:val="16"/>
              </w:rPr>
            </w:pPr>
          </w:p>
          <w:p w:rsidR="00236E18" w:rsidRPr="0037163B" w:rsidRDefault="00236E18" w:rsidP="00294272">
            <w:pPr>
              <w:widowControl w:val="0"/>
              <w:rPr>
                <w:sz w:val="16"/>
                <w:szCs w:val="16"/>
              </w:rPr>
            </w:pPr>
            <w:r w:rsidRPr="0037163B">
              <w:rPr>
                <w:sz w:val="16"/>
                <w:szCs w:val="16"/>
              </w:rPr>
              <w:t>La inestabilidad política en los Estados miembros y la consecuente modificación de la evaluación de los riesgos de seguridad de las NN.UU. pueden provocar retrasos en la prestación de la asistencia técnica.</w:t>
            </w:r>
          </w:p>
        </w:tc>
        <w:tc>
          <w:tcPr>
            <w:tcW w:w="5103" w:type="dxa"/>
            <w:tcBorders>
              <w:top w:val="single" w:sz="4" w:space="0" w:color="auto"/>
            </w:tcBorders>
            <w:shd w:val="clear" w:color="auto" w:fill="auto"/>
            <w:tcMar>
              <w:top w:w="113" w:type="dxa"/>
              <w:bottom w:w="113" w:type="dxa"/>
            </w:tcMar>
          </w:tcPr>
          <w:p w:rsidR="00236E18" w:rsidRPr="0037163B" w:rsidRDefault="00236E18" w:rsidP="00294272">
            <w:pPr>
              <w:widowControl w:val="0"/>
              <w:rPr>
                <w:sz w:val="16"/>
              </w:rPr>
            </w:pPr>
            <w:r w:rsidRPr="0037163B">
              <w:rPr>
                <w:sz w:val="16"/>
              </w:rPr>
              <w:t>Flexibilidad para hacer los ajustes necesarios en los planes de trabajo de los distintos países.</w:t>
            </w:r>
          </w:p>
          <w:p w:rsidR="00236E18" w:rsidRPr="0037163B" w:rsidRDefault="00236E18" w:rsidP="00294272">
            <w:pPr>
              <w:widowControl w:val="0"/>
              <w:rPr>
                <w:sz w:val="16"/>
              </w:rPr>
            </w:pPr>
          </w:p>
          <w:p w:rsidR="00236E18" w:rsidRPr="0037163B" w:rsidRDefault="00236E18" w:rsidP="00294272">
            <w:pPr>
              <w:widowControl w:val="0"/>
              <w:rPr>
                <w:sz w:val="16"/>
              </w:rPr>
            </w:pPr>
          </w:p>
          <w:p w:rsidR="00236E18" w:rsidRPr="0037163B" w:rsidRDefault="00236E18" w:rsidP="00294272">
            <w:pPr>
              <w:widowControl w:val="0"/>
              <w:rPr>
                <w:sz w:val="16"/>
                <w:szCs w:val="16"/>
              </w:rPr>
            </w:pPr>
            <w:r w:rsidRPr="0037163B">
              <w:rPr>
                <w:sz w:val="16"/>
              </w:rPr>
              <w:t xml:space="preserve">Seguimiento de la situación conjuntamente con la oficina de P.I. y las partes interesadas a fin de elaborar planes alternativos. </w:t>
            </w:r>
          </w:p>
        </w:tc>
      </w:tr>
    </w:tbl>
    <w:p w:rsidR="00236E18" w:rsidRPr="0037163B" w:rsidRDefault="00236E18" w:rsidP="00236E18">
      <w:pPr>
        <w:widowControl w:val="0"/>
        <w:rPr>
          <w:szCs w:val="22"/>
        </w:rPr>
      </w:pPr>
    </w:p>
    <w:p w:rsidR="00236E18" w:rsidRPr="0037163B" w:rsidRDefault="00236E18" w:rsidP="00236E18">
      <w:pPr>
        <w:widowControl w:val="0"/>
        <w:rPr>
          <w:szCs w:val="22"/>
        </w:rPr>
      </w:pPr>
    </w:p>
    <w:p w:rsidR="00236E18" w:rsidRPr="0037163B" w:rsidRDefault="00236E18" w:rsidP="00236E18">
      <w:pPr>
        <w:widowControl w:val="0"/>
        <w:rPr>
          <w:szCs w:val="22"/>
        </w:rPr>
      </w:pPr>
      <w:r w:rsidRPr="0037163B">
        <w:rPr>
          <w:szCs w:val="22"/>
        </w:rPr>
        <w:t>MARCO DE RESULTADOS</w:t>
      </w:r>
    </w:p>
    <w:p w:rsidR="00236E18" w:rsidRPr="0037163B" w:rsidRDefault="00236E18" w:rsidP="00236E18">
      <w:pPr>
        <w:widowControl w:val="0"/>
        <w:rPr>
          <w:szCs w:val="22"/>
        </w:rPr>
      </w:pPr>
    </w:p>
    <w:tbl>
      <w:tblPr>
        <w:tblW w:w="9349" w:type="dxa"/>
        <w:tblInd w:w="93" w:type="dxa"/>
        <w:tblLook w:val="04A0" w:firstRow="1" w:lastRow="0" w:firstColumn="1" w:lastColumn="0" w:noHBand="0" w:noVBand="1"/>
      </w:tblPr>
      <w:tblGrid>
        <w:gridCol w:w="2200"/>
        <w:gridCol w:w="80"/>
        <w:gridCol w:w="2180"/>
        <w:gridCol w:w="160"/>
        <w:gridCol w:w="2325"/>
        <w:gridCol w:w="275"/>
        <w:gridCol w:w="2129"/>
      </w:tblGrid>
      <w:tr w:rsidR="00236E18" w:rsidRPr="0037163B" w:rsidTr="00294272">
        <w:trPr>
          <w:trHeight w:val="615"/>
          <w:tblHeader/>
        </w:trPr>
        <w:tc>
          <w:tcPr>
            <w:tcW w:w="2280" w:type="dxa"/>
            <w:gridSpan w:val="2"/>
            <w:tcBorders>
              <w:top w:val="single" w:sz="4" w:space="0" w:color="auto"/>
              <w:left w:val="single" w:sz="4" w:space="0" w:color="auto"/>
              <w:bottom w:val="single" w:sz="4" w:space="0" w:color="auto"/>
              <w:right w:val="nil"/>
            </w:tcBorders>
            <w:shd w:val="clear" w:color="000000" w:fill="C5D9F1"/>
            <w:noWrap/>
            <w:tcMar>
              <w:top w:w="85" w:type="dxa"/>
            </w:tcMar>
            <w:vAlign w:val="center"/>
            <w:hideMark/>
          </w:tcPr>
          <w:p w:rsidR="00236E18" w:rsidRPr="0037163B" w:rsidRDefault="00236E18" w:rsidP="00294272">
            <w:pPr>
              <w:widowControl w:val="0"/>
              <w:jc w:val="center"/>
              <w:rPr>
                <w:b/>
                <w:bCs/>
                <w:sz w:val="18"/>
                <w:szCs w:val="18"/>
              </w:rPr>
            </w:pPr>
            <w:r w:rsidRPr="0037163B">
              <w:rPr>
                <w:b/>
                <w:bCs/>
                <w:sz w:val="18"/>
                <w:szCs w:val="18"/>
              </w:rPr>
              <w:t>Resultados previstos</w:t>
            </w:r>
          </w:p>
        </w:tc>
        <w:tc>
          <w:tcPr>
            <w:tcW w:w="2180" w:type="dxa"/>
            <w:tcBorders>
              <w:top w:val="single" w:sz="4" w:space="0" w:color="auto"/>
              <w:left w:val="nil"/>
              <w:bottom w:val="single" w:sz="4" w:space="0" w:color="auto"/>
              <w:right w:val="nil"/>
            </w:tcBorders>
            <w:shd w:val="clear" w:color="000000" w:fill="C5D9F1"/>
            <w:noWrap/>
            <w:tcMar>
              <w:top w:w="85" w:type="dxa"/>
            </w:tcMar>
            <w:vAlign w:val="center"/>
            <w:hideMark/>
          </w:tcPr>
          <w:p w:rsidR="00236E18" w:rsidRPr="0037163B" w:rsidRDefault="00236E18" w:rsidP="00294272">
            <w:pPr>
              <w:widowControl w:val="0"/>
              <w:jc w:val="center"/>
              <w:rPr>
                <w:b/>
                <w:bCs/>
                <w:sz w:val="18"/>
                <w:szCs w:val="18"/>
              </w:rPr>
            </w:pPr>
            <w:r w:rsidRPr="0037163B">
              <w:rPr>
                <w:b/>
                <w:bCs/>
                <w:sz w:val="18"/>
                <w:szCs w:val="18"/>
              </w:rPr>
              <w:t>Indicadores de rendimiento</w:t>
            </w:r>
          </w:p>
        </w:tc>
        <w:tc>
          <w:tcPr>
            <w:tcW w:w="2760" w:type="dxa"/>
            <w:gridSpan w:val="3"/>
            <w:tcBorders>
              <w:top w:val="single" w:sz="4" w:space="0" w:color="auto"/>
              <w:left w:val="nil"/>
              <w:bottom w:val="single" w:sz="4" w:space="0" w:color="auto"/>
              <w:right w:val="nil"/>
            </w:tcBorders>
            <w:shd w:val="clear" w:color="000000" w:fill="C5D9F1"/>
            <w:noWrap/>
            <w:tcMar>
              <w:top w:w="85" w:type="dxa"/>
            </w:tcMar>
            <w:vAlign w:val="center"/>
            <w:hideMark/>
          </w:tcPr>
          <w:p w:rsidR="00236E18" w:rsidRPr="0037163B" w:rsidRDefault="00236E18" w:rsidP="00294272">
            <w:pPr>
              <w:widowControl w:val="0"/>
              <w:jc w:val="center"/>
              <w:rPr>
                <w:b/>
                <w:bCs/>
                <w:sz w:val="18"/>
                <w:szCs w:val="18"/>
              </w:rPr>
            </w:pPr>
            <w:r w:rsidRPr="0037163B">
              <w:rPr>
                <w:b/>
                <w:bCs/>
                <w:sz w:val="18"/>
                <w:szCs w:val="18"/>
              </w:rPr>
              <w:t>Referencia</w:t>
            </w:r>
          </w:p>
        </w:tc>
        <w:tc>
          <w:tcPr>
            <w:tcW w:w="2129" w:type="dxa"/>
            <w:tcBorders>
              <w:top w:val="single" w:sz="4" w:space="0" w:color="auto"/>
              <w:left w:val="nil"/>
              <w:bottom w:val="single" w:sz="4" w:space="0" w:color="auto"/>
              <w:right w:val="single" w:sz="4" w:space="0" w:color="auto"/>
            </w:tcBorders>
            <w:shd w:val="clear" w:color="000000" w:fill="C5D9F1"/>
            <w:noWrap/>
            <w:tcMar>
              <w:top w:w="85" w:type="dxa"/>
            </w:tcMar>
            <w:vAlign w:val="center"/>
            <w:hideMark/>
          </w:tcPr>
          <w:p w:rsidR="00236E18" w:rsidRPr="0037163B" w:rsidRDefault="00236E18" w:rsidP="00294272">
            <w:pPr>
              <w:widowControl w:val="0"/>
              <w:jc w:val="center"/>
              <w:rPr>
                <w:b/>
                <w:bCs/>
                <w:sz w:val="18"/>
                <w:szCs w:val="18"/>
              </w:rPr>
            </w:pPr>
            <w:r w:rsidRPr="0037163B">
              <w:rPr>
                <w:b/>
                <w:bCs/>
                <w:sz w:val="18"/>
                <w:szCs w:val="18"/>
              </w:rPr>
              <w:t>Objetivos</w:t>
            </w:r>
          </w:p>
        </w:tc>
      </w:tr>
      <w:tr w:rsidR="00236E18" w:rsidRPr="0037163B" w:rsidTr="00294272">
        <w:trPr>
          <w:trHeight w:val="1255"/>
        </w:trPr>
        <w:tc>
          <w:tcPr>
            <w:tcW w:w="2280" w:type="dxa"/>
            <w:gridSpan w:val="2"/>
            <w:tcBorders>
              <w:top w:val="nil"/>
              <w:left w:val="single" w:sz="4" w:space="0" w:color="auto"/>
              <w:bottom w:val="nil"/>
              <w:right w:val="nil"/>
            </w:tcBorders>
            <w:shd w:val="clear" w:color="000000" w:fill="FFFFFF"/>
            <w:tcMar>
              <w:top w:w="85" w:type="dxa"/>
            </w:tcMar>
            <w:hideMark/>
          </w:tcPr>
          <w:p w:rsidR="00236E18" w:rsidRPr="00D77D77" w:rsidRDefault="00236E18" w:rsidP="00294272">
            <w:pPr>
              <w:widowControl w:val="0"/>
              <w:rPr>
                <w:sz w:val="16"/>
                <w:szCs w:val="16"/>
              </w:rPr>
            </w:pPr>
            <w:r w:rsidRPr="00D77D77">
              <w:rPr>
                <w:sz w:val="16"/>
                <w:szCs w:val="16"/>
              </w:rPr>
              <w:t xml:space="preserve">I.2  </w:t>
            </w:r>
            <w:r w:rsidRPr="00D77D77">
              <w:rPr>
                <w:sz w:val="16"/>
                <w:szCs w:val="16"/>
                <w:lang w:val="es-ES_tradnl"/>
              </w:rPr>
              <w:t>Marcos de P.I. adaptados y equilibrados en el ámbito legislativo, regulador y de política</w:t>
            </w:r>
          </w:p>
        </w:tc>
        <w:tc>
          <w:tcPr>
            <w:tcW w:w="2180" w:type="dxa"/>
            <w:tcBorders>
              <w:top w:val="nil"/>
              <w:left w:val="nil"/>
              <w:bottom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Número y porcentaje de países que</w:t>
            </w:r>
          </w:p>
          <w:p w:rsidR="00236E18" w:rsidRPr="0037163B" w:rsidRDefault="00236E18" w:rsidP="00294272">
            <w:pPr>
              <w:widowControl w:val="0"/>
              <w:rPr>
                <w:sz w:val="16"/>
                <w:szCs w:val="16"/>
              </w:rPr>
            </w:pPr>
            <w:r w:rsidRPr="0037163B">
              <w:rPr>
                <w:sz w:val="16"/>
                <w:szCs w:val="16"/>
              </w:rPr>
              <w:t>han formulado comentarios</w:t>
            </w:r>
          </w:p>
          <w:p w:rsidR="00236E18" w:rsidRPr="0037163B" w:rsidRDefault="00236E18" w:rsidP="00294272">
            <w:pPr>
              <w:widowControl w:val="0"/>
              <w:rPr>
                <w:sz w:val="16"/>
                <w:szCs w:val="16"/>
              </w:rPr>
            </w:pPr>
            <w:r w:rsidRPr="0037163B">
              <w:rPr>
                <w:sz w:val="16"/>
                <w:szCs w:val="16"/>
              </w:rPr>
              <w:t>positivos sobre el asesoramiento</w:t>
            </w:r>
          </w:p>
          <w:p w:rsidR="00236E18" w:rsidRPr="0037163B" w:rsidRDefault="00236E18" w:rsidP="00294272">
            <w:pPr>
              <w:widowControl w:val="0"/>
              <w:rPr>
                <w:sz w:val="16"/>
                <w:szCs w:val="16"/>
              </w:rPr>
            </w:pPr>
            <w:r w:rsidRPr="0037163B">
              <w:rPr>
                <w:sz w:val="16"/>
                <w:szCs w:val="16"/>
              </w:rPr>
              <w:t>legislativo y de política de la OMPI</w:t>
            </w:r>
            <w:r>
              <w:rPr>
                <w:sz w:val="16"/>
                <w:szCs w:val="16"/>
              </w:rPr>
              <w:br/>
            </w:r>
          </w:p>
        </w:tc>
        <w:tc>
          <w:tcPr>
            <w:tcW w:w="2760" w:type="dxa"/>
            <w:gridSpan w:val="3"/>
            <w:tcBorders>
              <w:top w:val="nil"/>
              <w:left w:val="nil"/>
              <w:bottom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El desglose regional se establecerá en coordinación con los programas 1, 2, 3 y 4</w:t>
            </w:r>
          </w:p>
        </w:tc>
        <w:tc>
          <w:tcPr>
            <w:tcW w:w="2129" w:type="dxa"/>
            <w:tcBorders>
              <w:top w:val="nil"/>
              <w:left w:val="nil"/>
              <w:bottom w:val="nil"/>
              <w:right w:val="single" w:sz="4" w:space="0" w:color="auto"/>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África (90%)</w:t>
            </w:r>
            <w:r w:rsidRPr="0037163B">
              <w:rPr>
                <w:sz w:val="16"/>
                <w:szCs w:val="16"/>
              </w:rPr>
              <w:br/>
              <w:t>Países árabes (90%)</w:t>
            </w:r>
            <w:r w:rsidRPr="0037163B">
              <w:rPr>
                <w:sz w:val="16"/>
                <w:szCs w:val="16"/>
              </w:rPr>
              <w:br/>
              <w:t>Asia y el Pacífico (90%)</w:t>
            </w:r>
            <w:r w:rsidRPr="0037163B">
              <w:rPr>
                <w:sz w:val="16"/>
                <w:szCs w:val="16"/>
              </w:rPr>
              <w:br/>
              <w:t>América Latina y el Caribe (90%)</w:t>
            </w:r>
          </w:p>
        </w:tc>
      </w:tr>
      <w:tr w:rsidR="00236E18" w:rsidRPr="0079353A" w:rsidTr="00294272">
        <w:trPr>
          <w:trHeight w:val="1510"/>
        </w:trPr>
        <w:tc>
          <w:tcPr>
            <w:tcW w:w="2200" w:type="dxa"/>
            <w:tcBorders>
              <w:top w:val="nil"/>
              <w:left w:val="single" w:sz="4" w:space="0" w:color="auto"/>
              <w:right w:val="nil"/>
            </w:tcBorders>
            <w:shd w:val="clear" w:color="000000" w:fill="FFFFFF"/>
            <w:hideMark/>
          </w:tcPr>
          <w:p w:rsidR="00236E18" w:rsidRPr="001D6AA6" w:rsidRDefault="00236E18" w:rsidP="00294272">
            <w:pPr>
              <w:rPr>
                <w:sz w:val="16"/>
                <w:szCs w:val="16"/>
              </w:rPr>
            </w:pPr>
            <w:r w:rsidRPr="001D6AA6">
              <w:rPr>
                <w:sz w:val="16"/>
                <w:szCs w:val="16"/>
              </w:rPr>
              <w:t xml:space="preserve">II.1  </w:t>
            </w:r>
            <w:r>
              <w:rPr>
                <w:sz w:val="16"/>
                <w:szCs w:val="16"/>
              </w:rPr>
              <w:t>Mayor</w:t>
            </w:r>
            <w:r w:rsidRPr="001D6AA6">
              <w:rPr>
                <w:sz w:val="16"/>
                <w:szCs w:val="16"/>
                <w:lang w:val="es-ES_tradnl"/>
              </w:rPr>
              <w:t xml:space="preserve"> y más eficaz </w:t>
            </w:r>
            <w:r>
              <w:rPr>
                <w:sz w:val="16"/>
                <w:szCs w:val="16"/>
                <w:lang w:val="es-ES_tradnl"/>
              </w:rPr>
              <w:t xml:space="preserve">utilización </w:t>
            </w:r>
            <w:r w:rsidRPr="001D6AA6">
              <w:rPr>
                <w:sz w:val="16"/>
                <w:szCs w:val="16"/>
                <w:lang w:val="es-ES_tradnl"/>
              </w:rPr>
              <w:t>del Sistema del PCT para presentar solicitudes internacionales de patente</w:t>
            </w:r>
          </w:p>
        </w:tc>
        <w:tc>
          <w:tcPr>
            <w:tcW w:w="2420" w:type="dxa"/>
            <w:gridSpan w:val="3"/>
            <w:tcBorders>
              <w:top w:val="nil"/>
              <w:left w:val="nil"/>
              <w:right w:val="nil"/>
            </w:tcBorders>
            <w:shd w:val="clear" w:color="000000" w:fill="FFFFFF"/>
            <w:hideMark/>
          </w:tcPr>
          <w:p w:rsidR="00236E18" w:rsidRPr="0079353A" w:rsidRDefault="00236E18" w:rsidP="00294272">
            <w:pPr>
              <w:rPr>
                <w:sz w:val="16"/>
                <w:szCs w:val="16"/>
              </w:rPr>
            </w:pPr>
            <w:r w:rsidRPr="0079353A">
              <w:rPr>
                <w:sz w:val="16"/>
                <w:szCs w:val="16"/>
              </w:rPr>
              <w:t>N</w:t>
            </w:r>
            <w:r>
              <w:rPr>
                <w:sz w:val="16"/>
                <w:szCs w:val="16"/>
              </w:rPr>
              <w:t>º</w:t>
            </w:r>
            <w:r w:rsidRPr="0079353A">
              <w:rPr>
                <w:sz w:val="16"/>
                <w:szCs w:val="16"/>
              </w:rPr>
              <w:t xml:space="preserve"> de solicitudes PCT procedentes de países en </w:t>
            </w:r>
            <w:r>
              <w:rPr>
                <w:sz w:val="16"/>
                <w:szCs w:val="16"/>
              </w:rPr>
              <w:t>desarroll</w:t>
            </w:r>
            <w:r w:rsidRPr="0079353A">
              <w:rPr>
                <w:sz w:val="16"/>
                <w:szCs w:val="16"/>
              </w:rPr>
              <w:t>o</w:t>
            </w:r>
            <w:r>
              <w:rPr>
                <w:sz w:val="16"/>
                <w:szCs w:val="16"/>
              </w:rPr>
              <w:t xml:space="preserve"> y PMA</w:t>
            </w:r>
            <w:r w:rsidRPr="0079353A">
              <w:rPr>
                <w:sz w:val="16"/>
                <w:szCs w:val="16"/>
              </w:rPr>
              <w:t>.</w:t>
            </w:r>
            <w:r>
              <w:rPr>
                <w:sz w:val="16"/>
                <w:szCs w:val="16"/>
              </w:rPr>
              <w:br/>
            </w:r>
          </w:p>
          <w:p w:rsidR="00236E18" w:rsidRPr="0079353A" w:rsidRDefault="00236E18" w:rsidP="00294272">
            <w:pPr>
              <w:rPr>
                <w:sz w:val="16"/>
                <w:szCs w:val="16"/>
              </w:rPr>
            </w:pPr>
          </w:p>
        </w:tc>
        <w:tc>
          <w:tcPr>
            <w:tcW w:w="2325" w:type="dxa"/>
            <w:tcBorders>
              <w:top w:val="nil"/>
              <w:left w:val="nil"/>
              <w:right w:val="nil"/>
            </w:tcBorders>
            <w:shd w:val="clear" w:color="000000" w:fill="FFFFFF"/>
            <w:hideMark/>
          </w:tcPr>
          <w:p w:rsidR="00236E18" w:rsidRPr="0079353A" w:rsidRDefault="00236E18" w:rsidP="00294272">
            <w:pPr>
              <w:rPr>
                <w:sz w:val="16"/>
                <w:szCs w:val="16"/>
              </w:rPr>
            </w:pPr>
            <w:r>
              <w:rPr>
                <w:sz w:val="16"/>
                <w:szCs w:val="16"/>
                <w:lang w:bidi="th-TH"/>
              </w:rPr>
              <w:t>43,9</w:t>
            </w:r>
            <w:r w:rsidRPr="0079353A">
              <w:rPr>
                <w:sz w:val="16"/>
                <w:szCs w:val="16"/>
                <w:lang w:bidi="th-TH"/>
              </w:rPr>
              <w:t>7</w:t>
            </w:r>
            <w:r>
              <w:rPr>
                <w:sz w:val="16"/>
                <w:szCs w:val="16"/>
                <w:lang w:bidi="th-TH"/>
              </w:rPr>
              <w:t>2</w:t>
            </w:r>
            <w:r w:rsidRPr="0079353A">
              <w:rPr>
                <w:sz w:val="16"/>
                <w:szCs w:val="16"/>
                <w:lang w:bidi="th-TH"/>
              </w:rPr>
              <w:t xml:space="preserve"> (2014)</w:t>
            </w:r>
            <w:r>
              <w:rPr>
                <w:sz w:val="16"/>
                <w:szCs w:val="16"/>
                <w:lang w:bidi="th-TH"/>
              </w:rPr>
              <w:br/>
            </w:r>
            <w:r>
              <w:rPr>
                <w:sz w:val="16"/>
                <w:szCs w:val="16"/>
                <w:lang w:bidi="th-TH"/>
              </w:rPr>
              <w:noBreakHyphen/>
              <w:t xml:space="preserve">  África (352)</w:t>
            </w:r>
            <w:r>
              <w:rPr>
                <w:sz w:val="16"/>
                <w:szCs w:val="16"/>
                <w:lang w:bidi="th-TH"/>
              </w:rPr>
              <w:br/>
            </w:r>
            <w:r>
              <w:rPr>
                <w:sz w:val="16"/>
                <w:szCs w:val="16"/>
                <w:lang w:bidi="th-TH"/>
              </w:rPr>
              <w:noBreakHyphen/>
              <w:t xml:space="preserve">  Países árabes (616)</w:t>
            </w:r>
            <w:r>
              <w:rPr>
                <w:sz w:val="16"/>
                <w:szCs w:val="16"/>
                <w:lang w:bidi="th-TH"/>
              </w:rPr>
              <w:br/>
            </w:r>
            <w:r>
              <w:rPr>
                <w:sz w:val="16"/>
                <w:szCs w:val="16"/>
                <w:lang w:bidi="th-TH"/>
              </w:rPr>
              <w:noBreakHyphen/>
              <w:t xml:space="preserve">  </w:t>
            </w:r>
            <w:r w:rsidRPr="00A337CE">
              <w:rPr>
                <w:sz w:val="16"/>
                <w:szCs w:val="16"/>
                <w:lang w:bidi="th-TH"/>
              </w:rPr>
              <w:t>Asia y el Pacífico</w:t>
            </w:r>
            <w:r>
              <w:rPr>
                <w:sz w:val="16"/>
                <w:szCs w:val="16"/>
                <w:lang w:bidi="th-TH"/>
              </w:rPr>
              <w:t xml:space="preserve"> (41,569)</w:t>
            </w:r>
          </w:p>
          <w:p w:rsidR="00236E18" w:rsidRDefault="00236E18" w:rsidP="00294272">
            <w:pPr>
              <w:rPr>
                <w:sz w:val="16"/>
                <w:szCs w:val="16"/>
              </w:rPr>
            </w:pPr>
          </w:p>
          <w:p w:rsidR="00236E18" w:rsidRPr="009C5B6A" w:rsidRDefault="00236E18" w:rsidP="00294272">
            <w:pPr>
              <w:rPr>
                <w:sz w:val="16"/>
                <w:szCs w:val="16"/>
              </w:rPr>
            </w:pPr>
            <w:r>
              <w:rPr>
                <w:sz w:val="16"/>
                <w:szCs w:val="16"/>
                <w:lang w:bidi="th-TH"/>
              </w:rPr>
              <w:noBreakHyphen/>
              <w:t xml:space="preserve"> </w:t>
            </w:r>
            <w:r w:rsidRPr="009C5B6A">
              <w:rPr>
                <w:sz w:val="16"/>
                <w:szCs w:val="16"/>
              </w:rPr>
              <w:t xml:space="preserve"> </w:t>
            </w:r>
            <w:r w:rsidRPr="009C5B6A">
              <w:rPr>
                <w:sz w:val="16"/>
                <w:szCs w:val="16"/>
                <w:lang w:bidi="th-TH"/>
              </w:rPr>
              <w:t>América</w:t>
            </w:r>
            <w:r w:rsidRPr="009C5B6A">
              <w:rPr>
                <w:sz w:val="16"/>
                <w:szCs w:val="16"/>
              </w:rPr>
              <w:t xml:space="preserve"> Latina y el Caribe (1.412)</w:t>
            </w:r>
          </w:p>
          <w:p w:rsidR="00236E18" w:rsidRPr="0079353A" w:rsidRDefault="00236E18" w:rsidP="00294272">
            <w:pPr>
              <w:rPr>
                <w:sz w:val="16"/>
                <w:szCs w:val="16"/>
              </w:rPr>
            </w:pPr>
          </w:p>
        </w:tc>
        <w:tc>
          <w:tcPr>
            <w:tcW w:w="2404" w:type="dxa"/>
            <w:gridSpan w:val="2"/>
            <w:tcBorders>
              <w:top w:val="nil"/>
              <w:left w:val="nil"/>
              <w:right w:val="single" w:sz="4" w:space="0" w:color="auto"/>
            </w:tcBorders>
            <w:shd w:val="clear" w:color="000000" w:fill="FFFFFF"/>
            <w:hideMark/>
          </w:tcPr>
          <w:p w:rsidR="00236E18" w:rsidRPr="00A337CE" w:rsidRDefault="00236E18" w:rsidP="00294272">
            <w:pPr>
              <w:rPr>
                <w:sz w:val="16"/>
                <w:szCs w:val="16"/>
              </w:rPr>
            </w:pPr>
            <w:r>
              <w:rPr>
                <w:sz w:val="16"/>
                <w:szCs w:val="16"/>
              </w:rPr>
              <w:t>-</w:t>
            </w:r>
            <w:r w:rsidRPr="00A337CE">
              <w:rPr>
                <w:sz w:val="16"/>
                <w:szCs w:val="16"/>
              </w:rPr>
              <w:t xml:space="preserve"> África</w:t>
            </w:r>
            <w:r>
              <w:rPr>
                <w:sz w:val="16"/>
                <w:szCs w:val="16"/>
              </w:rPr>
              <w:t xml:space="preserve"> (se mantiene)</w:t>
            </w:r>
            <w:r>
              <w:rPr>
                <w:sz w:val="16"/>
                <w:szCs w:val="16"/>
              </w:rPr>
              <w:br/>
              <w:t xml:space="preserve">- </w:t>
            </w:r>
            <w:proofErr w:type="spellStart"/>
            <w:r>
              <w:rPr>
                <w:sz w:val="16"/>
                <w:szCs w:val="16"/>
              </w:rPr>
              <w:t>Páíses</w:t>
            </w:r>
            <w:proofErr w:type="spellEnd"/>
            <w:r>
              <w:rPr>
                <w:sz w:val="16"/>
                <w:szCs w:val="16"/>
              </w:rPr>
              <w:t xml:space="preserve"> árabes (2% por año)</w:t>
            </w:r>
            <w:r>
              <w:rPr>
                <w:sz w:val="16"/>
                <w:szCs w:val="16"/>
              </w:rPr>
              <w:br/>
              <w:t xml:space="preserve">- </w:t>
            </w:r>
            <w:r w:rsidRPr="00A337CE">
              <w:rPr>
                <w:sz w:val="16"/>
                <w:szCs w:val="16"/>
              </w:rPr>
              <w:t>Asia y el Pacífico</w:t>
            </w:r>
            <w:r>
              <w:rPr>
                <w:sz w:val="16"/>
                <w:szCs w:val="16"/>
              </w:rPr>
              <w:t xml:space="preserve"> (2,5% por año)</w:t>
            </w:r>
            <w:r>
              <w:rPr>
                <w:sz w:val="16"/>
                <w:szCs w:val="16"/>
              </w:rPr>
              <w:br/>
              <w:t xml:space="preserve">- </w:t>
            </w:r>
            <w:r w:rsidRPr="00A337CE">
              <w:rPr>
                <w:sz w:val="16"/>
                <w:szCs w:val="16"/>
              </w:rPr>
              <w:t>América Latina y el Caribe</w:t>
            </w:r>
            <w:r>
              <w:rPr>
                <w:sz w:val="16"/>
                <w:szCs w:val="16"/>
              </w:rPr>
              <w:t xml:space="preserve"> (1,5% por año)</w:t>
            </w:r>
          </w:p>
          <w:p w:rsidR="00236E18" w:rsidRPr="0079353A" w:rsidRDefault="00236E18" w:rsidP="00294272">
            <w:pPr>
              <w:spacing w:after="240"/>
              <w:rPr>
                <w:sz w:val="16"/>
                <w:szCs w:val="16"/>
              </w:rPr>
            </w:pPr>
          </w:p>
        </w:tc>
      </w:tr>
      <w:tr w:rsidR="00236E18" w:rsidRPr="0079353A" w:rsidTr="00294272">
        <w:trPr>
          <w:trHeight w:val="1136"/>
        </w:trPr>
        <w:tc>
          <w:tcPr>
            <w:tcW w:w="2200" w:type="dxa"/>
            <w:tcBorders>
              <w:left w:val="single" w:sz="4" w:space="0" w:color="auto"/>
              <w:bottom w:val="single" w:sz="4" w:space="0" w:color="auto"/>
              <w:right w:val="nil"/>
            </w:tcBorders>
            <w:shd w:val="clear" w:color="000000" w:fill="FFFFFF"/>
            <w:hideMark/>
          </w:tcPr>
          <w:p w:rsidR="00236E18" w:rsidRPr="001D6AA6" w:rsidRDefault="00236E18" w:rsidP="00294272">
            <w:pPr>
              <w:rPr>
                <w:sz w:val="16"/>
                <w:szCs w:val="16"/>
              </w:rPr>
            </w:pPr>
            <w:r w:rsidRPr="001D6AA6">
              <w:rPr>
                <w:sz w:val="16"/>
                <w:szCs w:val="16"/>
              </w:rPr>
              <w:t xml:space="preserve">II.4  </w:t>
            </w:r>
            <w:r>
              <w:rPr>
                <w:sz w:val="16"/>
                <w:szCs w:val="16"/>
              </w:rPr>
              <w:t>Uso m</w:t>
            </w:r>
            <w:proofErr w:type="spellStart"/>
            <w:r w:rsidRPr="001D6AA6">
              <w:rPr>
                <w:sz w:val="16"/>
                <w:szCs w:val="16"/>
                <w:lang w:val="es-ES_tradnl"/>
              </w:rPr>
              <w:t>ayor</w:t>
            </w:r>
            <w:proofErr w:type="spellEnd"/>
            <w:r w:rsidRPr="001D6AA6">
              <w:rPr>
                <w:sz w:val="16"/>
                <w:szCs w:val="16"/>
                <w:lang w:val="es-ES_tradnl"/>
              </w:rPr>
              <w:t xml:space="preserve"> y más eficaz del Sistema de La Haya, entre otros, por los países en desarrollo y los PMA</w:t>
            </w:r>
          </w:p>
        </w:tc>
        <w:tc>
          <w:tcPr>
            <w:tcW w:w="2420" w:type="dxa"/>
            <w:gridSpan w:val="3"/>
            <w:tcBorders>
              <w:left w:val="nil"/>
              <w:bottom w:val="single" w:sz="4" w:space="0" w:color="auto"/>
              <w:right w:val="nil"/>
            </w:tcBorders>
            <w:shd w:val="clear" w:color="000000" w:fill="FFFFFF"/>
            <w:hideMark/>
          </w:tcPr>
          <w:p w:rsidR="00236E18" w:rsidRPr="0079353A" w:rsidRDefault="00236E18" w:rsidP="00294272">
            <w:pPr>
              <w:rPr>
                <w:sz w:val="16"/>
                <w:szCs w:val="16"/>
              </w:rPr>
            </w:pPr>
            <w:r w:rsidRPr="0079353A">
              <w:rPr>
                <w:sz w:val="16"/>
                <w:szCs w:val="16"/>
              </w:rPr>
              <w:t>N</w:t>
            </w:r>
            <w:r>
              <w:rPr>
                <w:sz w:val="16"/>
                <w:szCs w:val="16"/>
              </w:rPr>
              <w:t>º</w:t>
            </w:r>
            <w:r w:rsidRPr="0079353A">
              <w:rPr>
                <w:sz w:val="16"/>
                <w:szCs w:val="16"/>
              </w:rPr>
              <w:t xml:space="preserve"> de solicitudes de La Haya procedentes de </w:t>
            </w:r>
            <w:r>
              <w:rPr>
                <w:sz w:val="16"/>
                <w:szCs w:val="16"/>
              </w:rPr>
              <w:t xml:space="preserve">los </w:t>
            </w:r>
            <w:r w:rsidRPr="0079353A">
              <w:rPr>
                <w:sz w:val="16"/>
                <w:szCs w:val="16"/>
              </w:rPr>
              <w:t xml:space="preserve">países en </w:t>
            </w:r>
            <w:r>
              <w:rPr>
                <w:sz w:val="16"/>
                <w:szCs w:val="16"/>
              </w:rPr>
              <w:t>desarrollo y PMA</w:t>
            </w:r>
            <w:r w:rsidRPr="0079353A">
              <w:rPr>
                <w:sz w:val="16"/>
                <w:szCs w:val="16"/>
              </w:rPr>
              <w:t>.</w:t>
            </w:r>
          </w:p>
        </w:tc>
        <w:tc>
          <w:tcPr>
            <w:tcW w:w="2325" w:type="dxa"/>
            <w:tcBorders>
              <w:left w:val="nil"/>
              <w:bottom w:val="single" w:sz="4" w:space="0" w:color="auto"/>
              <w:right w:val="nil"/>
            </w:tcBorders>
            <w:shd w:val="clear" w:color="000000" w:fill="FFFFFF"/>
            <w:hideMark/>
          </w:tcPr>
          <w:p w:rsidR="00236E18" w:rsidRPr="0079353A" w:rsidRDefault="00236E18" w:rsidP="00294272">
            <w:pPr>
              <w:rPr>
                <w:sz w:val="16"/>
                <w:szCs w:val="16"/>
              </w:rPr>
            </w:pPr>
            <w:r>
              <w:rPr>
                <w:sz w:val="16"/>
                <w:szCs w:val="16"/>
                <w:lang w:bidi="th-TH"/>
              </w:rPr>
              <w:t xml:space="preserve">105 </w:t>
            </w:r>
            <w:r w:rsidRPr="0079353A">
              <w:rPr>
                <w:sz w:val="16"/>
                <w:szCs w:val="16"/>
                <w:lang w:bidi="th-TH"/>
              </w:rPr>
              <w:t>(2014)</w:t>
            </w:r>
            <w:r w:rsidRPr="0079353A">
              <w:rPr>
                <w:sz w:val="16"/>
                <w:szCs w:val="16"/>
              </w:rPr>
              <w:t xml:space="preserve"> </w:t>
            </w:r>
            <w:r>
              <w:rPr>
                <w:sz w:val="16"/>
                <w:szCs w:val="16"/>
              </w:rPr>
              <w:br/>
            </w:r>
            <w:r>
              <w:rPr>
                <w:sz w:val="16"/>
                <w:szCs w:val="16"/>
                <w:lang w:bidi="th-TH"/>
              </w:rPr>
              <w:noBreakHyphen/>
              <w:t xml:space="preserve">  África (5)</w:t>
            </w:r>
            <w:r>
              <w:rPr>
                <w:sz w:val="16"/>
                <w:szCs w:val="16"/>
                <w:lang w:bidi="th-TH"/>
              </w:rPr>
              <w:br/>
            </w:r>
            <w:r>
              <w:rPr>
                <w:sz w:val="16"/>
                <w:szCs w:val="16"/>
                <w:lang w:bidi="th-TH"/>
              </w:rPr>
              <w:noBreakHyphen/>
              <w:t xml:space="preserve">  Países árabes (6)</w:t>
            </w:r>
            <w:r>
              <w:rPr>
                <w:sz w:val="16"/>
                <w:szCs w:val="16"/>
                <w:lang w:bidi="th-TH"/>
              </w:rPr>
              <w:br/>
            </w:r>
            <w:r>
              <w:rPr>
                <w:sz w:val="16"/>
                <w:szCs w:val="16"/>
                <w:lang w:bidi="th-TH"/>
              </w:rPr>
              <w:noBreakHyphen/>
              <w:t xml:space="preserve">  </w:t>
            </w:r>
            <w:r w:rsidRPr="00A337CE">
              <w:rPr>
                <w:sz w:val="16"/>
                <w:szCs w:val="16"/>
                <w:lang w:bidi="th-TH"/>
              </w:rPr>
              <w:t>Asia y el Pacífico</w:t>
            </w:r>
            <w:r>
              <w:rPr>
                <w:sz w:val="16"/>
                <w:szCs w:val="16"/>
                <w:lang w:bidi="th-TH"/>
              </w:rPr>
              <w:t xml:space="preserve"> (94)</w:t>
            </w:r>
          </w:p>
          <w:p w:rsidR="00236E18" w:rsidRDefault="00236E18" w:rsidP="00294272">
            <w:pPr>
              <w:rPr>
                <w:sz w:val="16"/>
                <w:szCs w:val="16"/>
              </w:rPr>
            </w:pPr>
          </w:p>
          <w:p w:rsidR="00236E18" w:rsidRPr="0079353A" w:rsidRDefault="00236E18" w:rsidP="00294272">
            <w:pPr>
              <w:rPr>
                <w:sz w:val="16"/>
                <w:szCs w:val="16"/>
              </w:rPr>
            </w:pPr>
          </w:p>
        </w:tc>
        <w:tc>
          <w:tcPr>
            <w:tcW w:w="2404" w:type="dxa"/>
            <w:gridSpan w:val="2"/>
            <w:tcBorders>
              <w:left w:val="nil"/>
              <w:bottom w:val="single" w:sz="4" w:space="0" w:color="auto"/>
              <w:right w:val="single" w:sz="4" w:space="0" w:color="auto"/>
            </w:tcBorders>
            <w:shd w:val="clear" w:color="000000" w:fill="FFFFFF"/>
            <w:hideMark/>
          </w:tcPr>
          <w:p w:rsidR="00236E18" w:rsidRPr="00A337CE" w:rsidRDefault="00236E18" w:rsidP="00294272">
            <w:pPr>
              <w:rPr>
                <w:sz w:val="16"/>
                <w:szCs w:val="16"/>
              </w:rPr>
            </w:pPr>
            <w:r>
              <w:rPr>
                <w:sz w:val="16"/>
                <w:szCs w:val="16"/>
              </w:rPr>
              <w:t>-</w:t>
            </w:r>
            <w:r w:rsidRPr="00A337CE">
              <w:rPr>
                <w:sz w:val="16"/>
                <w:szCs w:val="16"/>
              </w:rPr>
              <w:t xml:space="preserve"> África</w:t>
            </w:r>
            <w:r>
              <w:rPr>
                <w:sz w:val="16"/>
                <w:szCs w:val="16"/>
              </w:rPr>
              <w:t xml:space="preserve"> (se mantiene)</w:t>
            </w:r>
            <w:r>
              <w:rPr>
                <w:sz w:val="16"/>
                <w:szCs w:val="16"/>
              </w:rPr>
              <w:br/>
              <w:t xml:space="preserve">- </w:t>
            </w:r>
            <w:proofErr w:type="spellStart"/>
            <w:r>
              <w:rPr>
                <w:sz w:val="16"/>
                <w:szCs w:val="16"/>
              </w:rPr>
              <w:t>Páíses</w:t>
            </w:r>
            <w:proofErr w:type="spellEnd"/>
            <w:r>
              <w:rPr>
                <w:sz w:val="16"/>
                <w:szCs w:val="16"/>
              </w:rPr>
              <w:t xml:space="preserve"> árabes (se mantiene)</w:t>
            </w:r>
            <w:r>
              <w:rPr>
                <w:sz w:val="16"/>
                <w:szCs w:val="16"/>
              </w:rPr>
              <w:br/>
              <w:t xml:space="preserve">- </w:t>
            </w:r>
            <w:r w:rsidRPr="00A337CE">
              <w:rPr>
                <w:sz w:val="16"/>
                <w:szCs w:val="16"/>
              </w:rPr>
              <w:t>Asia y el Pacífico</w:t>
            </w:r>
            <w:r>
              <w:rPr>
                <w:sz w:val="16"/>
                <w:szCs w:val="16"/>
              </w:rPr>
              <w:t xml:space="preserve"> (10% por año)</w:t>
            </w:r>
          </w:p>
          <w:p w:rsidR="00236E18" w:rsidRPr="0079353A" w:rsidRDefault="00236E18" w:rsidP="00294272">
            <w:pPr>
              <w:rPr>
                <w:sz w:val="16"/>
                <w:szCs w:val="16"/>
              </w:rPr>
            </w:pPr>
          </w:p>
        </w:tc>
      </w:tr>
      <w:tr w:rsidR="00236E18" w:rsidRPr="0079353A" w:rsidTr="00294272">
        <w:trPr>
          <w:trHeight w:val="2048"/>
        </w:trPr>
        <w:tc>
          <w:tcPr>
            <w:tcW w:w="2200" w:type="dxa"/>
            <w:tcBorders>
              <w:top w:val="single" w:sz="4" w:space="0" w:color="auto"/>
              <w:left w:val="single" w:sz="4" w:space="0" w:color="auto"/>
              <w:right w:val="nil"/>
            </w:tcBorders>
            <w:shd w:val="clear" w:color="000000" w:fill="FFFFFF"/>
            <w:hideMark/>
          </w:tcPr>
          <w:p w:rsidR="00236E18" w:rsidRPr="001D6AA6" w:rsidRDefault="00236E18" w:rsidP="00294272">
            <w:pPr>
              <w:rPr>
                <w:sz w:val="16"/>
                <w:szCs w:val="16"/>
              </w:rPr>
            </w:pPr>
            <w:r w:rsidRPr="001D6AA6">
              <w:rPr>
                <w:sz w:val="16"/>
                <w:szCs w:val="16"/>
              </w:rPr>
              <w:lastRenderedPageBreak/>
              <w:t xml:space="preserve">II.6  </w:t>
            </w:r>
            <w:r>
              <w:rPr>
                <w:sz w:val="16"/>
                <w:szCs w:val="16"/>
              </w:rPr>
              <w:t>Uso m</w:t>
            </w:r>
            <w:proofErr w:type="spellStart"/>
            <w:r w:rsidRPr="001D6AA6">
              <w:rPr>
                <w:sz w:val="16"/>
                <w:szCs w:val="16"/>
                <w:lang w:val="es-ES_tradnl"/>
              </w:rPr>
              <w:t>ayor</w:t>
            </w:r>
            <w:proofErr w:type="spellEnd"/>
            <w:r w:rsidRPr="001D6AA6">
              <w:rPr>
                <w:sz w:val="16"/>
                <w:szCs w:val="16"/>
                <w:lang w:val="es-ES_tradnl"/>
              </w:rPr>
              <w:t xml:space="preserve"> y más eficaz </w:t>
            </w:r>
            <w:r>
              <w:rPr>
                <w:sz w:val="16"/>
                <w:szCs w:val="16"/>
                <w:lang w:val="es-ES_tradnl"/>
              </w:rPr>
              <w:t>de</w:t>
            </w:r>
            <w:r w:rsidRPr="001D6AA6">
              <w:rPr>
                <w:sz w:val="16"/>
                <w:szCs w:val="16"/>
                <w:lang w:val="es-ES_tradnl"/>
              </w:rPr>
              <w:t>l Sistema de Madrid, entre otros, por los países en desarrollo y los PMA</w:t>
            </w:r>
          </w:p>
        </w:tc>
        <w:tc>
          <w:tcPr>
            <w:tcW w:w="2420" w:type="dxa"/>
            <w:gridSpan w:val="3"/>
            <w:tcBorders>
              <w:top w:val="single" w:sz="4" w:space="0" w:color="auto"/>
              <w:left w:val="nil"/>
              <w:right w:val="nil"/>
            </w:tcBorders>
            <w:shd w:val="clear" w:color="000000" w:fill="FFFFFF"/>
            <w:hideMark/>
          </w:tcPr>
          <w:p w:rsidR="00236E18" w:rsidRDefault="00236E18" w:rsidP="00294272">
            <w:pPr>
              <w:rPr>
                <w:sz w:val="16"/>
                <w:szCs w:val="16"/>
              </w:rPr>
            </w:pPr>
            <w:r w:rsidRPr="0079353A">
              <w:rPr>
                <w:sz w:val="16"/>
                <w:szCs w:val="16"/>
              </w:rPr>
              <w:t>N</w:t>
            </w:r>
            <w:r>
              <w:rPr>
                <w:sz w:val="16"/>
                <w:szCs w:val="16"/>
              </w:rPr>
              <w:t>º</w:t>
            </w:r>
            <w:r w:rsidRPr="0079353A">
              <w:rPr>
                <w:sz w:val="16"/>
                <w:szCs w:val="16"/>
              </w:rPr>
              <w:t xml:space="preserve"> de solicitudes del Sistema de Madrid procedentes de países </w:t>
            </w:r>
            <w:r>
              <w:rPr>
                <w:sz w:val="16"/>
                <w:szCs w:val="16"/>
              </w:rPr>
              <w:t>en desarrollo y PMA.</w:t>
            </w:r>
            <w:r w:rsidRPr="0079353A">
              <w:rPr>
                <w:sz w:val="16"/>
                <w:szCs w:val="16"/>
              </w:rPr>
              <w:br/>
            </w:r>
          </w:p>
          <w:p w:rsidR="00236E18" w:rsidRDefault="00236E18" w:rsidP="00294272">
            <w:pPr>
              <w:rPr>
                <w:sz w:val="16"/>
                <w:szCs w:val="16"/>
              </w:rPr>
            </w:pPr>
          </w:p>
          <w:p w:rsidR="00236E18" w:rsidRDefault="00236E18" w:rsidP="00294272">
            <w:pPr>
              <w:rPr>
                <w:sz w:val="16"/>
                <w:szCs w:val="16"/>
              </w:rPr>
            </w:pPr>
          </w:p>
          <w:p w:rsidR="00236E18" w:rsidRDefault="00236E18" w:rsidP="00294272">
            <w:pPr>
              <w:rPr>
                <w:sz w:val="16"/>
                <w:szCs w:val="16"/>
              </w:rPr>
            </w:pPr>
          </w:p>
          <w:p w:rsidR="00236E18" w:rsidRDefault="00236E18" w:rsidP="00294272">
            <w:pPr>
              <w:rPr>
                <w:sz w:val="16"/>
                <w:szCs w:val="16"/>
              </w:rPr>
            </w:pPr>
          </w:p>
          <w:p w:rsidR="00236E18" w:rsidRDefault="00236E18" w:rsidP="00294272">
            <w:pPr>
              <w:rPr>
                <w:sz w:val="16"/>
                <w:szCs w:val="16"/>
              </w:rPr>
            </w:pPr>
          </w:p>
          <w:p w:rsidR="00236E18" w:rsidRDefault="00236E18" w:rsidP="00294272">
            <w:pPr>
              <w:rPr>
                <w:sz w:val="16"/>
                <w:szCs w:val="16"/>
              </w:rPr>
            </w:pPr>
          </w:p>
          <w:p w:rsidR="00236E18" w:rsidRDefault="00236E18" w:rsidP="00294272">
            <w:pPr>
              <w:rPr>
                <w:sz w:val="16"/>
                <w:szCs w:val="16"/>
              </w:rPr>
            </w:pPr>
          </w:p>
          <w:p w:rsidR="00236E18" w:rsidRPr="0079353A" w:rsidRDefault="00236E18" w:rsidP="00294272">
            <w:pPr>
              <w:rPr>
                <w:sz w:val="16"/>
                <w:szCs w:val="16"/>
              </w:rPr>
            </w:pPr>
            <w:r>
              <w:rPr>
                <w:sz w:val="16"/>
                <w:szCs w:val="16"/>
              </w:rPr>
              <w:t xml:space="preserve">Nº de </w:t>
            </w:r>
            <w:r w:rsidRPr="00C052E3">
              <w:rPr>
                <w:sz w:val="16"/>
                <w:szCs w:val="16"/>
              </w:rPr>
              <w:t>registro</w:t>
            </w:r>
            <w:r>
              <w:rPr>
                <w:sz w:val="16"/>
                <w:szCs w:val="16"/>
              </w:rPr>
              <w:t>s</w:t>
            </w:r>
            <w:r w:rsidRPr="00C052E3">
              <w:rPr>
                <w:sz w:val="16"/>
                <w:szCs w:val="16"/>
              </w:rPr>
              <w:t xml:space="preserve"> internacional</w:t>
            </w:r>
            <w:r>
              <w:rPr>
                <w:sz w:val="16"/>
                <w:szCs w:val="16"/>
              </w:rPr>
              <w:t>es en virtud del S</w:t>
            </w:r>
            <w:r w:rsidRPr="00C052E3">
              <w:rPr>
                <w:sz w:val="16"/>
                <w:szCs w:val="16"/>
              </w:rPr>
              <w:t>istema de Lisboa</w:t>
            </w:r>
            <w:r>
              <w:rPr>
                <w:sz w:val="16"/>
                <w:szCs w:val="16"/>
              </w:rPr>
              <w:t xml:space="preserve"> procedentes</w:t>
            </w:r>
            <w:r w:rsidRPr="00C052E3">
              <w:rPr>
                <w:sz w:val="16"/>
                <w:szCs w:val="16"/>
              </w:rPr>
              <w:t xml:space="preserve"> de países en desarrollo</w:t>
            </w:r>
            <w:r>
              <w:rPr>
                <w:sz w:val="16"/>
                <w:szCs w:val="16"/>
              </w:rPr>
              <w:t xml:space="preserve"> y PMA que están en vigor (en relación con el número total)</w:t>
            </w:r>
          </w:p>
        </w:tc>
        <w:tc>
          <w:tcPr>
            <w:tcW w:w="2325" w:type="dxa"/>
            <w:tcBorders>
              <w:top w:val="single" w:sz="4" w:space="0" w:color="auto"/>
              <w:left w:val="nil"/>
              <w:right w:val="nil"/>
            </w:tcBorders>
            <w:shd w:val="clear" w:color="000000" w:fill="FFFFFF"/>
            <w:hideMark/>
          </w:tcPr>
          <w:p w:rsidR="00236E18" w:rsidRPr="0079353A" w:rsidRDefault="00236E18" w:rsidP="00294272">
            <w:pPr>
              <w:rPr>
                <w:sz w:val="16"/>
                <w:szCs w:val="16"/>
              </w:rPr>
            </w:pPr>
            <w:r>
              <w:rPr>
                <w:sz w:val="16"/>
                <w:szCs w:val="16"/>
                <w:lang w:bidi="th-TH"/>
              </w:rPr>
              <w:t xml:space="preserve">3.629 </w:t>
            </w:r>
            <w:r w:rsidRPr="0079353A">
              <w:rPr>
                <w:sz w:val="16"/>
                <w:szCs w:val="16"/>
                <w:lang w:bidi="th-TH"/>
              </w:rPr>
              <w:t>(2014)</w:t>
            </w:r>
            <w:r w:rsidRPr="0079353A">
              <w:rPr>
                <w:sz w:val="16"/>
                <w:szCs w:val="16"/>
              </w:rPr>
              <w:t xml:space="preserve"> </w:t>
            </w:r>
            <w:r>
              <w:rPr>
                <w:sz w:val="16"/>
                <w:szCs w:val="16"/>
              </w:rPr>
              <w:br/>
            </w:r>
            <w:r>
              <w:rPr>
                <w:sz w:val="16"/>
                <w:szCs w:val="16"/>
                <w:lang w:bidi="th-TH"/>
              </w:rPr>
              <w:noBreakHyphen/>
              <w:t xml:space="preserve">  África (18)</w:t>
            </w:r>
            <w:r>
              <w:rPr>
                <w:sz w:val="16"/>
                <w:szCs w:val="16"/>
                <w:lang w:bidi="th-TH"/>
              </w:rPr>
              <w:br/>
            </w:r>
            <w:r>
              <w:rPr>
                <w:sz w:val="16"/>
                <w:szCs w:val="16"/>
                <w:lang w:bidi="th-TH"/>
              </w:rPr>
              <w:noBreakHyphen/>
              <w:t xml:space="preserve">  Países árabes (122)</w:t>
            </w:r>
            <w:r>
              <w:rPr>
                <w:sz w:val="16"/>
                <w:szCs w:val="16"/>
                <w:lang w:bidi="th-TH"/>
              </w:rPr>
              <w:br/>
            </w:r>
            <w:r>
              <w:rPr>
                <w:sz w:val="16"/>
                <w:szCs w:val="16"/>
                <w:lang w:bidi="th-TH"/>
              </w:rPr>
              <w:noBreakHyphen/>
              <w:t xml:space="preserve">  </w:t>
            </w:r>
            <w:r w:rsidRPr="00A337CE">
              <w:rPr>
                <w:sz w:val="16"/>
                <w:szCs w:val="16"/>
                <w:lang w:bidi="th-TH"/>
              </w:rPr>
              <w:t>Asia y el Pacífico</w:t>
            </w:r>
            <w:r>
              <w:rPr>
                <w:sz w:val="16"/>
                <w:szCs w:val="16"/>
                <w:lang w:bidi="th-TH"/>
              </w:rPr>
              <w:t xml:space="preserve"> (3.338)</w:t>
            </w:r>
            <w:r>
              <w:rPr>
                <w:sz w:val="16"/>
                <w:szCs w:val="16"/>
                <w:lang w:bidi="th-TH"/>
              </w:rPr>
              <w:br/>
            </w:r>
            <w:r>
              <w:rPr>
                <w:sz w:val="16"/>
                <w:szCs w:val="16"/>
                <w:lang w:bidi="th-TH"/>
              </w:rPr>
              <w:noBreakHyphen/>
              <w:t xml:space="preserve">  </w:t>
            </w:r>
            <w:r w:rsidRPr="009C5B6A">
              <w:rPr>
                <w:sz w:val="16"/>
                <w:szCs w:val="16"/>
                <w:lang w:bidi="th-TH"/>
              </w:rPr>
              <w:t>América Latina y el Caribe</w:t>
            </w:r>
            <w:r>
              <w:rPr>
                <w:sz w:val="16"/>
                <w:szCs w:val="16"/>
                <w:lang w:bidi="th-TH"/>
              </w:rPr>
              <w:t xml:space="preserve"> (151)</w:t>
            </w:r>
          </w:p>
          <w:p w:rsidR="00236E18" w:rsidRDefault="00236E18" w:rsidP="00294272">
            <w:pPr>
              <w:rPr>
                <w:sz w:val="16"/>
                <w:szCs w:val="16"/>
                <w:lang w:bidi="th-TH"/>
              </w:rPr>
            </w:pPr>
          </w:p>
          <w:p w:rsidR="00236E18" w:rsidRDefault="00236E18" w:rsidP="00294272">
            <w:pPr>
              <w:rPr>
                <w:sz w:val="16"/>
                <w:szCs w:val="16"/>
                <w:lang w:bidi="th-TH"/>
              </w:rPr>
            </w:pPr>
          </w:p>
          <w:p w:rsidR="00236E18" w:rsidRPr="0079353A" w:rsidRDefault="00236E18" w:rsidP="00294272">
            <w:pPr>
              <w:rPr>
                <w:sz w:val="16"/>
                <w:szCs w:val="16"/>
                <w:lang w:bidi="th-TH"/>
              </w:rPr>
            </w:pPr>
          </w:p>
          <w:p w:rsidR="00236E18" w:rsidRPr="0079353A" w:rsidRDefault="00236E18" w:rsidP="00294272">
            <w:pPr>
              <w:rPr>
                <w:sz w:val="16"/>
                <w:szCs w:val="16"/>
              </w:rPr>
            </w:pPr>
          </w:p>
          <w:p w:rsidR="00236E18" w:rsidRPr="0079353A" w:rsidRDefault="00236E18" w:rsidP="00294272">
            <w:pPr>
              <w:rPr>
                <w:sz w:val="16"/>
                <w:szCs w:val="16"/>
              </w:rPr>
            </w:pPr>
            <w:r>
              <w:rPr>
                <w:sz w:val="16"/>
                <w:szCs w:val="16"/>
              </w:rPr>
              <w:t>78 de 896:</w:t>
            </w:r>
            <w:r>
              <w:rPr>
                <w:sz w:val="16"/>
                <w:szCs w:val="16"/>
              </w:rPr>
              <w:br/>
            </w:r>
            <w:r>
              <w:rPr>
                <w:sz w:val="16"/>
                <w:szCs w:val="16"/>
                <w:lang w:bidi="th-TH"/>
              </w:rPr>
              <w:noBreakHyphen/>
              <w:t xml:space="preserve">  Países árabes (14)</w:t>
            </w:r>
            <w:r>
              <w:rPr>
                <w:sz w:val="16"/>
                <w:szCs w:val="16"/>
                <w:lang w:bidi="th-TH"/>
              </w:rPr>
              <w:br/>
            </w:r>
            <w:r>
              <w:rPr>
                <w:sz w:val="16"/>
                <w:szCs w:val="16"/>
                <w:lang w:bidi="th-TH"/>
              </w:rPr>
              <w:noBreakHyphen/>
              <w:t xml:space="preserve">  </w:t>
            </w:r>
            <w:r w:rsidRPr="00A337CE">
              <w:rPr>
                <w:sz w:val="16"/>
                <w:szCs w:val="16"/>
                <w:lang w:bidi="th-TH"/>
              </w:rPr>
              <w:t>Asia y el Pacífico</w:t>
            </w:r>
            <w:r>
              <w:rPr>
                <w:sz w:val="16"/>
                <w:szCs w:val="16"/>
                <w:lang w:bidi="th-TH"/>
              </w:rPr>
              <w:t xml:space="preserve"> (22)</w:t>
            </w:r>
            <w:r>
              <w:rPr>
                <w:sz w:val="16"/>
                <w:szCs w:val="16"/>
                <w:lang w:bidi="th-TH"/>
              </w:rPr>
              <w:br/>
            </w:r>
            <w:r>
              <w:rPr>
                <w:sz w:val="16"/>
                <w:szCs w:val="16"/>
                <w:lang w:bidi="th-TH"/>
              </w:rPr>
              <w:noBreakHyphen/>
              <w:t xml:space="preserve">  </w:t>
            </w:r>
            <w:r w:rsidRPr="009C5B6A">
              <w:rPr>
                <w:sz w:val="16"/>
                <w:szCs w:val="16"/>
                <w:lang w:bidi="th-TH"/>
              </w:rPr>
              <w:t>América Latina y el Caribe</w:t>
            </w:r>
            <w:r>
              <w:rPr>
                <w:sz w:val="16"/>
                <w:szCs w:val="16"/>
                <w:lang w:bidi="th-TH"/>
              </w:rPr>
              <w:t xml:space="preserve"> (42)</w:t>
            </w:r>
            <w:r>
              <w:rPr>
                <w:sz w:val="16"/>
                <w:szCs w:val="16"/>
                <w:lang w:bidi="th-TH"/>
              </w:rPr>
              <w:br/>
              <w:t>(marzo 2015)</w:t>
            </w:r>
          </w:p>
        </w:tc>
        <w:tc>
          <w:tcPr>
            <w:tcW w:w="2404" w:type="dxa"/>
            <w:gridSpan w:val="2"/>
            <w:tcBorders>
              <w:top w:val="single" w:sz="4" w:space="0" w:color="auto"/>
              <w:left w:val="nil"/>
              <w:right w:val="single" w:sz="4" w:space="0" w:color="auto"/>
            </w:tcBorders>
            <w:shd w:val="clear" w:color="000000" w:fill="FFFFFF"/>
            <w:hideMark/>
          </w:tcPr>
          <w:p w:rsidR="00236E18" w:rsidRPr="0079353A" w:rsidRDefault="00236E18" w:rsidP="00294272">
            <w:pPr>
              <w:rPr>
                <w:sz w:val="16"/>
                <w:szCs w:val="16"/>
              </w:rPr>
            </w:pPr>
            <w:r>
              <w:rPr>
                <w:sz w:val="16"/>
                <w:szCs w:val="16"/>
              </w:rPr>
              <w:t>-</w:t>
            </w:r>
            <w:r w:rsidRPr="00A337CE">
              <w:rPr>
                <w:sz w:val="16"/>
                <w:szCs w:val="16"/>
              </w:rPr>
              <w:t xml:space="preserve"> África</w:t>
            </w:r>
            <w:r>
              <w:rPr>
                <w:sz w:val="16"/>
                <w:szCs w:val="16"/>
              </w:rPr>
              <w:t xml:space="preserve"> (se mantiene)</w:t>
            </w:r>
            <w:r>
              <w:rPr>
                <w:sz w:val="16"/>
                <w:szCs w:val="16"/>
              </w:rPr>
              <w:br/>
              <w:t xml:space="preserve">- </w:t>
            </w:r>
            <w:proofErr w:type="spellStart"/>
            <w:r>
              <w:rPr>
                <w:sz w:val="16"/>
                <w:szCs w:val="16"/>
              </w:rPr>
              <w:t>Páíses</w:t>
            </w:r>
            <w:proofErr w:type="spellEnd"/>
            <w:r>
              <w:rPr>
                <w:sz w:val="16"/>
                <w:szCs w:val="16"/>
              </w:rPr>
              <w:t xml:space="preserve"> árabes (se mantiene)</w:t>
            </w:r>
            <w:r>
              <w:rPr>
                <w:sz w:val="16"/>
                <w:szCs w:val="16"/>
              </w:rPr>
              <w:br/>
              <w:t xml:space="preserve">- </w:t>
            </w:r>
            <w:r w:rsidRPr="00A337CE">
              <w:rPr>
                <w:sz w:val="16"/>
                <w:szCs w:val="16"/>
              </w:rPr>
              <w:t>Asia y el Pacífico</w:t>
            </w:r>
            <w:r>
              <w:rPr>
                <w:sz w:val="16"/>
                <w:szCs w:val="16"/>
              </w:rPr>
              <w:t xml:space="preserve"> (5% por año)</w:t>
            </w:r>
          </w:p>
          <w:p w:rsidR="00236E18" w:rsidRDefault="00236E18" w:rsidP="00294272">
            <w:pPr>
              <w:rPr>
                <w:sz w:val="16"/>
                <w:szCs w:val="16"/>
              </w:rPr>
            </w:pPr>
            <w:r>
              <w:rPr>
                <w:sz w:val="16"/>
                <w:szCs w:val="16"/>
              </w:rPr>
              <w:t>- América Latina y el Caribe (10% por año)</w:t>
            </w:r>
          </w:p>
          <w:p w:rsidR="00236E18" w:rsidRDefault="00236E18" w:rsidP="00294272">
            <w:pPr>
              <w:rPr>
                <w:sz w:val="16"/>
                <w:szCs w:val="16"/>
              </w:rPr>
            </w:pPr>
          </w:p>
          <w:p w:rsidR="00236E18" w:rsidRDefault="00236E18" w:rsidP="00294272">
            <w:pPr>
              <w:rPr>
                <w:sz w:val="16"/>
                <w:szCs w:val="16"/>
              </w:rPr>
            </w:pPr>
          </w:p>
          <w:p w:rsidR="00236E18" w:rsidRDefault="00236E18" w:rsidP="00294272">
            <w:pPr>
              <w:rPr>
                <w:sz w:val="16"/>
                <w:szCs w:val="16"/>
              </w:rPr>
            </w:pPr>
          </w:p>
          <w:p w:rsidR="00236E18" w:rsidRPr="0079353A" w:rsidRDefault="00236E18" w:rsidP="00294272">
            <w:pPr>
              <w:rPr>
                <w:sz w:val="16"/>
                <w:szCs w:val="16"/>
              </w:rPr>
            </w:pPr>
          </w:p>
          <w:p w:rsidR="00236E18" w:rsidRPr="0079353A" w:rsidRDefault="00236E18" w:rsidP="00294272">
            <w:pPr>
              <w:rPr>
                <w:sz w:val="16"/>
                <w:szCs w:val="16"/>
              </w:rPr>
            </w:pPr>
            <w:r>
              <w:rPr>
                <w:sz w:val="16"/>
                <w:szCs w:val="16"/>
              </w:rPr>
              <w:t>90 (de 950) (bienal)</w:t>
            </w:r>
          </w:p>
        </w:tc>
      </w:tr>
      <w:tr w:rsidR="00236E18" w:rsidRPr="0037163B" w:rsidTr="00294272">
        <w:trPr>
          <w:trHeight w:val="1039"/>
        </w:trPr>
        <w:tc>
          <w:tcPr>
            <w:tcW w:w="2280" w:type="dxa"/>
            <w:gridSpan w:val="2"/>
            <w:tcBorders>
              <w:top w:val="nil"/>
              <w:left w:val="single" w:sz="4" w:space="0" w:color="auto"/>
              <w:right w:val="nil"/>
            </w:tcBorders>
            <w:shd w:val="clear" w:color="000000" w:fill="FFFFFF"/>
            <w:tcMar>
              <w:top w:w="85" w:type="dxa"/>
            </w:tcMar>
            <w:hideMark/>
          </w:tcPr>
          <w:p w:rsidR="00236E18" w:rsidRPr="00437C8E" w:rsidRDefault="00236E18" w:rsidP="00294272">
            <w:pPr>
              <w:widowControl w:val="0"/>
              <w:rPr>
                <w:sz w:val="16"/>
                <w:szCs w:val="16"/>
              </w:rPr>
            </w:pPr>
            <w:r w:rsidRPr="00437C8E">
              <w:rPr>
                <w:sz w:val="16"/>
                <w:szCs w:val="16"/>
              </w:rPr>
              <w:t xml:space="preserve">III.1  </w:t>
            </w:r>
            <w:r w:rsidRPr="00437C8E">
              <w:rPr>
                <w:sz w:val="16"/>
                <w:szCs w:val="16"/>
                <w:lang w:val="es-ES_tradnl"/>
              </w:rPr>
              <w:t>Estrategias y planes nacionales de innovación y de P.I. que estén en sintonía con los objetivos nacionales de desarrollo</w:t>
            </w:r>
          </w:p>
        </w:tc>
        <w:tc>
          <w:tcPr>
            <w:tcW w:w="2180" w:type="dxa"/>
            <w:tcBorders>
              <w:top w:val="nil"/>
              <w:left w:val="nil"/>
              <w:right w:val="nil"/>
            </w:tcBorders>
            <w:shd w:val="clear" w:color="000000" w:fill="FFFFFF"/>
            <w:tcMar>
              <w:top w:w="85" w:type="dxa"/>
            </w:tcMar>
            <w:hideMark/>
          </w:tcPr>
          <w:p w:rsidR="00236E18" w:rsidRPr="00437C8E" w:rsidRDefault="00236E18" w:rsidP="00294272">
            <w:pPr>
              <w:widowControl w:val="0"/>
              <w:rPr>
                <w:sz w:val="16"/>
                <w:szCs w:val="16"/>
              </w:rPr>
            </w:pPr>
            <w:r w:rsidRPr="00437C8E">
              <w:rPr>
                <w:sz w:val="16"/>
                <w:szCs w:val="16"/>
              </w:rPr>
              <w:t>Número de países que están elaborando estrategias nacionales de P.I.</w:t>
            </w:r>
          </w:p>
        </w:tc>
        <w:tc>
          <w:tcPr>
            <w:tcW w:w="2760" w:type="dxa"/>
            <w:gridSpan w:val="3"/>
            <w:tcBorders>
              <w:top w:val="nil"/>
              <w:left w:val="nil"/>
              <w:right w:val="nil"/>
            </w:tcBorders>
            <w:shd w:val="clear" w:color="000000" w:fill="FFFFFF"/>
            <w:tcMar>
              <w:top w:w="85" w:type="dxa"/>
            </w:tcMar>
            <w:hideMark/>
          </w:tcPr>
          <w:p w:rsidR="00236E18" w:rsidRPr="00437C8E" w:rsidRDefault="00236E18" w:rsidP="00294272">
            <w:pPr>
              <w:widowControl w:val="0"/>
              <w:spacing w:after="240"/>
              <w:rPr>
                <w:sz w:val="16"/>
                <w:szCs w:val="16"/>
              </w:rPr>
            </w:pPr>
            <w:r w:rsidRPr="00437C8E">
              <w:rPr>
                <w:sz w:val="16"/>
                <w:szCs w:val="16"/>
              </w:rPr>
              <w:t>África (24 en total)</w:t>
            </w:r>
            <w:r w:rsidRPr="00437C8E">
              <w:rPr>
                <w:sz w:val="16"/>
                <w:szCs w:val="16"/>
              </w:rPr>
              <w:br/>
              <w:t>Países árabes (4 en 2014)</w:t>
            </w:r>
            <w:r w:rsidRPr="00437C8E">
              <w:rPr>
                <w:sz w:val="16"/>
                <w:szCs w:val="16"/>
              </w:rPr>
              <w:br/>
              <w:t>Asia y el Pacífico (14 en total)</w:t>
            </w:r>
            <w:r w:rsidRPr="00437C8E">
              <w:rPr>
                <w:sz w:val="16"/>
                <w:szCs w:val="16"/>
              </w:rPr>
              <w:br/>
              <w:t>América Latina y el Caribe (12 en total)</w:t>
            </w:r>
          </w:p>
        </w:tc>
        <w:tc>
          <w:tcPr>
            <w:tcW w:w="2129" w:type="dxa"/>
            <w:tcBorders>
              <w:top w:val="nil"/>
              <w:left w:val="nil"/>
              <w:right w:val="single" w:sz="4" w:space="0" w:color="auto"/>
            </w:tcBorders>
            <w:shd w:val="clear" w:color="000000" w:fill="FFFFFF"/>
            <w:tcMar>
              <w:top w:w="85" w:type="dxa"/>
            </w:tcMar>
            <w:hideMark/>
          </w:tcPr>
          <w:p w:rsidR="00236E18" w:rsidRPr="0037163B" w:rsidRDefault="00236E18" w:rsidP="00294272">
            <w:pPr>
              <w:widowControl w:val="0"/>
              <w:spacing w:after="240"/>
              <w:rPr>
                <w:sz w:val="16"/>
                <w:szCs w:val="16"/>
              </w:rPr>
            </w:pPr>
            <w:r w:rsidRPr="00437C8E">
              <w:rPr>
                <w:sz w:val="16"/>
                <w:szCs w:val="16"/>
              </w:rPr>
              <w:t>África (3 más)</w:t>
            </w:r>
            <w:r w:rsidRPr="00437C8E">
              <w:rPr>
                <w:sz w:val="16"/>
                <w:szCs w:val="16"/>
              </w:rPr>
              <w:br/>
              <w:t>Países árabes (4 más)</w:t>
            </w:r>
            <w:r w:rsidRPr="00437C8E">
              <w:rPr>
                <w:sz w:val="16"/>
                <w:szCs w:val="16"/>
              </w:rPr>
              <w:br/>
              <w:t>Asia y el Pacífico (4 más)</w:t>
            </w:r>
            <w:r w:rsidRPr="00437C8E">
              <w:rPr>
                <w:sz w:val="16"/>
                <w:szCs w:val="16"/>
              </w:rPr>
              <w:br/>
              <w:t>América Latina y el Caribe (5 más)</w:t>
            </w:r>
          </w:p>
        </w:tc>
      </w:tr>
      <w:tr w:rsidR="00236E18" w:rsidRPr="0037163B" w:rsidTr="00294272">
        <w:trPr>
          <w:trHeight w:val="1265"/>
        </w:trPr>
        <w:tc>
          <w:tcPr>
            <w:tcW w:w="2280" w:type="dxa"/>
            <w:gridSpan w:val="2"/>
            <w:tcBorders>
              <w:top w:val="nil"/>
              <w:left w:val="single" w:sz="4" w:space="0" w:color="auto"/>
              <w:right w:val="nil"/>
            </w:tcBorders>
            <w:shd w:val="clear" w:color="000000" w:fill="FFFFFF"/>
            <w:tcMar>
              <w:top w:w="85" w:type="dxa"/>
            </w:tcMar>
            <w:hideMark/>
          </w:tcPr>
          <w:p w:rsidR="00236E18" w:rsidRPr="0037163B" w:rsidRDefault="00236E18" w:rsidP="00294272">
            <w:pPr>
              <w:widowControl w:val="0"/>
              <w:rPr>
                <w:sz w:val="16"/>
                <w:szCs w:val="16"/>
              </w:rPr>
            </w:pPr>
          </w:p>
        </w:tc>
        <w:tc>
          <w:tcPr>
            <w:tcW w:w="2180" w:type="dxa"/>
            <w:tcBorders>
              <w:top w:val="nil"/>
              <w:left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Número de países que han adoptado estrategias nacionales de innovación y de P.I.</w:t>
            </w:r>
          </w:p>
        </w:tc>
        <w:tc>
          <w:tcPr>
            <w:tcW w:w="2760" w:type="dxa"/>
            <w:gridSpan w:val="3"/>
            <w:tcBorders>
              <w:top w:val="nil"/>
              <w:left w:val="nil"/>
              <w:right w:val="nil"/>
            </w:tcBorders>
            <w:shd w:val="clear" w:color="000000" w:fill="FFFFFF"/>
            <w:tcMar>
              <w:top w:w="85" w:type="dxa"/>
            </w:tcMar>
            <w:hideMark/>
          </w:tcPr>
          <w:p w:rsidR="00236E18" w:rsidRPr="0037163B" w:rsidRDefault="00236E18" w:rsidP="00294272">
            <w:pPr>
              <w:widowControl w:val="0"/>
              <w:spacing w:after="240"/>
              <w:rPr>
                <w:sz w:val="16"/>
                <w:szCs w:val="16"/>
              </w:rPr>
            </w:pPr>
            <w:r w:rsidRPr="0037163B">
              <w:rPr>
                <w:sz w:val="16"/>
                <w:szCs w:val="16"/>
              </w:rPr>
              <w:t>África (</w:t>
            </w:r>
            <w:r>
              <w:rPr>
                <w:sz w:val="16"/>
                <w:szCs w:val="16"/>
              </w:rPr>
              <w:t>21 en total</w:t>
            </w:r>
            <w:r w:rsidRPr="0037163B">
              <w:rPr>
                <w:sz w:val="16"/>
                <w:szCs w:val="16"/>
              </w:rPr>
              <w:t>)</w:t>
            </w:r>
            <w:r w:rsidRPr="0037163B">
              <w:rPr>
                <w:sz w:val="16"/>
                <w:szCs w:val="16"/>
              </w:rPr>
              <w:br/>
              <w:t>Países árabes (</w:t>
            </w:r>
            <w:r>
              <w:rPr>
                <w:sz w:val="16"/>
                <w:szCs w:val="16"/>
              </w:rPr>
              <w:t>2 en total)</w:t>
            </w:r>
            <w:r>
              <w:rPr>
                <w:sz w:val="16"/>
                <w:szCs w:val="16"/>
              </w:rPr>
              <w:br/>
              <w:t>Asia y el Pacífico (8 en total</w:t>
            </w:r>
            <w:r w:rsidRPr="0037163B">
              <w:rPr>
                <w:sz w:val="16"/>
                <w:szCs w:val="16"/>
              </w:rPr>
              <w:t>)</w:t>
            </w:r>
            <w:r w:rsidRPr="0037163B">
              <w:rPr>
                <w:sz w:val="16"/>
                <w:szCs w:val="16"/>
              </w:rPr>
              <w:br/>
              <w:t>América Latina y el Caribe (6</w:t>
            </w:r>
            <w:r>
              <w:rPr>
                <w:sz w:val="16"/>
                <w:szCs w:val="16"/>
              </w:rPr>
              <w:t xml:space="preserve"> en total)</w:t>
            </w:r>
          </w:p>
        </w:tc>
        <w:tc>
          <w:tcPr>
            <w:tcW w:w="2129" w:type="dxa"/>
            <w:tcBorders>
              <w:top w:val="nil"/>
              <w:left w:val="nil"/>
              <w:right w:val="single" w:sz="4" w:space="0" w:color="auto"/>
            </w:tcBorders>
            <w:shd w:val="clear" w:color="000000" w:fill="FFFFFF"/>
            <w:tcMar>
              <w:top w:w="85" w:type="dxa"/>
            </w:tcMar>
            <w:hideMark/>
          </w:tcPr>
          <w:p w:rsidR="00236E18" w:rsidRPr="0037163B" w:rsidRDefault="00236E18" w:rsidP="00294272">
            <w:pPr>
              <w:widowControl w:val="0"/>
              <w:spacing w:after="240"/>
              <w:rPr>
                <w:sz w:val="16"/>
                <w:szCs w:val="16"/>
              </w:rPr>
            </w:pPr>
            <w:r w:rsidRPr="0037163B">
              <w:rPr>
                <w:sz w:val="16"/>
                <w:szCs w:val="16"/>
              </w:rPr>
              <w:t>África (</w:t>
            </w:r>
            <w:r>
              <w:rPr>
                <w:sz w:val="16"/>
                <w:szCs w:val="16"/>
              </w:rPr>
              <w:t>8 más</w:t>
            </w:r>
            <w:r w:rsidRPr="0037163B">
              <w:rPr>
                <w:sz w:val="16"/>
                <w:szCs w:val="16"/>
              </w:rPr>
              <w:t>)</w:t>
            </w:r>
            <w:r w:rsidRPr="0037163B">
              <w:rPr>
                <w:sz w:val="16"/>
                <w:szCs w:val="16"/>
              </w:rPr>
              <w:br/>
              <w:t>Países árabes (2</w:t>
            </w:r>
            <w:r>
              <w:rPr>
                <w:sz w:val="16"/>
                <w:szCs w:val="16"/>
              </w:rPr>
              <w:t xml:space="preserve"> más</w:t>
            </w:r>
            <w:r w:rsidRPr="0037163B">
              <w:rPr>
                <w:sz w:val="16"/>
                <w:szCs w:val="16"/>
              </w:rPr>
              <w:t>)</w:t>
            </w:r>
            <w:r w:rsidRPr="0037163B">
              <w:rPr>
                <w:sz w:val="16"/>
                <w:szCs w:val="16"/>
              </w:rPr>
              <w:br/>
              <w:t>Asia y el Pacífico (7</w:t>
            </w:r>
            <w:r>
              <w:rPr>
                <w:sz w:val="16"/>
                <w:szCs w:val="16"/>
              </w:rPr>
              <w:t xml:space="preserve"> más</w:t>
            </w:r>
            <w:r w:rsidRPr="0037163B">
              <w:rPr>
                <w:sz w:val="16"/>
                <w:szCs w:val="16"/>
              </w:rPr>
              <w:t>)</w:t>
            </w:r>
            <w:r w:rsidRPr="0037163B">
              <w:rPr>
                <w:sz w:val="16"/>
                <w:szCs w:val="16"/>
              </w:rPr>
              <w:br/>
              <w:t>América Latina y el Caribe (</w:t>
            </w:r>
            <w:r>
              <w:rPr>
                <w:sz w:val="16"/>
                <w:szCs w:val="16"/>
              </w:rPr>
              <w:t>2 más</w:t>
            </w:r>
            <w:r w:rsidRPr="0037163B">
              <w:rPr>
                <w:sz w:val="16"/>
                <w:szCs w:val="16"/>
              </w:rPr>
              <w:t>)</w:t>
            </w:r>
          </w:p>
        </w:tc>
      </w:tr>
      <w:tr w:rsidR="00236E18" w:rsidRPr="0037163B" w:rsidTr="00294272">
        <w:trPr>
          <w:trHeight w:val="1035"/>
        </w:trPr>
        <w:tc>
          <w:tcPr>
            <w:tcW w:w="2280" w:type="dxa"/>
            <w:gridSpan w:val="2"/>
            <w:tcBorders>
              <w:left w:val="single" w:sz="4" w:space="0" w:color="auto"/>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 </w:t>
            </w:r>
          </w:p>
        </w:tc>
        <w:tc>
          <w:tcPr>
            <w:tcW w:w="2180" w:type="dxa"/>
            <w:tcBorders>
              <w:left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N</w:t>
            </w:r>
            <w:r>
              <w:rPr>
                <w:sz w:val="16"/>
                <w:szCs w:val="16"/>
              </w:rPr>
              <w:t>º</w:t>
            </w:r>
            <w:r w:rsidRPr="0037163B">
              <w:rPr>
                <w:sz w:val="16"/>
                <w:szCs w:val="16"/>
              </w:rPr>
              <w:t xml:space="preserve"> de países que están aplicando estrategias nacionales de innovación y de P.I. y planes de desarrollo de la P.I.</w:t>
            </w:r>
          </w:p>
        </w:tc>
        <w:tc>
          <w:tcPr>
            <w:tcW w:w="2760" w:type="dxa"/>
            <w:gridSpan w:val="3"/>
            <w:tcBorders>
              <w:left w:val="nil"/>
              <w:right w:val="nil"/>
            </w:tcBorders>
            <w:shd w:val="clear" w:color="000000" w:fill="FFFFFF"/>
            <w:tcMar>
              <w:top w:w="85" w:type="dxa"/>
            </w:tcMar>
            <w:hideMark/>
          </w:tcPr>
          <w:p w:rsidR="00236E18" w:rsidRPr="0037163B" w:rsidRDefault="00236E18" w:rsidP="00294272">
            <w:pPr>
              <w:widowControl w:val="0"/>
              <w:spacing w:after="240"/>
              <w:rPr>
                <w:sz w:val="16"/>
                <w:szCs w:val="16"/>
              </w:rPr>
            </w:pPr>
            <w:r>
              <w:rPr>
                <w:sz w:val="16"/>
                <w:szCs w:val="16"/>
              </w:rPr>
              <w:t>África (21 en total</w:t>
            </w:r>
            <w:r w:rsidRPr="0037163B">
              <w:rPr>
                <w:sz w:val="16"/>
                <w:szCs w:val="16"/>
              </w:rPr>
              <w:t>)</w:t>
            </w:r>
            <w:r w:rsidRPr="0037163B">
              <w:rPr>
                <w:sz w:val="16"/>
                <w:szCs w:val="16"/>
              </w:rPr>
              <w:br/>
              <w:t>Países árabes (2</w:t>
            </w:r>
            <w:r>
              <w:rPr>
                <w:sz w:val="16"/>
                <w:szCs w:val="16"/>
              </w:rPr>
              <w:t xml:space="preserve"> en total</w:t>
            </w:r>
            <w:r w:rsidRPr="0037163B">
              <w:rPr>
                <w:sz w:val="16"/>
                <w:szCs w:val="16"/>
              </w:rPr>
              <w:t>)</w:t>
            </w:r>
            <w:r w:rsidRPr="0037163B">
              <w:rPr>
                <w:sz w:val="16"/>
                <w:szCs w:val="16"/>
              </w:rPr>
              <w:br/>
              <w:t>Asia y el Pacífico (4</w:t>
            </w:r>
            <w:r>
              <w:rPr>
                <w:sz w:val="16"/>
                <w:szCs w:val="16"/>
              </w:rPr>
              <w:t xml:space="preserve"> en total</w:t>
            </w:r>
            <w:r w:rsidRPr="0037163B">
              <w:rPr>
                <w:sz w:val="16"/>
                <w:szCs w:val="16"/>
              </w:rPr>
              <w:t>)</w:t>
            </w:r>
            <w:r w:rsidRPr="0037163B">
              <w:rPr>
                <w:sz w:val="16"/>
                <w:szCs w:val="16"/>
              </w:rPr>
              <w:br/>
              <w:t>América Latina y el Caribe (6</w:t>
            </w:r>
            <w:r>
              <w:rPr>
                <w:sz w:val="16"/>
                <w:szCs w:val="16"/>
              </w:rPr>
              <w:t xml:space="preserve"> en total</w:t>
            </w:r>
            <w:r w:rsidRPr="0037163B">
              <w:rPr>
                <w:sz w:val="16"/>
                <w:szCs w:val="16"/>
              </w:rPr>
              <w:t>)</w:t>
            </w:r>
          </w:p>
        </w:tc>
        <w:tc>
          <w:tcPr>
            <w:tcW w:w="2129" w:type="dxa"/>
            <w:tcBorders>
              <w:left w:val="nil"/>
              <w:right w:val="single" w:sz="4" w:space="0" w:color="auto"/>
            </w:tcBorders>
            <w:shd w:val="clear" w:color="000000" w:fill="FFFFFF"/>
            <w:tcMar>
              <w:top w:w="85" w:type="dxa"/>
            </w:tcMar>
            <w:hideMark/>
          </w:tcPr>
          <w:p w:rsidR="00236E18" w:rsidRPr="0037163B" w:rsidRDefault="00236E18" w:rsidP="00294272">
            <w:pPr>
              <w:widowControl w:val="0"/>
              <w:spacing w:after="240"/>
              <w:rPr>
                <w:sz w:val="16"/>
                <w:szCs w:val="16"/>
              </w:rPr>
            </w:pPr>
            <w:r w:rsidRPr="0037163B">
              <w:rPr>
                <w:sz w:val="16"/>
                <w:szCs w:val="16"/>
              </w:rPr>
              <w:t>África (</w:t>
            </w:r>
            <w:r>
              <w:rPr>
                <w:sz w:val="16"/>
                <w:szCs w:val="16"/>
              </w:rPr>
              <w:t>8 más</w:t>
            </w:r>
            <w:r w:rsidRPr="0037163B">
              <w:rPr>
                <w:sz w:val="16"/>
                <w:szCs w:val="16"/>
              </w:rPr>
              <w:t>)</w:t>
            </w:r>
            <w:r w:rsidRPr="0037163B">
              <w:rPr>
                <w:sz w:val="16"/>
                <w:szCs w:val="16"/>
              </w:rPr>
              <w:br/>
              <w:t>Países árabes (</w:t>
            </w:r>
            <w:r>
              <w:rPr>
                <w:sz w:val="16"/>
                <w:szCs w:val="16"/>
              </w:rPr>
              <w:t>2 más</w:t>
            </w:r>
            <w:r w:rsidRPr="0037163B">
              <w:rPr>
                <w:sz w:val="16"/>
                <w:szCs w:val="16"/>
              </w:rPr>
              <w:t>)</w:t>
            </w:r>
            <w:r w:rsidRPr="0037163B">
              <w:rPr>
                <w:sz w:val="16"/>
                <w:szCs w:val="16"/>
              </w:rPr>
              <w:br/>
              <w:t>Asia y el Pacífico (7</w:t>
            </w:r>
            <w:r>
              <w:rPr>
                <w:sz w:val="16"/>
                <w:szCs w:val="16"/>
              </w:rPr>
              <w:t xml:space="preserve"> más</w:t>
            </w:r>
            <w:r w:rsidRPr="0037163B">
              <w:rPr>
                <w:sz w:val="16"/>
                <w:szCs w:val="16"/>
              </w:rPr>
              <w:t>)</w:t>
            </w:r>
            <w:r w:rsidRPr="0037163B">
              <w:rPr>
                <w:sz w:val="16"/>
                <w:szCs w:val="16"/>
              </w:rPr>
              <w:br/>
              <w:t>América Latina y el Caribe (</w:t>
            </w:r>
            <w:r>
              <w:rPr>
                <w:sz w:val="16"/>
                <w:szCs w:val="16"/>
              </w:rPr>
              <w:t>6 más</w:t>
            </w:r>
            <w:r w:rsidRPr="0037163B">
              <w:rPr>
                <w:sz w:val="16"/>
                <w:szCs w:val="16"/>
              </w:rPr>
              <w:t>)</w:t>
            </w:r>
          </w:p>
        </w:tc>
      </w:tr>
      <w:tr w:rsidR="00236E18" w:rsidRPr="0037163B" w:rsidTr="00294272">
        <w:trPr>
          <w:trHeight w:val="1355"/>
        </w:trPr>
        <w:tc>
          <w:tcPr>
            <w:tcW w:w="2280" w:type="dxa"/>
            <w:gridSpan w:val="2"/>
            <w:tcBorders>
              <w:top w:val="nil"/>
              <w:left w:val="single" w:sz="4" w:space="0" w:color="auto"/>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III.</w:t>
            </w:r>
            <w:r w:rsidRPr="00245CAF">
              <w:rPr>
                <w:sz w:val="16"/>
                <w:szCs w:val="16"/>
              </w:rPr>
              <w:t xml:space="preserve">2  </w:t>
            </w:r>
            <w:r w:rsidRPr="00245CAF">
              <w:rPr>
                <w:sz w:val="16"/>
                <w:szCs w:val="16"/>
                <w:lang w:val="es-ES_tradnl"/>
              </w:rPr>
              <w:t>Aumento de las capacidades en recursos humanos para hacer frente a la gran diversidad de exigencias que supone la utilización eficaz de la P.I. para fomentar el desarrollo en los países en desarrollo, PMA y países con economías en transición</w:t>
            </w:r>
          </w:p>
        </w:tc>
        <w:tc>
          <w:tcPr>
            <w:tcW w:w="2180" w:type="dxa"/>
            <w:tcBorders>
              <w:top w:val="nil"/>
              <w:left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 xml:space="preserve">Porcentaje de participantes en actividades de la OMPI que se muestran satisfechos del contenido y </w:t>
            </w:r>
            <w:r>
              <w:rPr>
                <w:sz w:val="16"/>
                <w:szCs w:val="16"/>
              </w:rPr>
              <w:t>la organización de dichos actos</w:t>
            </w:r>
          </w:p>
        </w:tc>
        <w:tc>
          <w:tcPr>
            <w:tcW w:w="2760" w:type="dxa"/>
            <w:gridSpan w:val="3"/>
            <w:tcBorders>
              <w:top w:val="nil"/>
              <w:left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África (70%)</w:t>
            </w:r>
            <w:r w:rsidRPr="0037163B">
              <w:rPr>
                <w:sz w:val="16"/>
                <w:szCs w:val="16"/>
              </w:rPr>
              <w:br/>
              <w:t>Países árabes (</w:t>
            </w:r>
            <w:r>
              <w:rPr>
                <w:sz w:val="16"/>
                <w:szCs w:val="16"/>
              </w:rPr>
              <w:t xml:space="preserve">no disponible en 2014; ejecución del sistema en 2015);  </w:t>
            </w:r>
            <w:r w:rsidRPr="0037163B">
              <w:rPr>
                <w:sz w:val="16"/>
                <w:szCs w:val="16"/>
              </w:rPr>
              <w:t>Asia y el Pacífico (</w:t>
            </w:r>
            <w:r>
              <w:rPr>
                <w:sz w:val="16"/>
                <w:szCs w:val="16"/>
              </w:rPr>
              <w:t>92</w:t>
            </w:r>
            <w:r w:rsidRPr="0037163B">
              <w:rPr>
                <w:sz w:val="16"/>
                <w:szCs w:val="16"/>
              </w:rPr>
              <w:t>%)</w:t>
            </w:r>
            <w:r>
              <w:rPr>
                <w:sz w:val="16"/>
                <w:szCs w:val="16"/>
              </w:rPr>
              <w:t xml:space="preserve">;  </w:t>
            </w:r>
            <w:r w:rsidRPr="0037163B">
              <w:rPr>
                <w:sz w:val="16"/>
                <w:szCs w:val="16"/>
              </w:rPr>
              <w:t>América Latina y el Caribe (</w:t>
            </w:r>
            <w:r>
              <w:rPr>
                <w:sz w:val="16"/>
                <w:szCs w:val="16"/>
              </w:rPr>
              <w:t>no disponible en 2014, ejecución del sistema en 2015);  PMA (9</w:t>
            </w:r>
            <w:r w:rsidRPr="0037163B">
              <w:rPr>
                <w:sz w:val="16"/>
                <w:szCs w:val="16"/>
              </w:rPr>
              <w:t>0%)</w:t>
            </w:r>
          </w:p>
        </w:tc>
        <w:tc>
          <w:tcPr>
            <w:tcW w:w="2129" w:type="dxa"/>
            <w:tcBorders>
              <w:top w:val="nil"/>
              <w:left w:val="nil"/>
              <w:right w:val="single" w:sz="4" w:space="0" w:color="auto"/>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África (70%)</w:t>
            </w:r>
            <w:r w:rsidRPr="0037163B">
              <w:rPr>
                <w:sz w:val="16"/>
                <w:szCs w:val="16"/>
              </w:rPr>
              <w:br/>
              <w:t>Países árabes (70%)</w:t>
            </w:r>
            <w:r w:rsidRPr="0037163B">
              <w:rPr>
                <w:sz w:val="16"/>
                <w:szCs w:val="16"/>
              </w:rPr>
              <w:br/>
              <w:t>Asia y el Pacífico (70%)</w:t>
            </w:r>
            <w:r w:rsidRPr="0037163B">
              <w:rPr>
                <w:sz w:val="16"/>
                <w:szCs w:val="16"/>
              </w:rPr>
              <w:br/>
              <w:t>América Latina y el Caribe (85%)</w:t>
            </w:r>
            <w:r w:rsidRPr="0037163B">
              <w:rPr>
                <w:sz w:val="16"/>
                <w:szCs w:val="16"/>
              </w:rPr>
              <w:br/>
              <w:t>PMA (70%)</w:t>
            </w:r>
          </w:p>
        </w:tc>
      </w:tr>
      <w:tr w:rsidR="00236E18" w:rsidRPr="0037163B" w:rsidTr="00294272">
        <w:trPr>
          <w:trHeight w:val="1176"/>
        </w:trPr>
        <w:tc>
          <w:tcPr>
            <w:tcW w:w="2280" w:type="dxa"/>
            <w:gridSpan w:val="2"/>
            <w:tcBorders>
              <w:left w:val="single" w:sz="4" w:space="0" w:color="auto"/>
              <w:right w:val="nil"/>
            </w:tcBorders>
            <w:shd w:val="clear" w:color="000000" w:fill="FFFFFF"/>
            <w:tcMar>
              <w:top w:w="85" w:type="dxa"/>
            </w:tcMar>
            <w:hideMark/>
          </w:tcPr>
          <w:p w:rsidR="00236E18" w:rsidRPr="0037163B" w:rsidRDefault="00236E18" w:rsidP="00294272">
            <w:pPr>
              <w:widowControl w:val="0"/>
              <w:rPr>
                <w:sz w:val="16"/>
                <w:szCs w:val="16"/>
              </w:rPr>
            </w:pPr>
          </w:p>
        </w:tc>
        <w:tc>
          <w:tcPr>
            <w:tcW w:w="2180" w:type="dxa"/>
            <w:tcBorders>
              <w:left w:val="nil"/>
              <w:right w:val="nil"/>
            </w:tcBorders>
            <w:shd w:val="clear" w:color="000000" w:fill="FFFFFF"/>
            <w:tcMar>
              <w:top w:w="85" w:type="dxa"/>
            </w:tcMar>
            <w:hideMark/>
          </w:tcPr>
          <w:p w:rsidR="00236E18" w:rsidRPr="0037163B" w:rsidRDefault="00236E18" w:rsidP="00294272">
            <w:pPr>
              <w:widowControl w:val="0"/>
              <w:spacing w:after="240"/>
              <w:rPr>
                <w:sz w:val="16"/>
                <w:szCs w:val="16"/>
              </w:rPr>
            </w:pPr>
            <w:r w:rsidRPr="0037163B">
              <w:rPr>
                <w:sz w:val="16"/>
                <w:szCs w:val="16"/>
              </w:rPr>
              <w:t>Porcentaje de participantes en talleres de la OMPI que aplican las capacidades</w:t>
            </w:r>
            <w:r>
              <w:rPr>
                <w:sz w:val="16"/>
                <w:szCs w:val="16"/>
              </w:rPr>
              <w:t xml:space="preserve"> adquiridas en su labor/empresa</w:t>
            </w:r>
          </w:p>
        </w:tc>
        <w:tc>
          <w:tcPr>
            <w:tcW w:w="2760" w:type="dxa"/>
            <w:gridSpan w:val="3"/>
            <w:tcBorders>
              <w:left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África (70%)</w:t>
            </w:r>
            <w:r w:rsidRPr="0037163B">
              <w:rPr>
                <w:sz w:val="16"/>
                <w:szCs w:val="16"/>
              </w:rPr>
              <w:br/>
              <w:t>Países árabes (</w:t>
            </w:r>
            <w:r>
              <w:rPr>
                <w:sz w:val="16"/>
                <w:szCs w:val="16"/>
              </w:rPr>
              <w:t>no disponible en 2014, ejecución del sistema en 201</w:t>
            </w:r>
            <w:r w:rsidRPr="0037163B">
              <w:rPr>
                <w:sz w:val="16"/>
                <w:szCs w:val="16"/>
              </w:rPr>
              <w:t>5)</w:t>
            </w:r>
            <w:r>
              <w:rPr>
                <w:sz w:val="16"/>
                <w:szCs w:val="16"/>
              </w:rPr>
              <w:t xml:space="preserve">;  </w:t>
            </w:r>
            <w:r w:rsidRPr="0037163B">
              <w:rPr>
                <w:sz w:val="16"/>
                <w:szCs w:val="16"/>
              </w:rPr>
              <w:t>Asia y el Pacífico (</w:t>
            </w:r>
            <w:r>
              <w:rPr>
                <w:sz w:val="16"/>
                <w:szCs w:val="16"/>
              </w:rPr>
              <w:t>89</w:t>
            </w:r>
            <w:r w:rsidRPr="0037163B">
              <w:rPr>
                <w:sz w:val="16"/>
                <w:szCs w:val="16"/>
              </w:rPr>
              <w:t>%)</w:t>
            </w:r>
            <w:r>
              <w:rPr>
                <w:sz w:val="16"/>
                <w:szCs w:val="16"/>
              </w:rPr>
              <w:t xml:space="preserve">;  </w:t>
            </w:r>
            <w:r w:rsidRPr="0037163B">
              <w:rPr>
                <w:sz w:val="16"/>
                <w:szCs w:val="16"/>
              </w:rPr>
              <w:t>América Latina y el Caribe (</w:t>
            </w:r>
            <w:r>
              <w:rPr>
                <w:sz w:val="16"/>
                <w:szCs w:val="16"/>
              </w:rPr>
              <w:t xml:space="preserve">no disponible en 2014; ejecución del sistema en 2015);  </w:t>
            </w:r>
            <w:r w:rsidRPr="0037163B">
              <w:rPr>
                <w:sz w:val="16"/>
                <w:szCs w:val="16"/>
              </w:rPr>
              <w:t>PMA (</w:t>
            </w:r>
            <w:r>
              <w:rPr>
                <w:sz w:val="16"/>
                <w:szCs w:val="16"/>
              </w:rPr>
              <w:t>95%)</w:t>
            </w:r>
          </w:p>
        </w:tc>
        <w:tc>
          <w:tcPr>
            <w:tcW w:w="2129" w:type="dxa"/>
            <w:tcBorders>
              <w:left w:val="nil"/>
              <w:right w:val="single" w:sz="4" w:space="0" w:color="auto"/>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África (70%)</w:t>
            </w:r>
            <w:r w:rsidRPr="0037163B">
              <w:rPr>
                <w:sz w:val="16"/>
                <w:szCs w:val="16"/>
              </w:rPr>
              <w:br/>
              <w:t>Países árabes (50%)</w:t>
            </w:r>
            <w:r w:rsidRPr="0037163B">
              <w:rPr>
                <w:sz w:val="16"/>
                <w:szCs w:val="16"/>
              </w:rPr>
              <w:br/>
              <w:t>Asia y el Pacífico (70%)</w:t>
            </w:r>
            <w:r w:rsidRPr="0037163B">
              <w:rPr>
                <w:sz w:val="16"/>
                <w:szCs w:val="16"/>
              </w:rPr>
              <w:br/>
              <w:t xml:space="preserve">América Latina y el Caribe (45%) </w:t>
            </w:r>
          </w:p>
          <w:p w:rsidR="00236E18" w:rsidRPr="0037163B" w:rsidRDefault="00236E18" w:rsidP="00294272">
            <w:pPr>
              <w:widowControl w:val="0"/>
              <w:rPr>
                <w:sz w:val="16"/>
                <w:szCs w:val="16"/>
              </w:rPr>
            </w:pPr>
            <w:r>
              <w:rPr>
                <w:sz w:val="16"/>
                <w:szCs w:val="16"/>
              </w:rPr>
              <w:t>PMA (50%)</w:t>
            </w:r>
          </w:p>
        </w:tc>
      </w:tr>
      <w:tr w:rsidR="00236E18" w:rsidRPr="0037163B" w:rsidTr="00294272">
        <w:trPr>
          <w:trHeight w:val="1181"/>
        </w:trPr>
        <w:tc>
          <w:tcPr>
            <w:tcW w:w="2280" w:type="dxa"/>
            <w:gridSpan w:val="2"/>
            <w:tcBorders>
              <w:left w:val="single" w:sz="4" w:space="0" w:color="auto"/>
              <w:right w:val="nil"/>
            </w:tcBorders>
            <w:shd w:val="clear" w:color="000000" w:fill="FFFFFF"/>
            <w:tcMar>
              <w:top w:w="85" w:type="dxa"/>
            </w:tcMar>
            <w:hideMark/>
          </w:tcPr>
          <w:p w:rsidR="00236E18" w:rsidRPr="0037163B" w:rsidRDefault="00236E18" w:rsidP="00294272">
            <w:pPr>
              <w:widowControl w:val="0"/>
              <w:rPr>
                <w:sz w:val="16"/>
                <w:szCs w:val="16"/>
              </w:rPr>
            </w:pPr>
          </w:p>
        </w:tc>
        <w:tc>
          <w:tcPr>
            <w:tcW w:w="2180" w:type="dxa"/>
            <w:tcBorders>
              <w:left w:val="nil"/>
              <w:right w:val="nil"/>
            </w:tcBorders>
            <w:shd w:val="clear" w:color="000000" w:fill="FFFFFF"/>
            <w:tcMar>
              <w:top w:w="85" w:type="dxa"/>
            </w:tcMar>
            <w:hideMark/>
          </w:tcPr>
          <w:p w:rsidR="00236E18" w:rsidRPr="0037163B" w:rsidRDefault="00236E18" w:rsidP="00294272">
            <w:pPr>
              <w:widowControl w:val="0"/>
              <w:rPr>
                <w:sz w:val="16"/>
                <w:szCs w:val="16"/>
              </w:rPr>
            </w:pPr>
            <w:r w:rsidRPr="00290055">
              <w:rPr>
                <w:sz w:val="16"/>
                <w:szCs w:val="16"/>
              </w:rPr>
              <w:t>Porcentaje de expertos nacionales y regionales de P.I. que participan como experto</w:t>
            </w:r>
            <w:r>
              <w:rPr>
                <w:sz w:val="16"/>
                <w:szCs w:val="16"/>
              </w:rPr>
              <w:t>s en las actividades de la OMPI</w:t>
            </w:r>
          </w:p>
        </w:tc>
        <w:tc>
          <w:tcPr>
            <w:tcW w:w="2760" w:type="dxa"/>
            <w:gridSpan w:val="3"/>
            <w:tcBorders>
              <w:left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África (80%)</w:t>
            </w:r>
            <w:r w:rsidRPr="0037163B">
              <w:rPr>
                <w:sz w:val="16"/>
                <w:szCs w:val="16"/>
              </w:rPr>
              <w:br/>
              <w:t>Países árabes (35%)</w:t>
            </w:r>
            <w:r w:rsidRPr="0037163B">
              <w:rPr>
                <w:sz w:val="16"/>
                <w:szCs w:val="16"/>
              </w:rPr>
              <w:br/>
              <w:t>Asia y el Pacífico (</w:t>
            </w:r>
            <w:r>
              <w:rPr>
                <w:sz w:val="16"/>
                <w:szCs w:val="16"/>
              </w:rPr>
              <w:t>71</w:t>
            </w:r>
            <w:r w:rsidRPr="0037163B">
              <w:rPr>
                <w:sz w:val="16"/>
                <w:szCs w:val="16"/>
              </w:rPr>
              <w:t>%)</w:t>
            </w:r>
            <w:r w:rsidRPr="0037163B">
              <w:rPr>
                <w:sz w:val="16"/>
                <w:szCs w:val="16"/>
              </w:rPr>
              <w:br/>
              <w:t>América Latina y el Caribe (80%)</w:t>
            </w:r>
            <w:r w:rsidRPr="0037163B">
              <w:rPr>
                <w:sz w:val="16"/>
                <w:szCs w:val="16"/>
              </w:rPr>
              <w:br/>
              <w:t>PMA (</w:t>
            </w:r>
            <w:r>
              <w:rPr>
                <w:sz w:val="16"/>
                <w:szCs w:val="16"/>
              </w:rPr>
              <w:t>95</w:t>
            </w:r>
            <w:r w:rsidRPr="0037163B">
              <w:rPr>
                <w:sz w:val="16"/>
                <w:szCs w:val="16"/>
              </w:rPr>
              <w:t>%)</w:t>
            </w:r>
          </w:p>
        </w:tc>
        <w:tc>
          <w:tcPr>
            <w:tcW w:w="2129" w:type="dxa"/>
            <w:tcBorders>
              <w:left w:val="nil"/>
              <w:right w:val="single" w:sz="4" w:space="0" w:color="auto"/>
            </w:tcBorders>
            <w:shd w:val="clear" w:color="000000" w:fill="FFFFFF"/>
            <w:tcMar>
              <w:top w:w="85" w:type="dxa"/>
            </w:tcMar>
            <w:hideMark/>
          </w:tcPr>
          <w:p w:rsidR="00236E18" w:rsidRPr="0037163B" w:rsidRDefault="00236E18" w:rsidP="00294272">
            <w:pPr>
              <w:widowControl w:val="0"/>
              <w:rPr>
                <w:sz w:val="16"/>
                <w:szCs w:val="16"/>
              </w:rPr>
            </w:pPr>
            <w:r>
              <w:rPr>
                <w:sz w:val="16"/>
                <w:szCs w:val="16"/>
              </w:rPr>
              <w:t>África (85%)</w:t>
            </w:r>
            <w:r>
              <w:rPr>
                <w:sz w:val="16"/>
                <w:szCs w:val="16"/>
              </w:rPr>
              <w:br/>
              <w:t>Países árabes (55</w:t>
            </w:r>
            <w:r w:rsidRPr="0037163B">
              <w:rPr>
                <w:sz w:val="16"/>
                <w:szCs w:val="16"/>
              </w:rPr>
              <w:t>%)</w:t>
            </w:r>
            <w:r w:rsidRPr="0037163B">
              <w:rPr>
                <w:sz w:val="16"/>
                <w:szCs w:val="16"/>
              </w:rPr>
              <w:br/>
              <w:t>Asia y el Pacífico (40%)</w:t>
            </w:r>
            <w:r w:rsidRPr="0037163B">
              <w:rPr>
                <w:sz w:val="16"/>
                <w:szCs w:val="16"/>
              </w:rPr>
              <w:br/>
              <w:t>América Latina y el Caribe (80%)</w:t>
            </w:r>
            <w:r w:rsidRPr="0037163B">
              <w:rPr>
                <w:sz w:val="16"/>
                <w:szCs w:val="16"/>
              </w:rPr>
              <w:br/>
              <w:t>PMA (70%)</w:t>
            </w:r>
          </w:p>
        </w:tc>
      </w:tr>
      <w:tr w:rsidR="00236E18" w:rsidRPr="0037163B" w:rsidTr="00294272">
        <w:trPr>
          <w:trHeight w:val="2009"/>
        </w:trPr>
        <w:tc>
          <w:tcPr>
            <w:tcW w:w="2280" w:type="dxa"/>
            <w:gridSpan w:val="2"/>
            <w:tcBorders>
              <w:left w:val="single" w:sz="4" w:space="0" w:color="auto"/>
              <w:bottom w:val="single" w:sz="4" w:space="0" w:color="auto"/>
              <w:right w:val="nil"/>
            </w:tcBorders>
            <w:shd w:val="clear" w:color="000000" w:fill="FFFFFF"/>
            <w:tcMar>
              <w:top w:w="85" w:type="dxa"/>
            </w:tcMar>
            <w:hideMark/>
          </w:tcPr>
          <w:p w:rsidR="00236E18" w:rsidRPr="00245CAF" w:rsidRDefault="00236E18" w:rsidP="00294272">
            <w:pPr>
              <w:widowControl w:val="0"/>
              <w:rPr>
                <w:sz w:val="16"/>
                <w:szCs w:val="16"/>
              </w:rPr>
            </w:pPr>
            <w:r w:rsidRPr="00245CAF">
              <w:rPr>
                <w:sz w:val="16"/>
                <w:szCs w:val="16"/>
              </w:rPr>
              <w:t xml:space="preserve">III.4  </w:t>
            </w:r>
            <w:r w:rsidRPr="00245CAF">
              <w:rPr>
                <w:sz w:val="16"/>
                <w:szCs w:val="16"/>
                <w:lang w:val="es-ES_tradnl"/>
              </w:rPr>
              <w:t>Fortalecimiento de los mecanismos y de los programas de cooperación conforme a las necesidades de los países en desarrollo</w:t>
            </w:r>
            <w:r>
              <w:rPr>
                <w:sz w:val="16"/>
                <w:szCs w:val="16"/>
                <w:lang w:val="es-ES_tradnl"/>
              </w:rPr>
              <w:t>,</w:t>
            </w:r>
            <w:r w:rsidRPr="00245CAF">
              <w:rPr>
                <w:sz w:val="16"/>
                <w:szCs w:val="16"/>
                <w:lang w:val="es-ES_tradnl"/>
              </w:rPr>
              <w:t xml:space="preserve"> los PMA</w:t>
            </w:r>
            <w:r>
              <w:rPr>
                <w:sz w:val="16"/>
                <w:szCs w:val="16"/>
                <w:lang w:val="es-ES_tradnl"/>
              </w:rPr>
              <w:t xml:space="preserve"> y los países con economías en transición</w:t>
            </w:r>
          </w:p>
        </w:tc>
        <w:tc>
          <w:tcPr>
            <w:tcW w:w="2180" w:type="dxa"/>
            <w:tcBorders>
              <w:left w:val="nil"/>
              <w:bottom w:val="single" w:sz="4" w:space="0" w:color="auto"/>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N</w:t>
            </w:r>
            <w:r>
              <w:rPr>
                <w:sz w:val="16"/>
                <w:szCs w:val="16"/>
              </w:rPr>
              <w:t>º</w:t>
            </w:r>
            <w:r w:rsidRPr="0037163B">
              <w:rPr>
                <w:sz w:val="16"/>
                <w:szCs w:val="16"/>
              </w:rPr>
              <w:t xml:space="preserve"> de acuerdos, proyectos, programas nacionales, subregionales, regionales e interregionales de cooperación y alianzas para fomentar el uso eficaz de los sistemas de P.I. mediante el intercambio de prácticas óptimas. </w:t>
            </w:r>
          </w:p>
        </w:tc>
        <w:tc>
          <w:tcPr>
            <w:tcW w:w="2760" w:type="dxa"/>
            <w:gridSpan w:val="3"/>
            <w:tcBorders>
              <w:left w:val="nil"/>
              <w:bottom w:val="single" w:sz="4" w:space="0" w:color="auto"/>
              <w:right w:val="nil"/>
            </w:tcBorders>
            <w:shd w:val="clear" w:color="000000" w:fill="FFFFFF"/>
            <w:tcMar>
              <w:top w:w="85" w:type="dxa"/>
            </w:tcMar>
            <w:hideMark/>
          </w:tcPr>
          <w:p w:rsidR="00236E18" w:rsidRPr="0037163B" w:rsidRDefault="00236E18" w:rsidP="00294272">
            <w:pPr>
              <w:widowControl w:val="0"/>
              <w:spacing w:after="240"/>
              <w:rPr>
                <w:sz w:val="16"/>
                <w:szCs w:val="16"/>
              </w:rPr>
            </w:pPr>
            <w:r w:rsidRPr="0037163B">
              <w:rPr>
                <w:sz w:val="16"/>
                <w:szCs w:val="16"/>
              </w:rPr>
              <w:t>África (</w:t>
            </w:r>
            <w:r>
              <w:rPr>
                <w:sz w:val="16"/>
                <w:szCs w:val="16"/>
              </w:rPr>
              <w:t>1</w:t>
            </w:r>
            <w:r w:rsidRPr="0037163B">
              <w:rPr>
                <w:sz w:val="16"/>
                <w:szCs w:val="16"/>
              </w:rPr>
              <w:t xml:space="preserve"> en 2014)</w:t>
            </w:r>
            <w:r w:rsidRPr="0037163B">
              <w:rPr>
                <w:sz w:val="16"/>
                <w:szCs w:val="16"/>
              </w:rPr>
              <w:br/>
              <w:t>Países árabes (</w:t>
            </w:r>
            <w:r>
              <w:rPr>
                <w:sz w:val="16"/>
                <w:szCs w:val="16"/>
              </w:rPr>
              <w:t>1 en 201</w:t>
            </w:r>
            <w:r w:rsidRPr="0037163B">
              <w:rPr>
                <w:sz w:val="16"/>
                <w:szCs w:val="16"/>
              </w:rPr>
              <w:t>4)</w:t>
            </w:r>
            <w:r w:rsidRPr="0037163B">
              <w:rPr>
                <w:sz w:val="16"/>
                <w:szCs w:val="16"/>
              </w:rPr>
              <w:br/>
              <w:t>Asia y el Pacífico (</w:t>
            </w:r>
            <w:r>
              <w:rPr>
                <w:sz w:val="16"/>
                <w:szCs w:val="16"/>
              </w:rPr>
              <w:t>2 en 2014</w:t>
            </w:r>
            <w:r w:rsidRPr="0037163B">
              <w:rPr>
                <w:sz w:val="16"/>
                <w:szCs w:val="16"/>
              </w:rPr>
              <w:t>)</w:t>
            </w:r>
            <w:r w:rsidRPr="0037163B">
              <w:rPr>
                <w:sz w:val="16"/>
                <w:szCs w:val="16"/>
              </w:rPr>
              <w:br/>
              <w:t>América Latina y el Caribe (6</w:t>
            </w:r>
            <w:r>
              <w:rPr>
                <w:sz w:val="16"/>
                <w:szCs w:val="16"/>
              </w:rPr>
              <w:t xml:space="preserve"> en 2014</w:t>
            </w:r>
            <w:r w:rsidRPr="0037163B">
              <w:rPr>
                <w:sz w:val="16"/>
                <w:szCs w:val="16"/>
              </w:rPr>
              <w:t>)</w:t>
            </w:r>
            <w:r>
              <w:rPr>
                <w:sz w:val="16"/>
                <w:szCs w:val="16"/>
              </w:rPr>
              <w:t xml:space="preserve">;  </w:t>
            </w:r>
            <w:r>
              <w:rPr>
                <w:sz w:val="16"/>
                <w:szCs w:val="16"/>
              </w:rPr>
              <w:br/>
            </w:r>
            <w:r w:rsidRPr="0037163B">
              <w:rPr>
                <w:sz w:val="16"/>
                <w:szCs w:val="16"/>
              </w:rPr>
              <w:t>PMA:  1 programa regional/subregional, 4 programas nacionales</w:t>
            </w:r>
            <w:r>
              <w:rPr>
                <w:sz w:val="16"/>
                <w:szCs w:val="16"/>
              </w:rPr>
              <w:t xml:space="preserve"> (2014)</w:t>
            </w:r>
          </w:p>
        </w:tc>
        <w:tc>
          <w:tcPr>
            <w:tcW w:w="2129" w:type="dxa"/>
            <w:tcBorders>
              <w:left w:val="nil"/>
              <w:bottom w:val="single" w:sz="4" w:space="0" w:color="auto"/>
              <w:right w:val="single" w:sz="4" w:space="0" w:color="auto"/>
            </w:tcBorders>
            <w:shd w:val="clear" w:color="000000" w:fill="FFFFFF"/>
            <w:tcMar>
              <w:top w:w="85" w:type="dxa"/>
            </w:tcMar>
            <w:hideMark/>
          </w:tcPr>
          <w:p w:rsidR="00236E18" w:rsidRPr="0037163B" w:rsidRDefault="00236E18" w:rsidP="00294272">
            <w:pPr>
              <w:widowControl w:val="0"/>
              <w:spacing w:after="240"/>
              <w:rPr>
                <w:sz w:val="16"/>
                <w:szCs w:val="16"/>
              </w:rPr>
            </w:pPr>
            <w:r w:rsidRPr="0037163B">
              <w:rPr>
                <w:sz w:val="16"/>
                <w:szCs w:val="16"/>
              </w:rPr>
              <w:t xml:space="preserve">África </w:t>
            </w:r>
            <w:r>
              <w:rPr>
                <w:sz w:val="16"/>
                <w:szCs w:val="16"/>
              </w:rPr>
              <w:t xml:space="preserve"> (2 más)</w:t>
            </w:r>
            <w:r w:rsidRPr="0037163B">
              <w:rPr>
                <w:sz w:val="16"/>
                <w:szCs w:val="16"/>
              </w:rPr>
              <w:br/>
              <w:t>Países árabes (</w:t>
            </w:r>
            <w:r>
              <w:rPr>
                <w:sz w:val="16"/>
                <w:szCs w:val="16"/>
              </w:rPr>
              <w:t>2 más</w:t>
            </w:r>
            <w:r w:rsidRPr="0037163B">
              <w:rPr>
                <w:sz w:val="16"/>
                <w:szCs w:val="16"/>
              </w:rPr>
              <w:t>)</w:t>
            </w:r>
            <w:r w:rsidRPr="0037163B">
              <w:rPr>
                <w:sz w:val="16"/>
                <w:szCs w:val="16"/>
              </w:rPr>
              <w:br/>
              <w:t>Asia y el Pacífico (</w:t>
            </w:r>
            <w:r>
              <w:rPr>
                <w:sz w:val="16"/>
                <w:szCs w:val="16"/>
              </w:rPr>
              <w:t>1 más</w:t>
            </w:r>
            <w:r w:rsidRPr="0037163B">
              <w:rPr>
                <w:sz w:val="16"/>
                <w:szCs w:val="16"/>
              </w:rPr>
              <w:t>)</w:t>
            </w:r>
            <w:r w:rsidRPr="0037163B">
              <w:rPr>
                <w:sz w:val="16"/>
                <w:szCs w:val="16"/>
              </w:rPr>
              <w:br/>
              <w:t>América Latina y el Caribe (</w:t>
            </w:r>
            <w:r>
              <w:rPr>
                <w:sz w:val="16"/>
                <w:szCs w:val="16"/>
              </w:rPr>
              <w:t>4 más</w:t>
            </w:r>
            <w:r w:rsidRPr="0037163B">
              <w:rPr>
                <w:sz w:val="16"/>
                <w:szCs w:val="16"/>
              </w:rPr>
              <w:t>)</w:t>
            </w:r>
            <w:r w:rsidRPr="0037163B">
              <w:rPr>
                <w:sz w:val="16"/>
                <w:szCs w:val="16"/>
              </w:rPr>
              <w:br/>
              <w:t>PMA:  3 programas regionales/subregionales 8 programas nacionales</w:t>
            </w:r>
          </w:p>
        </w:tc>
      </w:tr>
      <w:tr w:rsidR="00236E18" w:rsidRPr="0037163B" w:rsidTr="00294272">
        <w:trPr>
          <w:trHeight w:val="1058"/>
        </w:trPr>
        <w:tc>
          <w:tcPr>
            <w:tcW w:w="2280" w:type="dxa"/>
            <w:gridSpan w:val="2"/>
            <w:tcBorders>
              <w:top w:val="single" w:sz="4" w:space="0" w:color="auto"/>
              <w:left w:val="single" w:sz="4" w:space="0" w:color="auto"/>
              <w:bottom w:val="nil"/>
              <w:right w:val="nil"/>
            </w:tcBorders>
            <w:shd w:val="clear" w:color="000000" w:fill="FFFFFF"/>
            <w:tcMar>
              <w:top w:w="85" w:type="dxa"/>
            </w:tcMar>
            <w:hideMark/>
          </w:tcPr>
          <w:p w:rsidR="00236E18" w:rsidRPr="00245CAF" w:rsidRDefault="00236E18" w:rsidP="00294272">
            <w:pPr>
              <w:widowControl w:val="0"/>
              <w:rPr>
                <w:sz w:val="16"/>
                <w:szCs w:val="16"/>
              </w:rPr>
            </w:pPr>
            <w:r w:rsidRPr="00245CAF">
              <w:rPr>
                <w:sz w:val="16"/>
                <w:szCs w:val="16"/>
              </w:rPr>
              <w:lastRenderedPageBreak/>
              <w:t xml:space="preserve">IV.2  </w:t>
            </w:r>
            <w:r w:rsidRPr="00245CAF">
              <w:rPr>
                <w:sz w:val="16"/>
                <w:szCs w:val="16"/>
                <w:lang w:val="es-ES_tradnl"/>
              </w:rPr>
              <w:t>Mejora del acceso y uso de información de P.I. por parte de instituciones de P.I. y el público para fomentar la innovación y la creatividad</w:t>
            </w:r>
          </w:p>
        </w:tc>
        <w:tc>
          <w:tcPr>
            <w:tcW w:w="2180" w:type="dxa"/>
            <w:tcBorders>
              <w:top w:val="single" w:sz="4" w:space="0" w:color="auto"/>
              <w:left w:val="nil"/>
              <w:bottom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N</w:t>
            </w:r>
            <w:r>
              <w:rPr>
                <w:sz w:val="16"/>
                <w:szCs w:val="16"/>
              </w:rPr>
              <w:t>º</w:t>
            </w:r>
            <w:r w:rsidRPr="0037163B">
              <w:rPr>
                <w:sz w:val="16"/>
                <w:szCs w:val="16"/>
              </w:rPr>
              <w:t xml:space="preserve"> de redes nacionales </w:t>
            </w:r>
            <w:r>
              <w:rPr>
                <w:sz w:val="16"/>
                <w:szCs w:val="16"/>
              </w:rPr>
              <w:t xml:space="preserve">de CATI </w:t>
            </w:r>
            <w:r w:rsidRPr="0037163B">
              <w:rPr>
                <w:sz w:val="16"/>
                <w:szCs w:val="16"/>
              </w:rPr>
              <w:t>sostenibles</w:t>
            </w:r>
            <w:r>
              <w:rPr>
                <w:rStyle w:val="FootnoteReference"/>
                <w:sz w:val="16"/>
                <w:szCs w:val="16"/>
              </w:rPr>
              <w:footnoteReference w:id="19"/>
            </w:r>
            <w:r w:rsidRPr="0037163B">
              <w:rPr>
                <w:sz w:val="16"/>
                <w:szCs w:val="16"/>
              </w:rPr>
              <w:t xml:space="preserve"> (cifras totales)</w:t>
            </w:r>
          </w:p>
        </w:tc>
        <w:tc>
          <w:tcPr>
            <w:tcW w:w="2760" w:type="dxa"/>
            <w:gridSpan w:val="3"/>
            <w:tcBorders>
              <w:top w:val="single" w:sz="4" w:space="0" w:color="auto"/>
              <w:left w:val="nil"/>
              <w:bottom w:val="nil"/>
              <w:right w:val="nil"/>
            </w:tcBorders>
            <w:shd w:val="clear" w:color="000000" w:fill="FFFFFF"/>
            <w:tcMar>
              <w:top w:w="85" w:type="dxa"/>
            </w:tcMar>
            <w:hideMark/>
          </w:tcPr>
          <w:p w:rsidR="00236E18" w:rsidRPr="0037163B" w:rsidRDefault="00236E18" w:rsidP="00294272">
            <w:pPr>
              <w:widowControl w:val="0"/>
              <w:spacing w:after="240"/>
              <w:rPr>
                <w:sz w:val="16"/>
                <w:szCs w:val="16"/>
              </w:rPr>
            </w:pPr>
            <w:r w:rsidRPr="0037163B">
              <w:rPr>
                <w:sz w:val="16"/>
                <w:szCs w:val="16"/>
              </w:rPr>
              <w:t>África (9)</w:t>
            </w:r>
            <w:r w:rsidRPr="0037163B">
              <w:rPr>
                <w:sz w:val="16"/>
                <w:szCs w:val="16"/>
              </w:rPr>
              <w:br/>
              <w:t>Países árabes (2)</w:t>
            </w:r>
            <w:r w:rsidRPr="0037163B">
              <w:rPr>
                <w:sz w:val="16"/>
                <w:szCs w:val="16"/>
              </w:rPr>
              <w:br/>
              <w:t>Asia y el Pacífico (3)</w:t>
            </w:r>
            <w:r w:rsidRPr="0037163B">
              <w:rPr>
                <w:sz w:val="16"/>
                <w:szCs w:val="16"/>
              </w:rPr>
              <w:br/>
              <w:t>América Latina y el Caribe (5)</w:t>
            </w:r>
            <w:r w:rsidRPr="0037163B">
              <w:rPr>
                <w:sz w:val="16"/>
                <w:szCs w:val="16"/>
              </w:rPr>
              <w:br/>
            </w:r>
          </w:p>
        </w:tc>
        <w:tc>
          <w:tcPr>
            <w:tcW w:w="2129" w:type="dxa"/>
            <w:tcBorders>
              <w:top w:val="single" w:sz="4" w:space="0" w:color="auto"/>
              <w:left w:val="nil"/>
              <w:bottom w:val="nil"/>
              <w:right w:val="single" w:sz="4" w:space="0" w:color="auto"/>
            </w:tcBorders>
            <w:shd w:val="clear" w:color="000000" w:fill="FFFFFF"/>
            <w:tcMar>
              <w:top w:w="85" w:type="dxa"/>
            </w:tcMar>
            <w:hideMark/>
          </w:tcPr>
          <w:p w:rsidR="00236E18" w:rsidRPr="0037163B" w:rsidRDefault="00236E18" w:rsidP="00294272">
            <w:pPr>
              <w:widowControl w:val="0"/>
              <w:spacing w:after="240"/>
              <w:rPr>
                <w:sz w:val="16"/>
                <w:szCs w:val="16"/>
              </w:rPr>
            </w:pPr>
            <w:r w:rsidRPr="0037163B">
              <w:rPr>
                <w:sz w:val="16"/>
                <w:szCs w:val="16"/>
              </w:rPr>
              <w:t>África (11)</w:t>
            </w:r>
            <w:r w:rsidRPr="0037163B">
              <w:rPr>
                <w:sz w:val="16"/>
                <w:szCs w:val="16"/>
              </w:rPr>
              <w:br/>
              <w:t>Países árabes (4)</w:t>
            </w:r>
            <w:r w:rsidRPr="0037163B">
              <w:rPr>
                <w:sz w:val="16"/>
                <w:szCs w:val="16"/>
              </w:rPr>
              <w:br/>
              <w:t>Asia y el Pacífico (5)</w:t>
            </w:r>
            <w:r w:rsidRPr="0037163B">
              <w:rPr>
                <w:sz w:val="16"/>
                <w:szCs w:val="16"/>
              </w:rPr>
              <w:br/>
              <w:t>América Latina y el Caribe (9)</w:t>
            </w:r>
          </w:p>
        </w:tc>
      </w:tr>
      <w:tr w:rsidR="00236E18" w:rsidRPr="0037163B" w:rsidTr="00294272">
        <w:trPr>
          <w:trHeight w:val="1436"/>
        </w:trPr>
        <w:tc>
          <w:tcPr>
            <w:tcW w:w="2280" w:type="dxa"/>
            <w:gridSpan w:val="2"/>
            <w:tcBorders>
              <w:top w:val="nil"/>
              <w:left w:val="single" w:sz="4" w:space="0" w:color="auto"/>
              <w:right w:val="nil"/>
            </w:tcBorders>
            <w:shd w:val="clear" w:color="000000" w:fill="FFFFFF"/>
            <w:tcMar>
              <w:top w:w="85" w:type="dxa"/>
            </w:tcMar>
            <w:hideMark/>
          </w:tcPr>
          <w:p w:rsidR="00236E18" w:rsidRPr="0037163B" w:rsidRDefault="00236E18" w:rsidP="00294272">
            <w:pPr>
              <w:widowControl w:val="0"/>
              <w:rPr>
                <w:sz w:val="16"/>
                <w:szCs w:val="16"/>
              </w:rPr>
            </w:pPr>
          </w:p>
        </w:tc>
        <w:tc>
          <w:tcPr>
            <w:tcW w:w="2180" w:type="dxa"/>
            <w:tcBorders>
              <w:top w:val="nil"/>
              <w:left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N</w:t>
            </w:r>
            <w:r>
              <w:rPr>
                <w:sz w:val="16"/>
                <w:szCs w:val="16"/>
              </w:rPr>
              <w:t>º</w:t>
            </w:r>
            <w:r w:rsidRPr="0037163B">
              <w:rPr>
                <w:sz w:val="16"/>
                <w:szCs w:val="16"/>
              </w:rPr>
              <w:t xml:space="preserve"> de organizaciones, comunidades y personas que aplicaron y usaron tecnologías apropiadas como solución para los desafíos de desarrollo identificados en los PMA</w:t>
            </w:r>
          </w:p>
        </w:tc>
        <w:tc>
          <w:tcPr>
            <w:tcW w:w="2760" w:type="dxa"/>
            <w:gridSpan w:val="3"/>
            <w:tcBorders>
              <w:top w:val="nil"/>
              <w:left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Organizaciones en 6 PMA</w:t>
            </w:r>
            <w:r>
              <w:rPr>
                <w:sz w:val="16"/>
                <w:szCs w:val="16"/>
              </w:rPr>
              <w:t xml:space="preserve"> (2014)</w:t>
            </w:r>
          </w:p>
        </w:tc>
        <w:tc>
          <w:tcPr>
            <w:tcW w:w="2129" w:type="dxa"/>
            <w:tcBorders>
              <w:top w:val="nil"/>
              <w:left w:val="nil"/>
              <w:right w:val="single" w:sz="4" w:space="0" w:color="auto"/>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Organizaciones en otros 3 PMA</w:t>
            </w:r>
          </w:p>
        </w:tc>
      </w:tr>
      <w:tr w:rsidR="00236E18" w:rsidRPr="0037163B" w:rsidTr="00294272">
        <w:trPr>
          <w:trHeight w:val="1796"/>
        </w:trPr>
        <w:tc>
          <w:tcPr>
            <w:tcW w:w="2280" w:type="dxa"/>
            <w:gridSpan w:val="2"/>
            <w:tcBorders>
              <w:top w:val="nil"/>
              <w:left w:val="single" w:sz="4" w:space="0" w:color="auto"/>
              <w:right w:val="nil"/>
            </w:tcBorders>
            <w:shd w:val="clear" w:color="000000" w:fill="FFFFFF"/>
            <w:tcMar>
              <w:top w:w="85" w:type="dxa"/>
            </w:tcMar>
            <w:hideMark/>
          </w:tcPr>
          <w:p w:rsidR="00236E18" w:rsidRPr="0037163B" w:rsidRDefault="00236E18" w:rsidP="00294272">
            <w:pPr>
              <w:widowControl w:val="0"/>
              <w:rPr>
                <w:sz w:val="16"/>
                <w:szCs w:val="16"/>
              </w:rPr>
            </w:pPr>
          </w:p>
        </w:tc>
        <w:tc>
          <w:tcPr>
            <w:tcW w:w="2180" w:type="dxa"/>
            <w:tcBorders>
              <w:top w:val="nil"/>
              <w:left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Uso de tecnologías apropiadas en pro del desarrollo mediante informes y búsquedas de patentes,  análisis de las tecnologías, planes operacionales (número de expertos, grupos de expertos nacionales en los PMA)</w:t>
            </w:r>
            <w:r>
              <w:rPr>
                <w:sz w:val="16"/>
                <w:szCs w:val="16"/>
              </w:rPr>
              <w:br/>
            </w:r>
          </w:p>
        </w:tc>
        <w:tc>
          <w:tcPr>
            <w:tcW w:w="2760" w:type="dxa"/>
            <w:gridSpan w:val="3"/>
            <w:tcBorders>
              <w:top w:val="nil"/>
              <w:left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6 en los PMA</w:t>
            </w:r>
            <w:r>
              <w:rPr>
                <w:sz w:val="16"/>
                <w:szCs w:val="16"/>
              </w:rPr>
              <w:t xml:space="preserve"> (2014)</w:t>
            </w:r>
          </w:p>
        </w:tc>
        <w:tc>
          <w:tcPr>
            <w:tcW w:w="2129" w:type="dxa"/>
            <w:tcBorders>
              <w:top w:val="nil"/>
              <w:left w:val="nil"/>
              <w:right w:val="single" w:sz="4" w:space="0" w:color="auto"/>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Otras 3 en los PMA</w:t>
            </w:r>
          </w:p>
        </w:tc>
      </w:tr>
      <w:tr w:rsidR="00236E18" w:rsidRPr="0037163B" w:rsidTr="00294272">
        <w:trPr>
          <w:trHeight w:val="2165"/>
        </w:trPr>
        <w:tc>
          <w:tcPr>
            <w:tcW w:w="2280" w:type="dxa"/>
            <w:gridSpan w:val="2"/>
            <w:tcBorders>
              <w:left w:val="single" w:sz="4" w:space="0" w:color="auto"/>
              <w:right w:val="nil"/>
            </w:tcBorders>
            <w:shd w:val="clear" w:color="000000" w:fill="FFFFFF"/>
            <w:tcMar>
              <w:top w:w="85" w:type="dxa"/>
            </w:tcMar>
            <w:hideMark/>
          </w:tcPr>
          <w:p w:rsidR="00236E18" w:rsidRPr="0037163B" w:rsidRDefault="00236E18" w:rsidP="00294272">
            <w:pPr>
              <w:widowControl w:val="0"/>
              <w:rPr>
                <w:sz w:val="16"/>
                <w:szCs w:val="16"/>
              </w:rPr>
            </w:pPr>
          </w:p>
        </w:tc>
        <w:tc>
          <w:tcPr>
            <w:tcW w:w="2180" w:type="dxa"/>
            <w:tcBorders>
              <w:left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Determinación de tecnologías apropiadas comercializadas en los PMA</w:t>
            </w:r>
            <w:r w:rsidRPr="0037163B">
              <w:rPr>
                <w:sz w:val="16"/>
                <w:szCs w:val="16"/>
              </w:rPr>
              <w:br/>
            </w:r>
            <w:r w:rsidRPr="0037163B">
              <w:rPr>
                <w:sz w:val="16"/>
                <w:szCs w:val="16"/>
              </w:rPr>
              <w:br/>
              <w:t>Proyectos reproducidos en otros ámbitos en los PMA</w:t>
            </w:r>
            <w:r w:rsidRPr="0037163B">
              <w:rPr>
                <w:sz w:val="16"/>
                <w:szCs w:val="16"/>
              </w:rPr>
              <w:br/>
            </w:r>
            <w:r w:rsidRPr="0037163B">
              <w:rPr>
                <w:sz w:val="16"/>
                <w:szCs w:val="16"/>
              </w:rPr>
              <w:br/>
              <w:t>Establecimiento de instituciones que sigan trabajando sobre la tecnología apropiada en los PMA</w:t>
            </w:r>
          </w:p>
        </w:tc>
        <w:tc>
          <w:tcPr>
            <w:tcW w:w="2760" w:type="dxa"/>
            <w:gridSpan w:val="3"/>
            <w:tcBorders>
              <w:left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6 tecnologías apropiadas</w:t>
            </w:r>
            <w:r>
              <w:rPr>
                <w:sz w:val="16"/>
                <w:szCs w:val="16"/>
              </w:rPr>
              <w:t xml:space="preserve"> (2014)</w:t>
            </w:r>
            <w:r w:rsidRPr="0037163B">
              <w:rPr>
                <w:sz w:val="16"/>
                <w:szCs w:val="16"/>
              </w:rPr>
              <w:t xml:space="preserve"> </w:t>
            </w:r>
            <w:r w:rsidRPr="0037163B">
              <w:rPr>
                <w:sz w:val="16"/>
                <w:szCs w:val="16"/>
              </w:rPr>
              <w:br/>
            </w:r>
            <w:r w:rsidRPr="0037163B">
              <w:rPr>
                <w:sz w:val="16"/>
                <w:szCs w:val="16"/>
              </w:rPr>
              <w:br/>
            </w:r>
            <w:r w:rsidRPr="0037163B">
              <w:rPr>
                <w:sz w:val="16"/>
                <w:szCs w:val="16"/>
              </w:rPr>
              <w:br/>
            </w:r>
            <w:r>
              <w:rPr>
                <w:sz w:val="16"/>
                <w:szCs w:val="16"/>
              </w:rPr>
              <w:br/>
            </w:r>
            <w:r w:rsidRPr="0037163B">
              <w:rPr>
                <w:sz w:val="16"/>
                <w:szCs w:val="16"/>
              </w:rPr>
              <w:br/>
            </w:r>
            <w:proofErr w:type="spellStart"/>
            <w:r w:rsidRPr="0037163B">
              <w:rPr>
                <w:sz w:val="16"/>
                <w:szCs w:val="16"/>
              </w:rPr>
              <w:t>n</w:t>
            </w:r>
            <w:r>
              <w:rPr>
                <w:sz w:val="16"/>
                <w:szCs w:val="16"/>
              </w:rPr>
              <w:t>.d</w:t>
            </w:r>
            <w:proofErr w:type="spellEnd"/>
            <w:r>
              <w:rPr>
                <w:sz w:val="16"/>
                <w:szCs w:val="16"/>
              </w:rPr>
              <w:t>.</w:t>
            </w:r>
            <w:r w:rsidRPr="0037163B">
              <w:rPr>
                <w:sz w:val="16"/>
                <w:szCs w:val="16"/>
              </w:rPr>
              <w:br/>
            </w:r>
            <w:r w:rsidRPr="0037163B">
              <w:rPr>
                <w:sz w:val="16"/>
                <w:szCs w:val="16"/>
              </w:rPr>
              <w:br/>
            </w:r>
            <w:r w:rsidRPr="0037163B">
              <w:rPr>
                <w:sz w:val="16"/>
                <w:szCs w:val="16"/>
              </w:rPr>
              <w:br/>
              <w:t>3 instituciones</w:t>
            </w:r>
            <w:r>
              <w:rPr>
                <w:sz w:val="16"/>
                <w:szCs w:val="16"/>
              </w:rPr>
              <w:t xml:space="preserve"> (2014)</w:t>
            </w:r>
          </w:p>
        </w:tc>
        <w:tc>
          <w:tcPr>
            <w:tcW w:w="2129" w:type="dxa"/>
            <w:tcBorders>
              <w:left w:val="nil"/>
              <w:right w:val="single" w:sz="4" w:space="0" w:color="auto"/>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Por lo menos otras 3 tecnologías apropiadas</w:t>
            </w:r>
            <w:r w:rsidRPr="0037163B">
              <w:rPr>
                <w:sz w:val="16"/>
                <w:szCs w:val="16"/>
              </w:rPr>
              <w:br/>
            </w:r>
            <w:r w:rsidRPr="0037163B">
              <w:rPr>
                <w:sz w:val="16"/>
                <w:szCs w:val="16"/>
              </w:rPr>
              <w:br/>
            </w:r>
            <w:r w:rsidRPr="0037163B">
              <w:rPr>
                <w:sz w:val="16"/>
                <w:szCs w:val="16"/>
              </w:rPr>
              <w:br/>
            </w:r>
            <w:r w:rsidRPr="0037163B">
              <w:rPr>
                <w:sz w:val="16"/>
                <w:szCs w:val="16"/>
              </w:rPr>
              <w:br/>
              <w:t>1 PMA</w:t>
            </w:r>
            <w:r w:rsidRPr="0037163B">
              <w:rPr>
                <w:sz w:val="16"/>
                <w:szCs w:val="16"/>
              </w:rPr>
              <w:br/>
            </w:r>
            <w:r w:rsidRPr="0037163B">
              <w:rPr>
                <w:sz w:val="16"/>
                <w:szCs w:val="16"/>
              </w:rPr>
              <w:br/>
            </w:r>
            <w:r w:rsidRPr="0037163B">
              <w:rPr>
                <w:sz w:val="16"/>
                <w:szCs w:val="16"/>
              </w:rPr>
              <w:br/>
              <w:t xml:space="preserve">Otras 3 instituciones </w:t>
            </w:r>
          </w:p>
        </w:tc>
      </w:tr>
      <w:tr w:rsidR="00236E18" w:rsidRPr="0037163B" w:rsidTr="00294272">
        <w:trPr>
          <w:trHeight w:val="1256"/>
        </w:trPr>
        <w:tc>
          <w:tcPr>
            <w:tcW w:w="2280" w:type="dxa"/>
            <w:gridSpan w:val="2"/>
            <w:tcBorders>
              <w:top w:val="nil"/>
              <w:left w:val="single" w:sz="4" w:space="0" w:color="auto"/>
              <w:right w:val="nil"/>
            </w:tcBorders>
            <w:shd w:val="clear" w:color="000000" w:fill="FFFFFF"/>
            <w:tcMar>
              <w:top w:w="85" w:type="dxa"/>
            </w:tcMar>
            <w:hideMark/>
          </w:tcPr>
          <w:p w:rsidR="00236E18" w:rsidRPr="0037163B" w:rsidRDefault="00236E18" w:rsidP="00294272">
            <w:pPr>
              <w:widowControl w:val="0"/>
              <w:rPr>
                <w:sz w:val="16"/>
                <w:szCs w:val="16"/>
              </w:rPr>
            </w:pPr>
          </w:p>
        </w:tc>
        <w:tc>
          <w:tcPr>
            <w:tcW w:w="2180" w:type="dxa"/>
            <w:tcBorders>
              <w:top w:val="nil"/>
              <w:left w:val="nil"/>
              <w:right w:val="nil"/>
            </w:tcBorders>
            <w:shd w:val="clear" w:color="000000" w:fill="FFFFFF"/>
            <w:tcMar>
              <w:top w:w="85" w:type="dxa"/>
            </w:tcMar>
            <w:hideMark/>
          </w:tcPr>
          <w:p w:rsidR="00236E18" w:rsidRPr="0037163B" w:rsidRDefault="00236E18" w:rsidP="00294272">
            <w:pPr>
              <w:widowControl w:val="0"/>
              <w:spacing w:after="240"/>
              <w:rPr>
                <w:sz w:val="16"/>
                <w:szCs w:val="16"/>
              </w:rPr>
            </w:pPr>
            <w:r w:rsidRPr="0037163B">
              <w:rPr>
                <w:sz w:val="16"/>
                <w:szCs w:val="16"/>
              </w:rPr>
              <w:t>Continuación y ampliación de los programas nacionales de fortalecimiento de capacidad tecnológica sobre las tecnologías apropiadas en los PMA</w:t>
            </w:r>
          </w:p>
        </w:tc>
        <w:tc>
          <w:tcPr>
            <w:tcW w:w="2760" w:type="dxa"/>
            <w:gridSpan w:val="3"/>
            <w:tcBorders>
              <w:top w:val="nil"/>
              <w:left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7 programas</w:t>
            </w:r>
            <w:r>
              <w:rPr>
                <w:sz w:val="16"/>
                <w:szCs w:val="16"/>
              </w:rPr>
              <w:t xml:space="preserve"> (2014)</w:t>
            </w:r>
          </w:p>
        </w:tc>
        <w:tc>
          <w:tcPr>
            <w:tcW w:w="2129" w:type="dxa"/>
            <w:tcBorders>
              <w:top w:val="nil"/>
              <w:left w:val="nil"/>
              <w:right w:val="single" w:sz="4" w:space="0" w:color="auto"/>
            </w:tcBorders>
            <w:shd w:val="clear" w:color="000000" w:fill="FFFFFF"/>
            <w:tcMar>
              <w:top w:w="85" w:type="dxa"/>
            </w:tcMar>
            <w:hideMark/>
          </w:tcPr>
          <w:p w:rsidR="00236E18" w:rsidRPr="0037163B" w:rsidRDefault="00236E18" w:rsidP="00294272">
            <w:pPr>
              <w:widowControl w:val="0"/>
              <w:spacing w:after="240"/>
              <w:rPr>
                <w:sz w:val="16"/>
                <w:szCs w:val="16"/>
              </w:rPr>
            </w:pPr>
            <w:r w:rsidRPr="0037163B">
              <w:rPr>
                <w:sz w:val="16"/>
                <w:szCs w:val="16"/>
              </w:rPr>
              <w:t xml:space="preserve">Otros 6 programas </w:t>
            </w:r>
            <w:r w:rsidRPr="0037163B">
              <w:rPr>
                <w:sz w:val="16"/>
                <w:szCs w:val="16"/>
              </w:rPr>
              <w:br/>
            </w:r>
            <w:r w:rsidRPr="0037163B">
              <w:rPr>
                <w:sz w:val="16"/>
                <w:szCs w:val="16"/>
              </w:rPr>
              <w:br/>
            </w:r>
          </w:p>
        </w:tc>
      </w:tr>
      <w:tr w:rsidR="00236E18" w:rsidRPr="0037163B" w:rsidTr="00294272">
        <w:trPr>
          <w:trHeight w:val="1040"/>
        </w:trPr>
        <w:tc>
          <w:tcPr>
            <w:tcW w:w="2280" w:type="dxa"/>
            <w:gridSpan w:val="2"/>
            <w:tcBorders>
              <w:left w:val="single" w:sz="4" w:space="0" w:color="auto"/>
              <w:right w:val="nil"/>
            </w:tcBorders>
            <w:shd w:val="clear" w:color="000000" w:fill="FFFFFF"/>
            <w:tcMar>
              <w:top w:w="85" w:type="dxa"/>
            </w:tcMar>
            <w:hideMark/>
          </w:tcPr>
          <w:p w:rsidR="00236E18" w:rsidRPr="0037163B" w:rsidRDefault="00236E18" w:rsidP="00294272">
            <w:pPr>
              <w:widowControl w:val="0"/>
              <w:rPr>
                <w:sz w:val="16"/>
                <w:szCs w:val="16"/>
              </w:rPr>
            </w:pPr>
          </w:p>
        </w:tc>
        <w:tc>
          <w:tcPr>
            <w:tcW w:w="2180" w:type="dxa"/>
            <w:tcBorders>
              <w:left w:val="nil"/>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Utilización de tecnología apropiada para el desarrollo económico incluida en las políticas y estrategias nacionales de innovación y P.I. en los PMA</w:t>
            </w:r>
          </w:p>
        </w:tc>
        <w:tc>
          <w:tcPr>
            <w:tcW w:w="2760" w:type="dxa"/>
            <w:gridSpan w:val="3"/>
            <w:tcBorders>
              <w:left w:val="nil"/>
              <w:right w:val="nil"/>
            </w:tcBorders>
            <w:shd w:val="clear" w:color="000000" w:fill="FFFFFF"/>
            <w:tcMar>
              <w:top w:w="85" w:type="dxa"/>
            </w:tcMar>
            <w:hideMark/>
          </w:tcPr>
          <w:p w:rsidR="00236E18" w:rsidRPr="0037163B" w:rsidRDefault="00236E18" w:rsidP="00294272">
            <w:pPr>
              <w:widowControl w:val="0"/>
              <w:rPr>
                <w:sz w:val="16"/>
                <w:szCs w:val="16"/>
              </w:rPr>
            </w:pPr>
            <w:proofErr w:type="spellStart"/>
            <w:r>
              <w:rPr>
                <w:sz w:val="16"/>
                <w:szCs w:val="16"/>
              </w:rPr>
              <w:t>n.d</w:t>
            </w:r>
            <w:proofErr w:type="spellEnd"/>
            <w:r>
              <w:rPr>
                <w:sz w:val="16"/>
                <w:szCs w:val="16"/>
              </w:rPr>
              <w:t>.</w:t>
            </w:r>
          </w:p>
        </w:tc>
        <w:tc>
          <w:tcPr>
            <w:tcW w:w="2129" w:type="dxa"/>
            <w:tcBorders>
              <w:left w:val="nil"/>
              <w:right w:val="single" w:sz="4" w:space="0" w:color="auto"/>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 xml:space="preserve">1 PMA </w:t>
            </w:r>
          </w:p>
        </w:tc>
      </w:tr>
      <w:tr w:rsidR="00236E18" w:rsidRPr="0037163B" w:rsidTr="00294272">
        <w:trPr>
          <w:trHeight w:val="1616"/>
        </w:trPr>
        <w:tc>
          <w:tcPr>
            <w:tcW w:w="2280" w:type="dxa"/>
            <w:gridSpan w:val="2"/>
            <w:tcBorders>
              <w:left w:val="single" w:sz="4" w:space="0" w:color="auto"/>
              <w:bottom w:val="single" w:sz="4" w:space="0" w:color="auto"/>
              <w:right w:val="nil"/>
            </w:tcBorders>
            <w:shd w:val="clear" w:color="000000" w:fill="FFFFFF"/>
            <w:tcMar>
              <w:top w:w="85" w:type="dxa"/>
            </w:tcMar>
            <w:hideMark/>
          </w:tcPr>
          <w:p w:rsidR="00236E18" w:rsidRPr="0080529E" w:rsidRDefault="00236E18" w:rsidP="00294272">
            <w:pPr>
              <w:widowControl w:val="0"/>
              <w:rPr>
                <w:sz w:val="16"/>
                <w:szCs w:val="16"/>
              </w:rPr>
            </w:pPr>
            <w:r w:rsidRPr="0080529E">
              <w:rPr>
                <w:sz w:val="16"/>
                <w:szCs w:val="16"/>
              </w:rPr>
              <w:t xml:space="preserve">IV.4  </w:t>
            </w:r>
            <w:r w:rsidRPr="008A366C">
              <w:rPr>
                <w:sz w:val="16"/>
                <w:szCs w:val="16"/>
                <w:lang w:val="es-ES_tradnl"/>
              </w:rPr>
              <w:t>Mejora de la infraestructura técnica y de conocimientos de las Oficinas y demás instituciones de P.I. que les permita prestar mejores servicios (más baratos, más rápidos y de mejor calidad) a los sectores interesados y mejores resultados en la administración de la P.I.</w:t>
            </w:r>
          </w:p>
        </w:tc>
        <w:tc>
          <w:tcPr>
            <w:tcW w:w="2180" w:type="dxa"/>
            <w:tcBorders>
              <w:left w:val="nil"/>
              <w:bottom w:val="single" w:sz="4" w:space="0" w:color="auto"/>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Media del nivel de los servicios prestados por las Oficinas de P.I. que reciben asistencia (en una escala del 1 al 5).</w:t>
            </w:r>
          </w:p>
        </w:tc>
        <w:tc>
          <w:tcPr>
            <w:tcW w:w="2760" w:type="dxa"/>
            <w:gridSpan w:val="3"/>
            <w:tcBorders>
              <w:left w:val="nil"/>
              <w:bottom w:val="single" w:sz="4" w:space="0" w:color="auto"/>
              <w:right w:val="nil"/>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Media del nivel de los servicios prestados según el PPR 2014:  2,9</w:t>
            </w:r>
          </w:p>
        </w:tc>
        <w:tc>
          <w:tcPr>
            <w:tcW w:w="2129" w:type="dxa"/>
            <w:tcBorders>
              <w:left w:val="nil"/>
              <w:bottom w:val="single" w:sz="4" w:space="0" w:color="auto"/>
              <w:right w:val="single" w:sz="4" w:space="0" w:color="auto"/>
            </w:tcBorders>
            <w:shd w:val="clear" w:color="000000" w:fill="FFFFFF"/>
            <w:tcMar>
              <w:top w:w="85" w:type="dxa"/>
            </w:tcMar>
            <w:hideMark/>
          </w:tcPr>
          <w:p w:rsidR="00236E18" w:rsidRPr="0037163B" w:rsidRDefault="00236E18" w:rsidP="00294272">
            <w:pPr>
              <w:widowControl w:val="0"/>
              <w:rPr>
                <w:sz w:val="16"/>
                <w:szCs w:val="16"/>
              </w:rPr>
            </w:pPr>
            <w:r w:rsidRPr="0037163B">
              <w:rPr>
                <w:sz w:val="16"/>
                <w:szCs w:val="16"/>
              </w:rPr>
              <w:t>Media de 3,0 (a más tardar a finales de 2017)</w:t>
            </w:r>
          </w:p>
        </w:tc>
      </w:tr>
    </w:tbl>
    <w:p w:rsidR="00236E18" w:rsidRPr="0037163B" w:rsidRDefault="00236E18" w:rsidP="00236E18">
      <w:pPr>
        <w:pStyle w:val="ListParagraph"/>
        <w:widowControl w:val="0"/>
        <w:spacing w:after="240"/>
        <w:ind w:left="0"/>
        <w:jc w:val="both"/>
        <w:rPr>
          <w:rFonts w:ascii="Arial" w:hAnsi="Arial" w:cs="Arial"/>
          <w:lang w:val="es-ES"/>
        </w:rPr>
      </w:pPr>
    </w:p>
    <w:p w:rsidR="00236E18" w:rsidRPr="0037163B" w:rsidRDefault="00236E18" w:rsidP="00236E18">
      <w:pPr>
        <w:pStyle w:val="ListParagraph"/>
        <w:widowControl w:val="0"/>
        <w:spacing w:after="240"/>
        <w:ind w:left="0"/>
        <w:jc w:val="both"/>
        <w:rPr>
          <w:rFonts w:ascii="Arial" w:hAnsi="Arial" w:cs="Arial"/>
          <w:lang w:val="es-ES"/>
        </w:rPr>
      </w:pPr>
    </w:p>
    <w:p w:rsidR="00236E18" w:rsidRPr="0037163B" w:rsidRDefault="00236E18" w:rsidP="00236E18">
      <w:pPr>
        <w:pStyle w:val="ListParagraph"/>
        <w:widowControl w:val="0"/>
        <w:spacing w:after="240"/>
        <w:ind w:left="0"/>
        <w:jc w:val="both"/>
        <w:rPr>
          <w:rFonts w:ascii="Arial" w:hAnsi="Arial" w:cs="Arial"/>
          <w:lang w:val="es-ES"/>
        </w:rPr>
      </w:pPr>
      <w:r w:rsidRPr="0037163B">
        <w:rPr>
          <w:rFonts w:ascii="Arial" w:hAnsi="Arial" w:cs="Arial"/>
          <w:lang w:val="es-ES"/>
        </w:rPr>
        <w:t>RECURSOS PARA EL PROGRAMA 9</w:t>
      </w:r>
    </w:p>
    <w:p w:rsidR="00236E18" w:rsidRDefault="00236E18" w:rsidP="00236E18">
      <w:pPr>
        <w:pStyle w:val="ListParagraph"/>
        <w:widowControl w:val="0"/>
        <w:spacing w:after="240"/>
        <w:ind w:left="0"/>
        <w:jc w:val="both"/>
        <w:rPr>
          <w:rFonts w:ascii="Arial" w:hAnsi="Arial" w:cs="Arial"/>
          <w:lang w:val="es-ES"/>
        </w:rPr>
      </w:pPr>
    </w:p>
    <w:p w:rsidR="00236E18" w:rsidRPr="0037163B" w:rsidRDefault="00236E18" w:rsidP="00236E18">
      <w:pPr>
        <w:pStyle w:val="ListParagraph"/>
        <w:widowControl w:val="0"/>
        <w:numPr>
          <w:ilvl w:val="0"/>
          <w:numId w:val="21"/>
        </w:numPr>
        <w:tabs>
          <w:tab w:val="left" w:pos="709"/>
        </w:tabs>
        <w:spacing w:after="240"/>
        <w:jc w:val="both"/>
        <w:rPr>
          <w:rFonts w:ascii="Arial" w:hAnsi="Arial" w:cs="Arial"/>
          <w:sz w:val="20"/>
          <w:lang w:val="es-ES"/>
        </w:rPr>
      </w:pPr>
      <w:r w:rsidRPr="0037163B">
        <w:rPr>
          <w:rFonts w:ascii="Arial" w:hAnsi="Arial" w:cs="Arial"/>
          <w:sz w:val="20"/>
          <w:lang w:val="es-ES"/>
        </w:rPr>
        <w:t>Se puede apreciar un aumento del 4,3% en los recursos no rela</w:t>
      </w:r>
      <w:r>
        <w:rPr>
          <w:rFonts w:ascii="Arial" w:hAnsi="Arial" w:cs="Arial"/>
          <w:sz w:val="20"/>
          <w:lang w:val="es-ES"/>
        </w:rPr>
        <w:t>t</w:t>
      </w:r>
      <w:r w:rsidRPr="0037163B">
        <w:rPr>
          <w:rFonts w:ascii="Arial" w:hAnsi="Arial" w:cs="Arial"/>
          <w:sz w:val="20"/>
          <w:lang w:val="es-ES"/>
        </w:rPr>
        <w:t>i</w:t>
      </w:r>
      <w:r>
        <w:rPr>
          <w:rFonts w:ascii="Arial" w:hAnsi="Arial" w:cs="Arial"/>
          <w:sz w:val="20"/>
          <w:lang w:val="es-ES"/>
        </w:rPr>
        <w:t>v</w:t>
      </w:r>
      <w:r w:rsidRPr="0037163B">
        <w:rPr>
          <w:rFonts w:ascii="Arial" w:hAnsi="Arial" w:cs="Arial"/>
          <w:sz w:val="20"/>
          <w:lang w:val="es-ES"/>
        </w:rPr>
        <w:t>os</w:t>
      </w:r>
      <w:r>
        <w:rPr>
          <w:rFonts w:ascii="Arial" w:hAnsi="Arial" w:cs="Arial"/>
          <w:sz w:val="20"/>
          <w:lang w:val="es-ES"/>
        </w:rPr>
        <w:t xml:space="preserve"> a personal en el p</w:t>
      </w:r>
      <w:r w:rsidRPr="0037163B">
        <w:rPr>
          <w:rFonts w:ascii="Arial" w:hAnsi="Arial" w:cs="Arial"/>
          <w:sz w:val="20"/>
          <w:lang w:val="es-ES"/>
        </w:rPr>
        <w:t xml:space="preserve">rograma 9 en el bienio 2016/17 con respecto al presupuesto de 2014/15, después de las trasferencias.  Esto se debe esencialmente a la asignación de recursos adicionales a la ejecución de dos proyectos A.D., a saber, el proyecto sobre P.I. y el turismo y el proyecto sobre el fortalecimiento de capacidades en el uso de información técnica y científica relativa a las tecnologías apropiadas en los PMA (Fase II).  El aumento se refleja en el resultado </w:t>
      </w:r>
      <w:r>
        <w:rPr>
          <w:rFonts w:ascii="Arial" w:hAnsi="Arial" w:cs="Arial"/>
          <w:sz w:val="20"/>
          <w:lang w:val="es-ES"/>
        </w:rPr>
        <w:t xml:space="preserve">previsto </w:t>
      </w:r>
      <w:r w:rsidRPr="0037163B">
        <w:rPr>
          <w:rFonts w:ascii="Arial" w:hAnsi="Arial" w:cs="Arial"/>
          <w:sz w:val="20"/>
          <w:lang w:val="es-ES"/>
        </w:rPr>
        <w:t>III.2.</w:t>
      </w:r>
    </w:p>
    <w:p w:rsidR="00236E18" w:rsidRPr="0037163B" w:rsidRDefault="00236E18" w:rsidP="00236E18">
      <w:pPr>
        <w:pStyle w:val="ListParagraph"/>
        <w:widowControl w:val="0"/>
        <w:tabs>
          <w:tab w:val="left" w:pos="709"/>
        </w:tabs>
        <w:spacing w:after="240"/>
        <w:ind w:left="0"/>
        <w:jc w:val="both"/>
        <w:rPr>
          <w:rFonts w:ascii="Arial" w:hAnsi="Arial" w:cs="Arial"/>
          <w:sz w:val="20"/>
          <w:lang w:val="es-ES"/>
        </w:rPr>
      </w:pPr>
    </w:p>
    <w:p w:rsidR="00236E18" w:rsidRPr="0037163B" w:rsidRDefault="00236E18" w:rsidP="00236E18">
      <w:pPr>
        <w:pStyle w:val="ListParagraph"/>
        <w:widowControl w:val="0"/>
        <w:numPr>
          <w:ilvl w:val="0"/>
          <w:numId w:val="21"/>
        </w:numPr>
        <w:tabs>
          <w:tab w:val="left" w:pos="709"/>
        </w:tabs>
        <w:spacing w:after="240"/>
        <w:jc w:val="both"/>
        <w:rPr>
          <w:rFonts w:ascii="Arial" w:hAnsi="Arial" w:cs="Arial"/>
          <w:sz w:val="20"/>
          <w:lang w:val="es-ES"/>
        </w:rPr>
      </w:pPr>
      <w:r w:rsidRPr="0037163B">
        <w:rPr>
          <w:rFonts w:ascii="Arial" w:hAnsi="Arial" w:cs="Arial"/>
          <w:sz w:val="20"/>
          <w:lang w:val="es-ES"/>
        </w:rPr>
        <w:t>El aumento de los recursos en el resultado</w:t>
      </w:r>
      <w:r>
        <w:rPr>
          <w:rFonts w:ascii="Arial" w:hAnsi="Arial" w:cs="Arial"/>
          <w:sz w:val="20"/>
          <w:lang w:val="es-ES"/>
        </w:rPr>
        <w:t xml:space="preserve"> previsto</w:t>
      </w:r>
      <w:r w:rsidRPr="0037163B">
        <w:rPr>
          <w:rFonts w:ascii="Arial" w:hAnsi="Arial" w:cs="Arial"/>
          <w:sz w:val="20"/>
          <w:lang w:val="es-ES"/>
        </w:rPr>
        <w:t xml:space="preserve"> IV.2 se debe a la mayor importancia que se da a la mejora del acceso a la información sobre la P.I. y a su uso por instituciones de P.I. y el público para la promoción de la innovación y la creatividad.  La disminución de los recursos asignados a los resultados</w:t>
      </w:r>
      <w:r>
        <w:rPr>
          <w:rFonts w:ascii="Arial" w:hAnsi="Arial" w:cs="Arial"/>
          <w:sz w:val="20"/>
          <w:lang w:val="es-ES"/>
        </w:rPr>
        <w:t xml:space="preserve"> previstos</w:t>
      </w:r>
      <w:r w:rsidRPr="0037163B">
        <w:rPr>
          <w:rFonts w:ascii="Arial" w:hAnsi="Arial" w:cs="Arial"/>
          <w:sz w:val="20"/>
          <w:lang w:val="es-ES"/>
        </w:rPr>
        <w:t xml:space="preserve"> I.2 y IV.4 se debe a que se ha finalizado la integración de las actividades relacionadas con el asesoramiento legislativo y las soluciones operativas para las oficinas de P.I. en los programas 1, 2, 3, 4 y 15, respectivamente.</w:t>
      </w:r>
      <w:r>
        <w:rPr>
          <w:rFonts w:ascii="Arial" w:hAnsi="Arial" w:cs="Arial"/>
          <w:sz w:val="20"/>
          <w:lang w:val="es-ES"/>
        </w:rPr>
        <w:t xml:space="preserve">  Los recursos vinculados con el resultado previsto III.3, de este programa, reflejan los esfuerzos desplegados por la Oficina del Director General Adjunto, encargado del Sector de Desarrollo, en relación con actividades del programa 8.</w:t>
      </w:r>
    </w:p>
    <w:p w:rsidR="00236E18" w:rsidRPr="0037163B" w:rsidRDefault="00236E18" w:rsidP="00236E18">
      <w:pPr>
        <w:pStyle w:val="ListParagraph"/>
        <w:widowControl w:val="0"/>
        <w:spacing w:after="240"/>
        <w:ind w:left="0"/>
        <w:jc w:val="both"/>
        <w:rPr>
          <w:rFonts w:ascii="Arial" w:hAnsi="Arial" w:cs="Arial"/>
          <w:sz w:val="20"/>
          <w:lang w:val="es-ES"/>
        </w:rPr>
      </w:pPr>
    </w:p>
    <w:p w:rsidR="00236E18" w:rsidRPr="0037163B" w:rsidRDefault="00236E18" w:rsidP="00236E18">
      <w:pPr>
        <w:pStyle w:val="ListParagraph"/>
        <w:widowControl w:val="0"/>
        <w:numPr>
          <w:ilvl w:val="0"/>
          <w:numId w:val="21"/>
        </w:numPr>
        <w:tabs>
          <w:tab w:val="left" w:pos="709"/>
        </w:tabs>
        <w:spacing w:after="240"/>
        <w:jc w:val="both"/>
        <w:rPr>
          <w:rFonts w:ascii="Arial" w:hAnsi="Arial" w:cs="Arial"/>
          <w:sz w:val="20"/>
          <w:lang w:val="es-ES"/>
        </w:rPr>
      </w:pPr>
      <w:r w:rsidRPr="0037163B">
        <w:rPr>
          <w:rFonts w:ascii="Arial" w:hAnsi="Arial" w:cs="Arial"/>
          <w:sz w:val="20"/>
          <w:lang w:val="es-ES"/>
        </w:rPr>
        <w:t xml:space="preserve">Se observa un descenso en </w:t>
      </w:r>
      <w:r>
        <w:rPr>
          <w:rFonts w:ascii="Arial" w:hAnsi="Arial" w:cs="Arial"/>
          <w:sz w:val="20"/>
          <w:lang w:val="es-ES"/>
        </w:rPr>
        <w:t>los recursos</w:t>
      </w:r>
      <w:r w:rsidRPr="0037163B">
        <w:rPr>
          <w:rFonts w:ascii="Arial" w:hAnsi="Arial" w:cs="Arial"/>
          <w:sz w:val="20"/>
          <w:lang w:val="es-ES"/>
        </w:rPr>
        <w:t xml:space="preserve"> para el personal temporal en 2016/17 con respecto al presupuesto 2014/15</w:t>
      </w:r>
      <w:r>
        <w:rPr>
          <w:rFonts w:ascii="Arial" w:hAnsi="Arial" w:cs="Arial"/>
          <w:sz w:val="20"/>
          <w:lang w:val="es-ES"/>
        </w:rPr>
        <w:t xml:space="preserve"> tras</w:t>
      </w:r>
      <w:r w:rsidRPr="0037163B">
        <w:rPr>
          <w:rFonts w:ascii="Arial" w:hAnsi="Arial" w:cs="Arial"/>
          <w:sz w:val="20"/>
          <w:lang w:val="es-ES"/>
        </w:rPr>
        <w:t xml:space="preserve"> las transferencias, debido a la regularización</w:t>
      </w:r>
      <w:r>
        <w:rPr>
          <w:rFonts w:ascii="Arial" w:hAnsi="Arial" w:cs="Arial"/>
          <w:sz w:val="20"/>
          <w:lang w:val="es-ES"/>
        </w:rPr>
        <w:t>, en 2014/15,</w:t>
      </w:r>
      <w:r w:rsidRPr="0037163B">
        <w:rPr>
          <w:rFonts w:ascii="Arial" w:hAnsi="Arial" w:cs="Arial"/>
          <w:sz w:val="20"/>
          <w:lang w:val="es-ES"/>
        </w:rPr>
        <w:t xml:space="preserve"> de personal temporal con muchos años de servicio.  </w:t>
      </w:r>
      <w:r>
        <w:rPr>
          <w:rFonts w:ascii="Arial" w:hAnsi="Arial" w:cs="Arial"/>
          <w:sz w:val="20"/>
          <w:lang w:val="es-ES"/>
        </w:rPr>
        <w:t>La disminución de los recursos de personal refleja la culminación de varios proyectos de la A.D. en bienios anteriores</w:t>
      </w:r>
      <w:r w:rsidRPr="0037163B">
        <w:rPr>
          <w:rFonts w:ascii="Arial" w:hAnsi="Arial" w:cs="Arial"/>
          <w:sz w:val="20"/>
          <w:lang w:val="es-ES"/>
        </w:rPr>
        <w:t>.</w:t>
      </w:r>
    </w:p>
    <w:p w:rsidR="00236E18" w:rsidRPr="0037163B" w:rsidRDefault="00236E18" w:rsidP="00236E18">
      <w:pPr>
        <w:pStyle w:val="ListParagraph"/>
        <w:widowControl w:val="0"/>
        <w:spacing w:after="240"/>
        <w:ind w:left="0"/>
        <w:jc w:val="both"/>
        <w:rPr>
          <w:rFonts w:ascii="Arial" w:hAnsi="Arial" w:cs="Arial"/>
          <w:sz w:val="20"/>
          <w:lang w:val="es-ES"/>
        </w:rPr>
      </w:pPr>
    </w:p>
    <w:p w:rsidR="00236E18" w:rsidRPr="0037163B" w:rsidRDefault="00236E18" w:rsidP="00236E18">
      <w:pPr>
        <w:pStyle w:val="ListParagraph"/>
        <w:spacing w:after="240"/>
        <w:ind w:left="0"/>
        <w:rPr>
          <w:rFonts w:ascii="Arial" w:hAnsi="Arial" w:cs="Arial"/>
          <w:bCs/>
          <w:lang w:val="es-ES"/>
        </w:rPr>
      </w:pPr>
    </w:p>
    <w:p w:rsidR="00236E18" w:rsidRPr="0037163B" w:rsidRDefault="00236E18" w:rsidP="00236E18">
      <w:pPr>
        <w:pStyle w:val="ListParagraph"/>
        <w:keepNext/>
        <w:spacing w:after="240"/>
        <w:ind w:left="0"/>
        <w:jc w:val="center"/>
        <w:rPr>
          <w:rFonts w:ascii="Arial" w:hAnsi="Arial" w:cs="Arial"/>
          <w:b/>
          <w:sz w:val="20"/>
          <w:lang w:val="es-ES"/>
        </w:rPr>
      </w:pPr>
      <w:r>
        <w:rPr>
          <w:rFonts w:ascii="Arial" w:hAnsi="Arial" w:cs="Arial"/>
          <w:b/>
          <w:sz w:val="20"/>
          <w:lang w:val="es-ES"/>
        </w:rPr>
        <w:t xml:space="preserve">Programa </w:t>
      </w:r>
      <w:r w:rsidRPr="0037163B">
        <w:rPr>
          <w:rFonts w:ascii="Arial" w:hAnsi="Arial" w:cs="Arial"/>
          <w:b/>
          <w:sz w:val="20"/>
          <w:lang w:val="es-ES"/>
        </w:rPr>
        <w:t>9</w:t>
      </w:r>
      <w:proofErr w:type="gramStart"/>
      <w:r w:rsidRPr="0037163B">
        <w:rPr>
          <w:rFonts w:ascii="Arial" w:hAnsi="Arial" w:cs="Arial"/>
          <w:b/>
          <w:sz w:val="20"/>
          <w:lang w:val="es-ES"/>
        </w:rPr>
        <w:t>:  Recursos</w:t>
      </w:r>
      <w:proofErr w:type="gramEnd"/>
      <w:r w:rsidRPr="0037163B">
        <w:rPr>
          <w:rFonts w:ascii="Arial" w:hAnsi="Arial" w:cs="Arial"/>
          <w:b/>
          <w:sz w:val="20"/>
          <w:lang w:val="es-ES"/>
        </w:rPr>
        <w:t xml:space="preserve"> por resultado </w:t>
      </w:r>
    </w:p>
    <w:p w:rsidR="00236E18" w:rsidRPr="0037163B" w:rsidRDefault="00236E18" w:rsidP="00236E18">
      <w:pPr>
        <w:pStyle w:val="ListParagraph"/>
        <w:keepNext/>
        <w:spacing w:after="240"/>
        <w:ind w:left="0"/>
        <w:jc w:val="center"/>
        <w:rPr>
          <w:rFonts w:ascii="Arial" w:hAnsi="Arial" w:cs="Arial"/>
          <w:i/>
          <w:sz w:val="20"/>
          <w:lang w:val="es-ES"/>
        </w:rPr>
      </w:pPr>
      <w:r w:rsidRPr="0037163B">
        <w:rPr>
          <w:rFonts w:ascii="Arial" w:hAnsi="Arial" w:cs="Arial"/>
          <w:i/>
          <w:sz w:val="20"/>
          <w:lang w:val="es-ES"/>
        </w:rPr>
        <w:t>(</w:t>
      </w:r>
      <w:proofErr w:type="gramStart"/>
      <w:r w:rsidRPr="0037163B">
        <w:rPr>
          <w:rFonts w:ascii="Arial" w:hAnsi="Arial" w:cs="Arial"/>
          <w:i/>
          <w:sz w:val="20"/>
          <w:lang w:val="es-ES"/>
        </w:rPr>
        <w:t>en</w:t>
      </w:r>
      <w:proofErr w:type="gramEnd"/>
      <w:r w:rsidRPr="0037163B">
        <w:rPr>
          <w:rFonts w:ascii="Arial" w:hAnsi="Arial" w:cs="Arial"/>
          <w:i/>
          <w:sz w:val="20"/>
          <w:lang w:val="es-ES"/>
        </w:rPr>
        <w:t xml:space="preserve"> miles de francos suizos)</w:t>
      </w:r>
    </w:p>
    <w:p w:rsidR="00236E18" w:rsidRPr="0037163B" w:rsidRDefault="00236E18" w:rsidP="00236E18">
      <w:pPr>
        <w:pStyle w:val="ListParagraph"/>
        <w:keepNext/>
        <w:spacing w:after="240"/>
        <w:ind w:left="0"/>
        <w:jc w:val="center"/>
        <w:rPr>
          <w:rFonts w:ascii="Arial" w:hAnsi="Arial" w:cs="Arial"/>
          <w:i/>
          <w:sz w:val="20"/>
          <w:lang w:val="es-ES"/>
        </w:rPr>
      </w:pPr>
    </w:p>
    <w:p w:rsidR="00236E18" w:rsidRPr="0037163B" w:rsidRDefault="00236E18" w:rsidP="00236E18">
      <w:pPr>
        <w:pStyle w:val="ListParagraph"/>
        <w:widowControl w:val="0"/>
        <w:spacing w:after="240"/>
        <w:ind w:left="0" w:right="-141"/>
        <w:jc w:val="center"/>
        <w:rPr>
          <w:rFonts w:ascii="Arial" w:hAnsi="Arial" w:cs="Arial"/>
          <w:i/>
          <w:sz w:val="20"/>
          <w:lang w:val="es-ES"/>
        </w:rPr>
      </w:pPr>
      <w:r w:rsidRPr="00ED369F">
        <w:rPr>
          <w:noProof/>
          <w:lang w:eastAsia="en-US"/>
        </w:rPr>
        <w:drawing>
          <wp:inline distT="0" distB="0" distL="0" distR="0" wp14:anchorId="4B4C9B4C" wp14:editId="54EE99C9">
            <wp:extent cx="5676900" cy="486473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676900" cy="4864735"/>
                    </a:xfrm>
                    <a:prstGeom prst="rect">
                      <a:avLst/>
                    </a:prstGeom>
                    <a:noFill/>
                    <a:ln>
                      <a:noFill/>
                    </a:ln>
                  </pic:spPr>
                </pic:pic>
              </a:graphicData>
            </a:graphic>
          </wp:inline>
        </w:drawing>
      </w:r>
    </w:p>
    <w:p w:rsidR="00236E18" w:rsidRPr="0037163B" w:rsidRDefault="00236E18" w:rsidP="00236E18">
      <w:pPr>
        <w:pStyle w:val="ListParagraph"/>
        <w:widowControl w:val="0"/>
        <w:spacing w:after="240"/>
        <w:ind w:left="0"/>
        <w:jc w:val="center"/>
        <w:rPr>
          <w:rFonts w:ascii="Arial" w:hAnsi="Arial" w:cs="Arial"/>
          <w:i/>
          <w:sz w:val="20"/>
          <w:lang w:val="es-ES"/>
        </w:rPr>
      </w:pPr>
    </w:p>
    <w:p w:rsidR="00236E18" w:rsidRPr="0037163B" w:rsidRDefault="00236E18" w:rsidP="00236E18">
      <w:pPr>
        <w:pStyle w:val="ListParagraph"/>
        <w:keepNext/>
        <w:widowControl w:val="0"/>
        <w:spacing w:after="240"/>
        <w:ind w:left="0"/>
        <w:jc w:val="center"/>
        <w:rPr>
          <w:rFonts w:ascii="Arial" w:hAnsi="Arial" w:cs="Arial"/>
          <w:b/>
          <w:sz w:val="20"/>
          <w:lang w:val="es-ES"/>
        </w:rPr>
      </w:pPr>
      <w:r>
        <w:rPr>
          <w:rFonts w:ascii="Arial" w:hAnsi="Arial" w:cs="Arial"/>
          <w:b/>
          <w:sz w:val="20"/>
          <w:lang w:val="es-ES"/>
        </w:rPr>
        <w:lastRenderedPageBreak/>
        <w:t xml:space="preserve">Programa </w:t>
      </w:r>
      <w:r w:rsidRPr="0037163B">
        <w:rPr>
          <w:rFonts w:ascii="Arial" w:hAnsi="Arial" w:cs="Arial"/>
          <w:b/>
          <w:sz w:val="20"/>
          <w:lang w:val="es-ES"/>
        </w:rPr>
        <w:t>9</w:t>
      </w:r>
      <w:proofErr w:type="gramStart"/>
      <w:r>
        <w:rPr>
          <w:rFonts w:ascii="Arial" w:hAnsi="Arial" w:cs="Arial"/>
          <w:b/>
          <w:sz w:val="20"/>
          <w:lang w:val="es-ES"/>
        </w:rPr>
        <w:t>:  Recursos</w:t>
      </w:r>
      <w:proofErr w:type="gramEnd"/>
      <w:r>
        <w:rPr>
          <w:rFonts w:ascii="Arial" w:hAnsi="Arial" w:cs="Arial"/>
          <w:b/>
          <w:sz w:val="20"/>
          <w:lang w:val="es-ES"/>
        </w:rPr>
        <w:t xml:space="preserve"> por objeto de gasto</w:t>
      </w:r>
    </w:p>
    <w:p w:rsidR="00236E18" w:rsidRPr="0037163B" w:rsidRDefault="00236E18" w:rsidP="00236E18">
      <w:pPr>
        <w:pStyle w:val="ListParagraph"/>
        <w:keepNext/>
        <w:widowControl w:val="0"/>
        <w:spacing w:after="240"/>
        <w:ind w:left="0"/>
        <w:jc w:val="center"/>
        <w:rPr>
          <w:rFonts w:ascii="Arial" w:hAnsi="Arial" w:cs="Arial"/>
          <w:i/>
          <w:sz w:val="20"/>
          <w:lang w:val="es-ES"/>
        </w:rPr>
      </w:pPr>
      <w:r w:rsidRPr="0037163B">
        <w:rPr>
          <w:rFonts w:ascii="Arial" w:hAnsi="Arial" w:cs="Arial"/>
          <w:i/>
          <w:sz w:val="20"/>
          <w:lang w:val="es-ES"/>
        </w:rPr>
        <w:t>(</w:t>
      </w:r>
      <w:proofErr w:type="gramStart"/>
      <w:r w:rsidRPr="0037163B">
        <w:rPr>
          <w:rFonts w:ascii="Arial" w:hAnsi="Arial" w:cs="Arial"/>
          <w:i/>
          <w:sz w:val="20"/>
          <w:lang w:val="es-ES"/>
        </w:rPr>
        <w:t>en</w:t>
      </w:r>
      <w:proofErr w:type="gramEnd"/>
      <w:r w:rsidRPr="0037163B">
        <w:rPr>
          <w:rFonts w:ascii="Arial" w:hAnsi="Arial" w:cs="Arial"/>
          <w:i/>
          <w:sz w:val="20"/>
          <w:lang w:val="es-ES"/>
        </w:rPr>
        <w:t xml:space="preserve"> miles de francos suizos)</w:t>
      </w:r>
    </w:p>
    <w:p w:rsidR="00236E18" w:rsidRPr="0037163B" w:rsidRDefault="00236E18" w:rsidP="00236E18">
      <w:pPr>
        <w:pStyle w:val="ListParagraph"/>
        <w:keepNext/>
        <w:widowControl w:val="0"/>
        <w:spacing w:after="240"/>
        <w:ind w:left="0"/>
        <w:jc w:val="center"/>
        <w:rPr>
          <w:rFonts w:ascii="Arial" w:hAnsi="Arial" w:cs="Arial"/>
          <w:i/>
          <w:sz w:val="20"/>
          <w:lang w:val="es-ES"/>
        </w:rPr>
      </w:pPr>
    </w:p>
    <w:p w:rsidR="00236E18" w:rsidRPr="0037163B" w:rsidRDefault="00236E18" w:rsidP="00236E18">
      <w:pPr>
        <w:pStyle w:val="ListParagraph"/>
        <w:widowControl w:val="0"/>
        <w:spacing w:after="240"/>
        <w:ind w:left="0"/>
        <w:jc w:val="center"/>
        <w:rPr>
          <w:rFonts w:ascii="Arial" w:hAnsi="Arial" w:cs="Arial"/>
          <w:i/>
          <w:sz w:val="20"/>
          <w:lang w:val="es-ES"/>
        </w:rPr>
      </w:pPr>
      <w:r>
        <w:rPr>
          <w:noProof/>
          <w:lang w:eastAsia="en-US"/>
        </w:rPr>
        <w:drawing>
          <wp:inline distT="0" distB="0" distL="0" distR="0" wp14:anchorId="7968CAF7" wp14:editId="443F6C27">
            <wp:extent cx="5940425" cy="6370725"/>
            <wp:effectExtent l="0" t="0" r="3175" b="0"/>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40425" cy="6370725"/>
                    </a:xfrm>
                    <a:prstGeom prst="rect">
                      <a:avLst/>
                    </a:prstGeom>
                    <a:noFill/>
                    <a:ln>
                      <a:noFill/>
                    </a:ln>
                  </pic:spPr>
                </pic:pic>
              </a:graphicData>
            </a:graphic>
          </wp:inline>
        </w:drawing>
      </w:r>
    </w:p>
    <w:p w:rsidR="00236E18" w:rsidRPr="0037163B" w:rsidRDefault="00236E18" w:rsidP="00236E18">
      <w:pPr>
        <w:pStyle w:val="ListParagraph"/>
        <w:widowControl w:val="0"/>
        <w:spacing w:after="240"/>
        <w:ind w:left="0"/>
        <w:jc w:val="center"/>
        <w:rPr>
          <w:rFonts w:ascii="Arial" w:hAnsi="Arial" w:cs="Arial"/>
          <w:i/>
          <w:sz w:val="20"/>
          <w:lang w:val="es-ES"/>
        </w:rPr>
      </w:pPr>
    </w:p>
    <w:p w:rsidR="00236E18" w:rsidRPr="0037163B" w:rsidRDefault="00236E18" w:rsidP="00236E18">
      <w:pPr>
        <w:keepNext/>
        <w:widowControl w:val="0"/>
        <w:jc w:val="center"/>
        <w:rPr>
          <w:b/>
          <w:sz w:val="20"/>
        </w:rPr>
      </w:pPr>
    </w:p>
    <w:p w:rsidR="00236E18" w:rsidRPr="0037163B" w:rsidRDefault="00236E18" w:rsidP="00236E18">
      <w:pPr>
        <w:keepNext/>
        <w:widowControl w:val="0"/>
        <w:jc w:val="center"/>
        <w:rPr>
          <w:b/>
          <w:sz w:val="20"/>
        </w:rPr>
      </w:pPr>
      <w:r w:rsidRPr="0037163B">
        <w:rPr>
          <w:b/>
          <w:sz w:val="20"/>
        </w:rPr>
        <w:t>Recursos de fondos fiduciarios disponibles potencialmente para su utilización en 2016/17</w:t>
      </w:r>
      <w:r>
        <w:rPr>
          <w:b/>
          <w:sz w:val="20"/>
        </w:rPr>
        <w:br/>
      </w:r>
      <w:r w:rsidRPr="0037163B">
        <w:rPr>
          <w:b/>
          <w:sz w:val="20"/>
        </w:rPr>
        <w:t>(POR PROGRAMA)</w:t>
      </w:r>
      <w:r w:rsidRPr="0037163B">
        <w:rPr>
          <w:sz w:val="20"/>
          <w:vertAlign w:val="superscript"/>
        </w:rPr>
        <w:t>1</w:t>
      </w:r>
    </w:p>
    <w:p w:rsidR="00236E18" w:rsidRPr="0037163B" w:rsidRDefault="00236E18" w:rsidP="00236E18">
      <w:pPr>
        <w:keepNext/>
        <w:widowControl w:val="0"/>
        <w:jc w:val="center"/>
        <w:rPr>
          <w:i/>
          <w:sz w:val="20"/>
        </w:rPr>
      </w:pPr>
      <w:r w:rsidRPr="0037163B">
        <w:rPr>
          <w:i/>
          <w:sz w:val="20"/>
        </w:rPr>
        <w:t>(</w:t>
      </w:r>
      <w:proofErr w:type="gramStart"/>
      <w:r w:rsidRPr="0037163B">
        <w:rPr>
          <w:i/>
          <w:sz w:val="20"/>
        </w:rPr>
        <w:t>en</w:t>
      </w:r>
      <w:proofErr w:type="gramEnd"/>
      <w:r w:rsidRPr="0037163B">
        <w:rPr>
          <w:i/>
          <w:sz w:val="20"/>
        </w:rPr>
        <w:t xml:space="preserve"> miles de francos suizos)</w:t>
      </w:r>
    </w:p>
    <w:p w:rsidR="00236E18" w:rsidRPr="0037163B" w:rsidRDefault="00236E18" w:rsidP="00236E18">
      <w:pPr>
        <w:pStyle w:val="ListParagraph"/>
        <w:keepNext/>
        <w:widowControl w:val="0"/>
        <w:spacing w:after="240"/>
        <w:ind w:left="0"/>
        <w:jc w:val="center"/>
        <w:rPr>
          <w:rFonts w:ascii="Arial" w:hAnsi="Arial" w:cs="Arial"/>
          <w:i/>
          <w:sz w:val="20"/>
          <w:lang w:val="es-ES"/>
        </w:rPr>
      </w:pPr>
    </w:p>
    <w:p w:rsidR="00236E18" w:rsidRPr="0037163B" w:rsidRDefault="00236E18" w:rsidP="00236E18">
      <w:pPr>
        <w:pStyle w:val="ListParagraph"/>
        <w:widowControl w:val="0"/>
        <w:spacing w:after="240"/>
        <w:ind w:left="0"/>
        <w:rPr>
          <w:rFonts w:ascii="Arial" w:hAnsi="Arial" w:cs="Arial"/>
          <w:i/>
          <w:sz w:val="20"/>
          <w:lang w:val="es-ES"/>
        </w:rPr>
      </w:pPr>
      <w:r w:rsidRPr="00DA0A15">
        <w:rPr>
          <w:noProof/>
          <w:lang w:eastAsia="en-US"/>
        </w:rPr>
        <w:drawing>
          <wp:inline distT="0" distB="0" distL="0" distR="0" wp14:anchorId="182D5BA2" wp14:editId="1F2108F4">
            <wp:extent cx="5940425" cy="205908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40425" cy="2059085"/>
                    </a:xfrm>
                    <a:prstGeom prst="rect">
                      <a:avLst/>
                    </a:prstGeom>
                    <a:noFill/>
                    <a:ln>
                      <a:noFill/>
                    </a:ln>
                  </pic:spPr>
                </pic:pic>
              </a:graphicData>
            </a:graphic>
          </wp:inline>
        </w:drawing>
      </w:r>
    </w:p>
    <w:p w:rsidR="00236E18" w:rsidRDefault="00236E18" w:rsidP="00236E18">
      <w:pPr>
        <w:widowControl w:val="0"/>
        <w:tabs>
          <w:tab w:val="left" w:pos="567"/>
        </w:tabs>
        <w:rPr>
          <w:i/>
          <w:sz w:val="16"/>
          <w:szCs w:val="14"/>
        </w:rPr>
      </w:pPr>
      <w:r>
        <w:rPr>
          <w:i/>
          <w:sz w:val="16"/>
          <w:szCs w:val="14"/>
          <w:vertAlign w:val="superscript"/>
        </w:rPr>
        <w:t xml:space="preserve">1  </w:t>
      </w:r>
      <w:r>
        <w:rPr>
          <w:i/>
          <w:sz w:val="16"/>
          <w:szCs w:val="14"/>
        </w:rPr>
        <w:t>En las cifras no se han incluido los intereses ni los ajustes cambiarios</w:t>
      </w:r>
      <w:r w:rsidRPr="00ED4DE9">
        <w:rPr>
          <w:i/>
          <w:sz w:val="16"/>
          <w:szCs w:val="14"/>
        </w:rPr>
        <w:t xml:space="preserve">.  </w:t>
      </w:r>
      <w:r>
        <w:rPr>
          <w:i/>
          <w:sz w:val="16"/>
          <w:szCs w:val="14"/>
        </w:rPr>
        <w:t>Cabe observar asimismo que estos fondos se destinan generalmente a actividades que cubren un período que va más allá de un solo bienio, a medida que se reciben los ingresos y se incurre en gastos</w:t>
      </w:r>
      <w:r w:rsidRPr="00ED4DE9">
        <w:rPr>
          <w:i/>
          <w:sz w:val="16"/>
          <w:szCs w:val="14"/>
        </w:rPr>
        <w:t>.</w:t>
      </w:r>
    </w:p>
    <w:p w:rsidR="00236E18" w:rsidRPr="0037163B" w:rsidRDefault="00236E18" w:rsidP="00236E18">
      <w:pPr>
        <w:widowControl w:val="0"/>
        <w:tabs>
          <w:tab w:val="left" w:pos="567"/>
        </w:tabs>
        <w:rPr>
          <w:i/>
          <w:sz w:val="16"/>
          <w:szCs w:val="14"/>
        </w:rPr>
      </w:pPr>
    </w:p>
    <w:p w:rsidR="00236E18" w:rsidRDefault="00236E18" w:rsidP="00236E18">
      <w:pPr>
        <w:widowControl w:val="0"/>
        <w:rPr>
          <w:i/>
          <w:sz w:val="16"/>
          <w:szCs w:val="14"/>
        </w:rPr>
      </w:pPr>
      <w:r w:rsidRPr="00ED4DE9">
        <w:rPr>
          <w:i/>
          <w:sz w:val="16"/>
          <w:szCs w:val="14"/>
          <w:vertAlign w:val="superscript"/>
        </w:rPr>
        <w:t>2</w:t>
      </w:r>
      <w:r>
        <w:rPr>
          <w:i/>
          <w:sz w:val="16"/>
          <w:szCs w:val="14"/>
          <w:vertAlign w:val="superscript"/>
        </w:rPr>
        <w:t xml:space="preserve">  </w:t>
      </w:r>
      <w:r>
        <w:rPr>
          <w:i/>
          <w:sz w:val="16"/>
          <w:szCs w:val="14"/>
        </w:rPr>
        <w:t>Estas cifras son puramente indicativas y se basan en patrones de financiación anteriores</w:t>
      </w:r>
      <w:r w:rsidRPr="00ED4DE9">
        <w:rPr>
          <w:i/>
          <w:sz w:val="16"/>
          <w:szCs w:val="14"/>
        </w:rPr>
        <w:t xml:space="preserve">.  </w:t>
      </w:r>
      <w:r>
        <w:rPr>
          <w:i/>
          <w:sz w:val="16"/>
          <w:szCs w:val="14"/>
        </w:rPr>
        <w:t>No representan los compromisos de los Estados miembros salvo cuando quedan incluidos en el acuerdo de fondos fiduciarios</w:t>
      </w:r>
      <w:r w:rsidRPr="00ED4DE9">
        <w:rPr>
          <w:i/>
          <w:sz w:val="16"/>
          <w:szCs w:val="14"/>
        </w:rPr>
        <w:t>.</w:t>
      </w:r>
    </w:p>
    <w:p w:rsidR="00236E18" w:rsidRPr="0037163B" w:rsidRDefault="00236E18" w:rsidP="00236E18">
      <w:pPr>
        <w:widowControl w:val="0"/>
        <w:rPr>
          <w:i/>
          <w:sz w:val="16"/>
          <w:szCs w:val="14"/>
        </w:rPr>
      </w:pPr>
    </w:p>
    <w:p w:rsidR="00236E18" w:rsidRDefault="00236E18" w:rsidP="00236E18">
      <w:pPr>
        <w:widowControl w:val="0"/>
        <w:rPr>
          <w:i/>
          <w:sz w:val="16"/>
          <w:szCs w:val="14"/>
        </w:rPr>
      </w:pPr>
      <w:r w:rsidRPr="0037163B">
        <w:rPr>
          <w:i/>
          <w:sz w:val="16"/>
          <w:szCs w:val="14"/>
          <w:vertAlign w:val="superscript"/>
        </w:rPr>
        <w:t xml:space="preserve">3 </w:t>
      </w:r>
      <w:r>
        <w:rPr>
          <w:i/>
          <w:sz w:val="16"/>
          <w:szCs w:val="14"/>
          <w:vertAlign w:val="superscript"/>
        </w:rPr>
        <w:t xml:space="preserve"> </w:t>
      </w:r>
      <w:r w:rsidRPr="0037163B">
        <w:rPr>
          <w:i/>
          <w:sz w:val="16"/>
          <w:szCs w:val="14"/>
        </w:rPr>
        <w:t>Las contribuciones anuales varían y se han observado fluctuaciones de un año a otro.</w:t>
      </w:r>
    </w:p>
    <w:p w:rsidR="00236E18" w:rsidRPr="0037163B" w:rsidRDefault="00236E18" w:rsidP="00236E18">
      <w:pPr>
        <w:pStyle w:val="ListParagraph"/>
        <w:widowControl w:val="0"/>
        <w:spacing w:after="240"/>
        <w:ind w:left="0"/>
        <w:rPr>
          <w:rFonts w:ascii="Arial" w:hAnsi="Arial" w:cs="Arial"/>
          <w:i/>
          <w:sz w:val="20"/>
          <w:lang w:val="es-ES"/>
        </w:rPr>
      </w:pPr>
    </w:p>
    <w:p w:rsidR="00236E18" w:rsidRDefault="00236E18" w:rsidP="00236E18">
      <w:pPr>
        <w:rPr>
          <w:szCs w:val="22"/>
        </w:rPr>
      </w:pPr>
      <w:r>
        <w:rPr>
          <w:szCs w:val="22"/>
        </w:rPr>
        <w:br w:type="page"/>
      </w:r>
    </w:p>
    <w:p w:rsidR="00236E18" w:rsidRPr="00F4741E" w:rsidRDefault="00236E18" w:rsidP="00236E18">
      <w:pPr>
        <w:pStyle w:val="StyleStyleHeading3ComplexItalicLatin12pt"/>
        <w:ind w:left="1985" w:hanging="1985"/>
        <w:rPr>
          <w:lang w:val="es-ES"/>
        </w:rPr>
      </w:pPr>
      <w:bookmarkStart w:id="67" w:name="_Toc431573552"/>
      <w:bookmarkStart w:id="68" w:name="_Toc431573953"/>
      <w:r w:rsidRPr="00F4741E">
        <w:rPr>
          <w:lang w:val="es-ES"/>
        </w:rPr>
        <w:lastRenderedPageBreak/>
        <w:t>PROGRAMA 10</w:t>
      </w:r>
      <w:r w:rsidRPr="00F4741E">
        <w:rPr>
          <w:lang w:val="es-ES"/>
        </w:rPr>
        <w:tab/>
        <w:t>PAÍSES CON ECONOMÍAS EN TRANSICIÓN Y PAÍSES DESARROLLADOS</w:t>
      </w:r>
      <w:bookmarkEnd w:id="67"/>
      <w:bookmarkEnd w:id="68"/>
    </w:p>
    <w:p w:rsidR="00236E18" w:rsidRPr="0079353A" w:rsidRDefault="00236E18" w:rsidP="00236E18">
      <w:pPr>
        <w:jc w:val="both"/>
        <w:rPr>
          <w:szCs w:val="22"/>
        </w:rPr>
      </w:pPr>
    </w:p>
    <w:p w:rsidR="00236E18" w:rsidRPr="0079353A" w:rsidRDefault="00236E18" w:rsidP="00236E18">
      <w:pPr>
        <w:jc w:val="both"/>
        <w:rPr>
          <w:szCs w:val="22"/>
        </w:rPr>
      </w:pPr>
    </w:p>
    <w:p w:rsidR="00236E18" w:rsidRPr="0079353A" w:rsidRDefault="00236E18" w:rsidP="00236E18">
      <w:pPr>
        <w:jc w:val="both"/>
        <w:rPr>
          <w:szCs w:val="22"/>
        </w:rPr>
      </w:pPr>
      <w:r w:rsidRPr="0079353A">
        <w:rPr>
          <w:szCs w:val="22"/>
        </w:rPr>
        <w:t xml:space="preserve">CONTEXTO DE PLANIFICACIÓN </w:t>
      </w:r>
    </w:p>
    <w:p w:rsidR="00236E18" w:rsidRPr="0079353A" w:rsidRDefault="00236E18" w:rsidP="00236E18">
      <w:pPr>
        <w:ind w:left="3"/>
        <w:jc w:val="both"/>
        <w:rPr>
          <w:szCs w:val="22"/>
        </w:rPr>
      </w:pPr>
    </w:p>
    <w:p w:rsidR="00236E18" w:rsidRPr="0079353A" w:rsidRDefault="00236E18" w:rsidP="00236E18">
      <w:pPr>
        <w:pStyle w:val="ListParagraph"/>
        <w:numPr>
          <w:ilvl w:val="0"/>
          <w:numId w:val="22"/>
        </w:numPr>
        <w:tabs>
          <w:tab w:val="right" w:pos="709"/>
        </w:tabs>
        <w:ind w:left="0" w:firstLine="0"/>
        <w:jc w:val="both"/>
        <w:rPr>
          <w:rFonts w:ascii="Arial" w:hAnsi="Arial" w:cs="Arial"/>
          <w:sz w:val="20"/>
          <w:lang w:val="es-ES"/>
        </w:rPr>
      </w:pPr>
      <w:r w:rsidRPr="0079353A">
        <w:rPr>
          <w:rFonts w:ascii="Arial" w:hAnsi="Arial" w:cs="Arial"/>
          <w:sz w:val="20"/>
          <w:lang w:val="es-ES"/>
        </w:rPr>
        <w:t xml:space="preserve">Las consecuencias de la crisis financiera mundial y la inestabilidad de los mercados siguen incidiendo en las economías nacionales.  Por una parte, dicha incidencia limita la disponibilidad de fondos para investigación y desarrollo (I+D) e incita a la prudencia.  Por otra, abre las puertas a la innovación y la creatividad en aras del crecimiento económico.  Muchos países consideran que la función de la innovación y la P.I. es un factor clave del crecimiento económico, </w:t>
      </w:r>
      <w:r>
        <w:rPr>
          <w:rFonts w:ascii="Arial" w:hAnsi="Arial" w:cs="Arial"/>
          <w:sz w:val="20"/>
          <w:lang w:val="es-ES"/>
        </w:rPr>
        <w:t>y por ello invierten</w:t>
      </w:r>
      <w:r w:rsidRPr="0079353A">
        <w:rPr>
          <w:rFonts w:ascii="Arial" w:hAnsi="Arial" w:cs="Arial"/>
          <w:sz w:val="20"/>
          <w:lang w:val="es-ES"/>
        </w:rPr>
        <w:t xml:space="preserve"> recursos para crear un ecosistema de P.I. equilibrado y efectivo.  La internacionalización de </w:t>
      </w:r>
      <w:r>
        <w:rPr>
          <w:rFonts w:ascii="Arial" w:hAnsi="Arial" w:cs="Arial"/>
          <w:sz w:val="20"/>
          <w:lang w:val="es-ES"/>
        </w:rPr>
        <w:t xml:space="preserve">las </w:t>
      </w:r>
      <w:r w:rsidRPr="0079353A">
        <w:rPr>
          <w:rFonts w:ascii="Arial" w:hAnsi="Arial" w:cs="Arial"/>
          <w:sz w:val="20"/>
          <w:lang w:val="es-ES"/>
        </w:rPr>
        <w:t>actividades innovadoras y creativas permite crear alianzas entre países y regiones, lo que puede propiciar un uso más eficaz de los sistemas internacionales de protección de la P.I.</w:t>
      </w:r>
    </w:p>
    <w:p w:rsidR="00236E18" w:rsidRDefault="00236E18" w:rsidP="00236E18">
      <w:pPr>
        <w:jc w:val="both"/>
        <w:rPr>
          <w:szCs w:val="22"/>
        </w:rPr>
      </w:pPr>
    </w:p>
    <w:p w:rsidR="00236E18" w:rsidRPr="00AE7A1F" w:rsidRDefault="00236E18" w:rsidP="00236E18">
      <w:pPr>
        <w:pStyle w:val="ListParagraph"/>
        <w:numPr>
          <w:ilvl w:val="0"/>
          <w:numId w:val="22"/>
        </w:numPr>
        <w:tabs>
          <w:tab w:val="right" w:pos="709"/>
        </w:tabs>
        <w:ind w:left="0" w:firstLine="0"/>
        <w:jc w:val="both"/>
        <w:rPr>
          <w:rFonts w:ascii="Arial" w:hAnsi="Arial" w:cs="Arial"/>
          <w:sz w:val="20"/>
          <w:lang w:val="es-ES"/>
        </w:rPr>
      </w:pPr>
      <w:r w:rsidRPr="00AE7A1F">
        <w:rPr>
          <w:rFonts w:ascii="Arial" w:hAnsi="Arial" w:cs="Arial"/>
          <w:sz w:val="20"/>
          <w:lang w:val="es-ES"/>
        </w:rPr>
        <w:t>Con ese telón de fondo,</w:t>
      </w:r>
      <w:r>
        <w:rPr>
          <w:rFonts w:ascii="Arial" w:hAnsi="Arial" w:cs="Arial"/>
          <w:sz w:val="20"/>
          <w:lang w:val="es-ES"/>
        </w:rPr>
        <w:t xml:space="preserve"> se espera una demanda creciente procedente de los países con economías en transición para desarrollar estrategias y planes nacionales de P.I. que sean específicos, de largo plazo, y que estén orientados a la obtención de resultados y en sintonía con las metas económicas y culturales nacionales.</w:t>
      </w:r>
    </w:p>
    <w:p w:rsidR="00236E18" w:rsidRPr="00530FE6" w:rsidRDefault="00236E18" w:rsidP="00236E18">
      <w:pPr>
        <w:jc w:val="both"/>
        <w:rPr>
          <w:szCs w:val="22"/>
          <w:lang w:val="es-ES_tradnl"/>
        </w:rPr>
      </w:pPr>
    </w:p>
    <w:p w:rsidR="00236E18" w:rsidRPr="0079353A" w:rsidRDefault="00236E18" w:rsidP="00236E18">
      <w:pPr>
        <w:pStyle w:val="ListParagraph"/>
        <w:numPr>
          <w:ilvl w:val="0"/>
          <w:numId w:val="22"/>
        </w:numPr>
        <w:tabs>
          <w:tab w:val="right" w:pos="709"/>
        </w:tabs>
        <w:ind w:left="0" w:firstLine="0"/>
        <w:jc w:val="both"/>
        <w:rPr>
          <w:rFonts w:ascii="Arial" w:hAnsi="Arial" w:cs="Arial"/>
          <w:sz w:val="20"/>
          <w:lang w:val="es-ES"/>
        </w:rPr>
      </w:pPr>
      <w:r w:rsidRPr="0079353A">
        <w:rPr>
          <w:rFonts w:ascii="Arial" w:hAnsi="Arial" w:cs="Arial"/>
          <w:sz w:val="20"/>
          <w:lang w:val="es-ES"/>
        </w:rPr>
        <w:t xml:space="preserve">Por ello, parece </w:t>
      </w:r>
      <w:r>
        <w:rPr>
          <w:rFonts w:ascii="Arial" w:hAnsi="Arial" w:cs="Arial"/>
          <w:sz w:val="20"/>
          <w:lang w:val="es-ES"/>
        </w:rPr>
        <w:t xml:space="preserve">también </w:t>
      </w:r>
      <w:r w:rsidRPr="0079353A">
        <w:rPr>
          <w:rFonts w:ascii="Arial" w:hAnsi="Arial" w:cs="Arial"/>
          <w:sz w:val="20"/>
          <w:lang w:val="es-ES"/>
        </w:rPr>
        <w:t>indispensable fomentar</w:t>
      </w:r>
      <w:r>
        <w:rPr>
          <w:rFonts w:ascii="Arial" w:hAnsi="Arial" w:cs="Arial"/>
          <w:sz w:val="20"/>
          <w:lang w:val="es-ES"/>
        </w:rPr>
        <w:t xml:space="preserve"> y racionalizar</w:t>
      </w:r>
      <w:r w:rsidRPr="0079353A">
        <w:rPr>
          <w:rFonts w:ascii="Arial" w:hAnsi="Arial" w:cs="Arial"/>
          <w:sz w:val="20"/>
          <w:lang w:val="es-ES"/>
        </w:rPr>
        <w:t xml:space="preserve"> la interacción entre </w:t>
      </w:r>
      <w:r>
        <w:rPr>
          <w:rFonts w:ascii="Arial" w:hAnsi="Arial" w:cs="Arial"/>
          <w:sz w:val="20"/>
          <w:lang w:val="es-ES"/>
        </w:rPr>
        <w:t xml:space="preserve">la OMPI y </w:t>
      </w:r>
      <w:r w:rsidRPr="0079353A">
        <w:rPr>
          <w:rFonts w:ascii="Arial" w:hAnsi="Arial" w:cs="Arial"/>
          <w:sz w:val="20"/>
          <w:lang w:val="es-ES"/>
        </w:rPr>
        <w:t xml:space="preserve">todos los sectores interesados </w:t>
      </w:r>
      <w:r>
        <w:rPr>
          <w:rFonts w:ascii="Arial" w:hAnsi="Arial" w:cs="Arial"/>
          <w:sz w:val="20"/>
          <w:lang w:val="es-ES"/>
        </w:rPr>
        <w:t xml:space="preserve">en </w:t>
      </w:r>
      <w:r w:rsidRPr="0079353A">
        <w:rPr>
          <w:rFonts w:ascii="Arial" w:hAnsi="Arial" w:cs="Arial"/>
          <w:sz w:val="20"/>
          <w:lang w:val="es-ES"/>
        </w:rPr>
        <w:t>los países con economías en transición</w:t>
      </w:r>
      <w:r>
        <w:rPr>
          <w:rFonts w:ascii="Arial" w:hAnsi="Arial" w:cs="Arial"/>
          <w:sz w:val="20"/>
          <w:lang w:val="es-ES"/>
        </w:rPr>
        <w:t xml:space="preserve"> y en los países desarrollados</w:t>
      </w:r>
      <w:r w:rsidRPr="0079353A">
        <w:rPr>
          <w:rFonts w:ascii="Arial" w:hAnsi="Arial" w:cs="Arial"/>
          <w:sz w:val="20"/>
          <w:lang w:val="es-ES"/>
        </w:rPr>
        <w:t xml:space="preserve"> para seguir mejorando la imagen y la posición de la O</w:t>
      </w:r>
      <w:r>
        <w:rPr>
          <w:rFonts w:ascii="Arial" w:hAnsi="Arial" w:cs="Arial"/>
          <w:sz w:val="20"/>
          <w:lang w:val="es-ES"/>
        </w:rPr>
        <w:t>rganización</w:t>
      </w:r>
      <w:r w:rsidRPr="0079353A">
        <w:rPr>
          <w:rFonts w:ascii="Arial" w:hAnsi="Arial" w:cs="Arial"/>
          <w:sz w:val="20"/>
          <w:lang w:val="es-ES"/>
        </w:rPr>
        <w:t xml:space="preserve"> en los países en cuestión, además de aumentar la sensibilización acerca de las oportunidades relacionadas con la actividad normativa, las iniciativas y los servicios de la OMPI.  En el bienio seguirá creciendo la demanda de elaboración de estrategias y planes de P.I. nacionales adaptados a cada caso, de largo plazo y orientados a la obtención de resultados, en consonancia con las estrategias nacionales en los ámbitos económico y cultural.</w:t>
      </w:r>
    </w:p>
    <w:p w:rsidR="00236E18" w:rsidRPr="0079353A" w:rsidRDefault="00236E18" w:rsidP="00236E18">
      <w:pPr>
        <w:jc w:val="both"/>
        <w:rPr>
          <w:sz w:val="20"/>
        </w:rPr>
      </w:pPr>
    </w:p>
    <w:p w:rsidR="00236E18" w:rsidRPr="0079353A" w:rsidRDefault="00236E18" w:rsidP="00236E18">
      <w:pPr>
        <w:pStyle w:val="ListParagraph"/>
        <w:numPr>
          <w:ilvl w:val="0"/>
          <w:numId w:val="22"/>
        </w:numPr>
        <w:tabs>
          <w:tab w:val="right" w:pos="709"/>
        </w:tabs>
        <w:ind w:left="0" w:firstLine="0"/>
        <w:jc w:val="both"/>
        <w:rPr>
          <w:rFonts w:ascii="Arial" w:hAnsi="Arial" w:cs="Arial"/>
          <w:sz w:val="20"/>
          <w:lang w:val="es-ES"/>
        </w:rPr>
      </w:pPr>
      <w:r w:rsidRPr="0079353A">
        <w:rPr>
          <w:rFonts w:ascii="Arial" w:hAnsi="Arial" w:cs="Arial"/>
          <w:sz w:val="20"/>
          <w:lang w:val="es-ES"/>
        </w:rPr>
        <w:t xml:space="preserve">Un enfoque institucional coordinado será beneficioso tanto para la OMPI como para sus Estados miembros.  </w:t>
      </w:r>
      <w:r>
        <w:rPr>
          <w:rFonts w:ascii="Arial" w:hAnsi="Arial" w:cs="Arial"/>
          <w:sz w:val="20"/>
          <w:lang w:val="es-ES"/>
        </w:rPr>
        <w:t>Seguirá siendo prioritario</w:t>
      </w:r>
      <w:r w:rsidRPr="0079353A">
        <w:rPr>
          <w:rFonts w:ascii="Arial" w:hAnsi="Arial" w:cs="Arial"/>
          <w:sz w:val="20"/>
          <w:lang w:val="es-ES"/>
        </w:rPr>
        <w:t xml:space="preserve"> el fortalecimiento de las relaciones institucionales y el aumento de la sensibilización acerca de los servicios y las actividades de la OMPI entre un público más amplio en los países en cuestión.</w:t>
      </w:r>
    </w:p>
    <w:p w:rsidR="00236E18" w:rsidRPr="0079353A" w:rsidRDefault="00236E18" w:rsidP="00236E18">
      <w:pPr>
        <w:jc w:val="both"/>
        <w:rPr>
          <w:sz w:val="20"/>
        </w:rPr>
      </w:pPr>
    </w:p>
    <w:p w:rsidR="00236E18" w:rsidRDefault="00236E18" w:rsidP="00236E18">
      <w:pPr>
        <w:pStyle w:val="ListParagraph"/>
        <w:numPr>
          <w:ilvl w:val="0"/>
          <w:numId w:val="22"/>
        </w:numPr>
        <w:tabs>
          <w:tab w:val="right" w:pos="709"/>
        </w:tabs>
        <w:ind w:left="0" w:firstLine="0"/>
        <w:jc w:val="both"/>
        <w:rPr>
          <w:rFonts w:ascii="Arial" w:hAnsi="Arial" w:cs="Arial"/>
          <w:sz w:val="20"/>
          <w:lang w:val="es-ES"/>
        </w:rPr>
      </w:pPr>
      <w:r w:rsidRPr="0079353A">
        <w:rPr>
          <w:rFonts w:ascii="Arial" w:hAnsi="Arial" w:cs="Arial"/>
          <w:sz w:val="20"/>
          <w:lang w:val="es-ES"/>
        </w:rPr>
        <w:t xml:space="preserve">Además, </w:t>
      </w:r>
      <w:r>
        <w:rPr>
          <w:rFonts w:ascii="Arial" w:hAnsi="Arial" w:cs="Arial"/>
          <w:sz w:val="20"/>
          <w:lang w:val="es-ES"/>
        </w:rPr>
        <w:t>varios países con economías en transición y países desarrollados</w:t>
      </w:r>
      <w:r w:rsidRPr="0079353A">
        <w:rPr>
          <w:rFonts w:ascii="Arial" w:hAnsi="Arial" w:cs="Arial"/>
          <w:sz w:val="20"/>
          <w:lang w:val="es-ES"/>
        </w:rPr>
        <w:t xml:space="preserve"> se han adherido a los sistemas de la OMPI, concretamente, a los Sistemas de Madrid y del PCT, y algunos países tienen previsto adherirse.  Todavía no se han aprovechado plenamente las posibilidades que ofrecen estos sistemas en la región.  Por ello es necesario seguir fomentándolos y organizando formación específica sobre su utilización.</w:t>
      </w:r>
    </w:p>
    <w:p w:rsidR="00236E18" w:rsidRPr="0079353A" w:rsidRDefault="00236E18" w:rsidP="00236E18">
      <w:pPr>
        <w:pStyle w:val="ListParagraph"/>
        <w:tabs>
          <w:tab w:val="right" w:pos="709"/>
        </w:tabs>
        <w:ind w:left="0"/>
        <w:jc w:val="both"/>
        <w:rPr>
          <w:rFonts w:ascii="Arial" w:hAnsi="Arial" w:cs="Arial"/>
          <w:sz w:val="20"/>
          <w:lang w:val="es-ES"/>
        </w:rPr>
      </w:pPr>
    </w:p>
    <w:p w:rsidR="00236E18" w:rsidRPr="0079353A" w:rsidRDefault="00236E18" w:rsidP="00236E18">
      <w:pPr>
        <w:jc w:val="both"/>
        <w:rPr>
          <w:szCs w:val="22"/>
        </w:rPr>
      </w:pPr>
    </w:p>
    <w:p w:rsidR="00236E18" w:rsidRPr="0079353A" w:rsidRDefault="00236E18" w:rsidP="00236E18">
      <w:pPr>
        <w:jc w:val="both"/>
        <w:rPr>
          <w:szCs w:val="22"/>
        </w:rPr>
      </w:pPr>
      <w:r w:rsidRPr="0079353A">
        <w:rPr>
          <w:szCs w:val="22"/>
        </w:rPr>
        <w:t>ESTRATEGIAS DE EJECUCIÓN</w:t>
      </w:r>
    </w:p>
    <w:p w:rsidR="00236E18" w:rsidRPr="0079353A" w:rsidRDefault="00236E18" w:rsidP="00236E18">
      <w:pPr>
        <w:jc w:val="both"/>
        <w:rPr>
          <w:szCs w:val="22"/>
        </w:rPr>
      </w:pPr>
    </w:p>
    <w:p w:rsidR="00236E18" w:rsidRPr="0079353A" w:rsidRDefault="00236E18" w:rsidP="00236E18">
      <w:pPr>
        <w:pStyle w:val="ListParagraph"/>
        <w:numPr>
          <w:ilvl w:val="0"/>
          <w:numId w:val="22"/>
        </w:numPr>
        <w:tabs>
          <w:tab w:val="right" w:pos="709"/>
        </w:tabs>
        <w:ind w:left="0" w:firstLine="0"/>
        <w:jc w:val="both"/>
        <w:rPr>
          <w:rFonts w:ascii="Arial" w:hAnsi="Arial" w:cs="Arial"/>
          <w:sz w:val="20"/>
          <w:lang w:val="es-ES"/>
        </w:rPr>
      </w:pPr>
      <w:r w:rsidRPr="0079353A">
        <w:rPr>
          <w:rFonts w:ascii="Arial" w:hAnsi="Arial" w:cs="Arial"/>
          <w:sz w:val="20"/>
          <w:lang w:val="es-ES"/>
        </w:rPr>
        <w:t>El programa seguirá pr</w:t>
      </w:r>
      <w:r>
        <w:rPr>
          <w:rFonts w:ascii="Arial" w:hAnsi="Arial" w:cs="Arial"/>
          <w:sz w:val="20"/>
          <w:lang w:val="es-ES"/>
        </w:rPr>
        <w:t>estando asistencia a los Estados de Europa Central y el Báltico, los países de Asia Central, Europa del este y el Cáucaso así como a varios países mediterráneos, concretamente, para</w:t>
      </w:r>
      <w:r w:rsidRPr="0079353A">
        <w:rPr>
          <w:rFonts w:ascii="Arial" w:hAnsi="Arial" w:cs="Arial"/>
          <w:sz w:val="20"/>
          <w:lang w:val="es-ES"/>
        </w:rPr>
        <w:t xml:space="preserve"> establecer marcos reguladores, políticos y legislativos en materia de P.I., equilibrados y adaptados a cada caso;  fomentar el uso de los servicios de la OMPI;  elaborar políticas nacionales en materia de innovación y P.I. coherentes y claramente definidas;  diseñar estrategias y planes de desarrollo coherentes con las metas y los objetivos nacionales de desarrollo;  fortalecer las capacidades de recursos humanos para atender el amplio repertorio de requisitos que plantea el uso eficaz de la P.I. en aras del desarrollo, así como impulsar mecanismos y programas de cooperación. </w:t>
      </w:r>
      <w:r>
        <w:rPr>
          <w:rFonts w:ascii="Arial" w:hAnsi="Arial" w:cs="Arial"/>
          <w:sz w:val="20"/>
          <w:lang w:val="es-ES"/>
        </w:rPr>
        <w:t>En los países desarrollados, en el programa se fomentará el uso de los servicios e iniciativas de la OMPI.</w:t>
      </w:r>
    </w:p>
    <w:p w:rsidR="00236E18" w:rsidRPr="0079353A" w:rsidRDefault="00236E18" w:rsidP="00236E18">
      <w:pPr>
        <w:jc w:val="both"/>
        <w:rPr>
          <w:sz w:val="20"/>
        </w:rPr>
      </w:pPr>
    </w:p>
    <w:p w:rsidR="00236E18" w:rsidRDefault="00236E18" w:rsidP="00236E18">
      <w:pPr>
        <w:pStyle w:val="ListParagraph"/>
        <w:numPr>
          <w:ilvl w:val="0"/>
          <w:numId w:val="22"/>
        </w:numPr>
        <w:tabs>
          <w:tab w:val="right" w:pos="709"/>
        </w:tabs>
        <w:ind w:left="0" w:firstLine="0"/>
        <w:jc w:val="both"/>
        <w:rPr>
          <w:rFonts w:ascii="Arial" w:hAnsi="Arial" w:cs="Arial"/>
          <w:sz w:val="20"/>
          <w:lang w:val="es-ES"/>
        </w:rPr>
      </w:pPr>
      <w:r w:rsidRPr="0079353A">
        <w:rPr>
          <w:rFonts w:ascii="Arial" w:hAnsi="Arial" w:cs="Arial"/>
          <w:sz w:val="20"/>
          <w:lang w:val="es-ES"/>
        </w:rPr>
        <w:t>Mediante el apoyo de otros programas y contribuciones de los Estados miembros, así como la estrecha coordinación con los mismos, el programa 10 orientará la elaboración y ejecución de planes de cooperación por país equilibrados, de largo plazo y orientados a la obtención de resultados, de suerte que la asistencia de la OMPI guarde conformidad con los objetivos nacionales de las estrategias de P.I.</w:t>
      </w:r>
    </w:p>
    <w:p w:rsidR="00236E18" w:rsidRDefault="00236E18" w:rsidP="00236E18">
      <w:pPr>
        <w:pStyle w:val="ListParagraph"/>
        <w:tabs>
          <w:tab w:val="right" w:pos="709"/>
        </w:tabs>
        <w:ind w:left="0"/>
        <w:jc w:val="both"/>
        <w:rPr>
          <w:rFonts w:ascii="Arial" w:hAnsi="Arial" w:cs="Arial"/>
          <w:sz w:val="20"/>
          <w:lang w:val="es-ES"/>
        </w:rPr>
      </w:pPr>
    </w:p>
    <w:p w:rsidR="00236E18" w:rsidRPr="00ED369F" w:rsidRDefault="00236E18" w:rsidP="00236E18">
      <w:pPr>
        <w:pStyle w:val="ListParagraph"/>
        <w:keepNext/>
        <w:keepLines/>
        <w:numPr>
          <w:ilvl w:val="0"/>
          <w:numId w:val="22"/>
        </w:numPr>
        <w:tabs>
          <w:tab w:val="right" w:pos="709"/>
        </w:tabs>
        <w:ind w:left="0" w:firstLine="0"/>
        <w:jc w:val="both"/>
        <w:rPr>
          <w:rFonts w:ascii="Arial" w:hAnsi="Arial" w:cs="Arial"/>
          <w:sz w:val="20"/>
          <w:lang w:val="es-ES"/>
        </w:rPr>
      </w:pPr>
      <w:r>
        <w:rPr>
          <w:rFonts w:ascii="Arial" w:hAnsi="Arial" w:cs="Arial"/>
          <w:sz w:val="20"/>
          <w:lang w:val="es-ES"/>
        </w:rPr>
        <w:lastRenderedPageBreak/>
        <w:t>El p</w:t>
      </w:r>
      <w:r w:rsidRPr="00ED369F">
        <w:rPr>
          <w:rFonts w:ascii="Arial" w:hAnsi="Arial" w:cs="Arial"/>
          <w:sz w:val="20"/>
          <w:lang w:val="es-ES"/>
        </w:rPr>
        <w:t>rogram</w:t>
      </w:r>
      <w:r>
        <w:rPr>
          <w:rFonts w:ascii="Arial" w:hAnsi="Arial" w:cs="Arial"/>
          <w:sz w:val="20"/>
          <w:lang w:val="es-ES"/>
        </w:rPr>
        <w:t>a</w:t>
      </w:r>
      <w:r w:rsidRPr="00ED369F">
        <w:rPr>
          <w:rFonts w:ascii="Arial" w:hAnsi="Arial" w:cs="Arial"/>
          <w:sz w:val="20"/>
          <w:lang w:val="es-ES"/>
        </w:rPr>
        <w:t xml:space="preserve"> 10 colabora</w:t>
      </w:r>
      <w:r>
        <w:rPr>
          <w:rFonts w:ascii="Arial" w:hAnsi="Arial" w:cs="Arial"/>
          <w:sz w:val="20"/>
          <w:lang w:val="es-ES"/>
        </w:rPr>
        <w:t xml:space="preserve"> principalmente con los programas siguientes</w:t>
      </w:r>
      <w:r w:rsidRPr="00ED369F">
        <w:rPr>
          <w:rFonts w:ascii="Arial" w:hAnsi="Arial" w:cs="Arial"/>
          <w:sz w:val="20"/>
          <w:lang w:val="es-ES"/>
        </w:rPr>
        <w:t>:</w:t>
      </w:r>
    </w:p>
    <w:p w:rsidR="00236E18" w:rsidRPr="0079353A" w:rsidRDefault="00236E18" w:rsidP="00236E18">
      <w:pPr>
        <w:keepNext/>
        <w:keepLines/>
        <w:jc w:val="both"/>
        <w:rPr>
          <w:szCs w:val="22"/>
        </w:rPr>
      </w:pPr>
      <w:r>
        <w:rPr>
          <w:noProof/>
          <w:lang w:val="en-US" w:eastAsia="en-US"/>
        </w:rPr>
        <w:drawing>
          <wp:inline distT="0" distB="0" distL="0" distR="0" wp14:anchorId="7B05A128" wp14:editId="22046269">
            <wp:extent cx="5940425" cy="2704465"/>
            <wp:effectExtent l="0" t="38100" r="3175" b="635"/>
            <wp:docPr id="80" name="Diagram 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rsidR="00236E18" w:rsidRPr="0079353A" w:rsidRDefault="00236E18" w:rsidP="00236E18">
      <w:pPr>
        <w:jc w:val="both"/>
        <w:rPr>
          <w:szCs w:val="22"/>
        </w:rPr>
      </w:pPr>
    </w:p>
    <w:p w:rsidR="00236E18" w:rsidRPr="0079353A" w:rsidRDefault="00236E18" w:rsidP="00236E18">
      <w:pPr>
        <w:pStyle w:val="ListParagraph"/>
        <w:numPr>
          <w:ilvl w:val="0"/>
          <w:numId w:val="22"/>
        </w:numPr>
        <w:tabs>
          <w:tab w:val="right" w:pos="709"/>
        </w:tabs>
        <w:ind w:left="0" w:firstLine="0"/>
        <w:jc w:val="both"/>
        <w:rPr>
          <w:rFonts w:ascii="Arial" w:hAnsi="Arial" w:cs="Arial"/>
          <w:sz w:val="20"/>
          <w:lang w:val="es-ES"/>
        </w:rPr>
      </w:pPr>
      <w:r w:rsidRPr="0079353A">
        <w:rPr>
          <w:rFonts w:ascii="Arial" w:hAnsi="Arial" w:cs="Arial"/>
          <w:sz w:val="20"/>
          <w:lang w:val="es-ES"/>
        </w:rPr>
        <w:t xml:space="preserve">Se dará prioridad al fomento de los productos y servicios de la OMPI.  Los seminarios itinerantes sobre los servicios y las iniciativas de la OMPI, que se han celebrado con buenos resultados en muchos países, se llevarán a cabo en nuevas regiones. </w:t>
      </w:r>
    </w:p>
    <w:p w:rsidR="00236E18" w:rsidRPr="0079353A" w:rsidRDefault="00236E18" w:rsidP="00236E18">
      <w:pPr>
        <w:jc w:val="both"/>
        <w:rPr>
          <w:sz w:val="20"/>
        </w:rPr>
      </w:pPr>
    </w:p>
    <w:p w:rsidR="00236E18" w:rsidRPr="0079353A" w:rsidRDefault="00236E18" w:rsidP="00236E18">
      <w:pPr>
        <w:pStyle w:val="ListParagraph"/>
        <w:numPr>
          <w:ilvl w:val="0"/>
          <w:numId w:val="22"/>
        </w:numPr>
        <w:tabs>
          <w:tab w:val="right" w:pos="709"/>
        </w:tabs>
        <w:ind w:left="0" w:firstLine="0"/>
        <w:jc w:val="both"/>
        <w:rPr>
          <w:rFonts w:ascii="Arial" w:hAnsi="Arial" w:cs="Arial"/>
          <w:sz w:val="20"/>
          <w:lang w:val="es-ES"/>
        </w:rPr>
      </w:pPr>
      <w:r w:rsidRPr="0079353A">
        <w:rPr>
          <w:rFonts w:ascii="Arial" w:hAnsi="Arial" w:cs="Arial"/>
          <w:sz w:val="20"/>
          <w:lang w:val="es-ES"/>
        </w:rPr>
        <w:t>Dos importantes aspectos de la ampliación del uso de los servicios de la OMPI durante el bienio serán</w:t>
      </w:r>
      <w:proofErr w:type="gramStart"/>
      <w:r w:rsidRPr="0079353A">
        <w:rPr>
          <w:rFonts w:ascii="Arial" w:hAnsi="Arial" w:cs="Arial"/>
          <w:sz w:val="20"/>
          <w:lang w:val="es-ES"/>
        </w:rPr>
        <w:t>:  i</w:t>
      </w:r>
      <w:proofErr w:type="gramEnd"/>
      <w:r w:rsidRPr="0079353A">
        <w:rPr>
          <w:rFonts w:ascii="Arial" w:hAnsi="Arial" w:cs="Arial"/>
          <w:sz w:val="20"/>
          <w:lang w:val="es-ES"/>
        </w:rPr>
        <w:t>) asegurar que los actuales usuarios puedan aprovechar al máximo las posibilidades que ofrecen los Sistemas;  y ii) que los posibles usuarios, muchos de ellos ubicados en los Estados miembros en que más se utilizan los Sistemas de la OMPI, mantengan una activa participación.  En respuesta, se establecerá un mecanismo de divulgación, específico y constante, para maximizar el uso en los mercados nacionales en que el valor de los sistemas de la OMPI ya ha sido constatado y reconocido.</w:t>
      </w:r>
    </w:p>
    <w:p w:rsidR="00236E18" w:rsidRPr="0079353A" w:rsidRDefault="00236E18" w:rsidP="00236E18">
      <w:pPr>
        <w:jc w:val="both"/>
        <w:rPr>
          <w:sz w:val="20"/>
        </w:rPr>
      </w:pPr>
    </w:p>
    <w:p w:rsidR="00236E18" w:rsidRPr="0079353A" w:rsidRDefault="00236E18" w:rsidP="00236E18">
      <w:pPr>
        <w:pStyle w:val="ListParagraph"/>
        <w:numPr>
          <w:ilvl w:val="0"/>
          <w:numId w:val="22"/>
        </w:numPr>
        <w:tabs>
          <w:tab w:val="right" w:pos="709"/>
        </w:tabs>
        <w:ind w:left="0" w:firstLine="0"/>
        <w:jc w:val="both"/>
        <w:rPr>
          <w:rFonts w:ascii="Arial" w:hAnsi="Arial" w:cs="Arial"/>
          <w:sz w:val="20"/>
          <w:lang w:val="es-ES"/>
        </w:rPr>
      </w:pPr>
      <w:r w:rsidRPr="0079353A">
        <w:rPr>
          <w:rFonts w:ascii="Arial" w:hAnsi="Arial" w:cs="Arial"/>
          <w:sz w:val="20"/>
          <w:lang w:val="es-ES"/>
        </w:rPr>
        <w:t xml:space="preserve">Además, el programa seguirá tomando como fundamento ciertos aspectos comunes y características compartidas de los sistemas económicos y de P.I. de los países </w:t>
      </w:r>
      <w:r>
        <w:rPr>
          <w:rFonts w:ascii="Arial" w:hAnsi="Arial" w:cs="Arial"/>
          <w:sz w:val="20"/>
          <w:lang w:val="es-ES"/>
        </w:rPr>
        <w:t>con economías en transición y los países desarrollados</w:t>
      </w:r>
      <w:r w:rsidRPr="0079353A">
        <w:rPr>
          <w:rFonts w:ascii="Arial" w:hAnsi="Arial" w:cs="Arial"/>
          <w:sz w:val="20"/>
          <w:lang w:val="es-ES"/>
        </w:rPr>
        <w:t xml:space="preserve"> e impulsará el intercambio de experiencias adquiridas y prácticas más extendidas.</w:t>
      </w:r>
    </w:p>
    <w:p w:rsidR="00236E18" w:rsidRPr="0079353A" w:rsidRDefault="00236E18" w:rsidP="00236E18">
      <w:pPr>
        <w:jc w:val="both"/>
        <w:rPr>
          <w:sz w:val="20"/>
        </w:rPr>
      </w:pPr>
    </w:p>
    <w:p w:rsidR="00236E18" w:rsidRPr="0079353A" w:rsidRDefault="00236E18" w:rsidP="00236E18">
      <w:pPr>
        <w:pStyle w:val="ListParagraph"/>
        <w:numPr>
          <w:ilvl w:val="0"/>
          <w:numId w:val="22"/>
        </w:numPr>
        <w:tabs>
          <w:tab w:val="right" w:pos="709"/>
        </w:tabs>
        <w:ind w:left="0" w:firstLine="0"/>
        <w:jc w:val="both"/>
        <w:rPr>
          <w:rFonts w:ascii="Arial" w:hAnsi="Arial" w:cs="Arial"/>
          <w:sz w:val="20"/>
          <w:lang w:val="es-ES"/>
        </w:rPr>
      </w:pPr>
      <w:r w:rsidRPr="0079353A">
        <w:rPr>
          <w:rFonts w:ascii="Arial" w:hAnsi="Arial" w:cs="Arial"/>
          <w:sz w:val="20"/>
          <w:lang w:val="es-ES"/>
        </w:rPr>
        <w:t>Se planificarán y llevarán a cabo actividades de fortalecimiento de capacidades en consonancia con los planes nacionales de cooperación y, cuando proceda, con las estrategias nacionales de P.I., prestando atención al establecimiento de programas de formación nacionales e independientes que puedan ser ejecutados por las autoridades locales.</w:t>
      </w:r>
    </w:p>
    <w:p w:rsidR="00236E18" w:rsidRPr="0079353A" w:rsidRDefault="00236E18" w:rsidP="00236E18">
      <w:pPr>
        <w:jc w:val="both"/>
        <w:rPr>
          <w:sz w:val="20"/>
        </w:rPr>
      </w:pPr>
    </w:p>
    <w:p w:rsidR="00236E18" w:rsidRPr="0079353A" w:rsidRDefault="00236E18" w:rsidP="00236E18">
      <w:pPr>
        <w:pStyle w:val="ListParagraph"/>
        <w:numPr>
          <w:ilvl w:val="0"/>
          <w:numId w:val="22"/>
        </w:numPr>
        <w:tabs>
          <w:tab w:val="right" w:pos="709"/>
        </w:tabs>
        <w:ind w:left="0" w:firstLine="0"/>
        <w:jc w:val="both"/>
        <w:rPr>
          <w:rFonts w:ascii="Arial" w:hAnsi="Arial" w:cs="Arial"/>
          <w:sz w:val="20"/>
          <w:lang w:val="es-ES"/>
        </w:rPr>
      </w:pPr>
      <w:r w:rsidRPr="0079353A">
        <w:rPr>
          <w:rFonts w:ascii="Arial" w:hAnsi="Arial" w:cs="Arial"/>
          <w:sz w:val="20"/>
          <w:lang w:val="es-ES"/>
        </w:rPr>
        <w:t>La ejecución de una evaluación más exhaustiva, llevada a cabo en dos etapas, de las actividades permitirá al programa seguir mejorando y adaptando sus actividades a las necesidades específicas de l</w:t>
      </w:r>
      <w:r>
        <w:rPr>
          <w:rFonts w:ascii="Arial" w:hAnsi="Arial" w:cs="Arial"/>
          <w:sz w:val="20"/>
          <w:lang w:val="es-ES"/>
        </w:rPr>
        <w:t>os países</w:t>
      </w:r>
      <w:r w:rsidRPr="0079353A">
        <w:rPr>
          <w:rFonts w:ascii="Arial" w:hAnsi="Arial" w:cs="Arial"/>
          <w:sz w:val="20"/>
          <w:lang w:val="es-ES"/>
        </w:rPr>
        <w:t>, como la integración de la igualdad de género en las actividades pertinentes.</w:t>
      </w:r>
    </w:p>
    <w:p w:rsidR="00236E18" w:rsidRPr="0079353A" w:rsidRDefault="00236E18" w:rsidP="00236E18">
      <w:pPr>
        <w:jc w:val="both"/>
        <w:rPr>
          <w:sz w:val="20"/>
        </w:rPr>
      </w:pPr>
    </w:p>
    <w:p w:rsidR="00236E18" w:rsidRPr="0079353A" w:rsidRDefault="00236E18" w:rsidP="00236E18">
      <w:pPr>
        <w:pStyle w:val="ListParagraph"/>
        <w:numPr>
          <w:ilvl w:val="0"/>
          <w:numId w:val="22"/>
        </w:numPr>
        <w:tabs>
          <w:tab w:val="right" w:pos="709"/>
        </w:tabs>
        <w:ind w:left="0" w:firstLine="0"/>
        <w:jc w:val="both"/>
        <w:rPr>
          <w:rFonts w:ascii="Arial" w:hAnsi="Arial" w:cs="Arial"/>
          <w:sz w:val="20"/>
          <w:lang w:val="es-ES"/>
        </w:rPr>
      </w:pPr>
      <w:r w:rsidRPr="0079353A">
        <w:rPr>
          <w:rFonts w:ascii="Arial" w:hAnsi="Arial" w:cs="Arial"/>
          <w:sz w:val="20"/>
          <w:lang w:val="es-ES"/>
        </w:rPr>
        <w:t xml:space="preserve">Para que el sistema de P.I. se desarrolle de manera equilibrada, se fomentará la interacción con todos los sectores interesados, incluidos gobiernos, sector privado y usuarios.  Se crearán plataformas sostenibles de intercambio de experiencias de P.I., que podrán contribuir a una mejor coordinación entre los sectores interesados. </w:t>
      </w:r>
    </w:p>
    <w:p w:rsidR="00236E18" w:rsidRPr="0079353A" w:rsidRDefault="00236E18" w:rsidP="00236E18">
      <w:pPr>
        <w:jc w:val="both"/>
        <w:rPr>
          <w:szCs w:val="22"/>
        </w:rPr>
      </w:pPr>
    </w:p>
    <w:p w:rsidR="00236E18" w:rsidRPr="0079353A" w:rsidRDefault="00236E18" w:rsidP="00236E18">
      <w:pPr>
        <w:pStyle w:val="ListParagraph"/>
        <w:numPr>
          <w:ilvl w:val="0"/>
          <w:numId w:val="22"/>
        </w:numPr>
        <w:tabs>
          <w:tab w:val="right" w:pos="709"/>
        </w:tabs>
        <w:ind w:left="0" w:firstLine="0"/>
        <w:jc w:val="both"/>
        <w:rPr>
          <w:rFonts w:ascii="Arial" w:hAnsi="Arial" w:cs="Arial"/>
          <w:sz w:val="20"/>
          <w:lang w:val="es-ES"/>
        </w:rPr>
      </w:pPr>
      <w:r w:rsidRPr="0079353A">
        <w:rPr>
          <w:rFonts w:ascii="Arial" w:hAnsi="Arial" w:cs="Arial"/>
          <w:sz w:val="20"/>
          <w:lang w:val="es-ES"/>
        </w:rPr>
        <w:t>Teniendo en cuenta el número de miembros de los países con economías en transición y los países en desarrollo en las organizaciones regionales pertinentes, el programa seguirá impulsando las sinergias y fomentando la labor común para lograr alcanzar objetivos de P.I. comunes.  En consecuencia, cooperará estrechamente con varias instituciones, entre otras, la UE, la Organización Europea de Patentes (OEP), el Consejo Interestatal para la Protección</w:t>
      </w:r>
      <w:r>
        <w:rPr>
          <w:rFonts w:ascii="Arial" w:hAnsi="Arial" w:cs="Arial"/>
          <w:sz w:val="20"/>
          <w:lang w:val="es-ES"/>
        </w:rPr>
        <w:t xml:space="preserve"> Jurídica y la Observancia</w:t>
      </w:r>
      <w:r w:rsidRPr="0079353A">
        <w:rPr>
          <w:rFonts w:ascii="Arial" w:hAnsi="Arial" w:cs="Arial"/>
          <w:sz w:val="20"/>
          <w:lang w:val="es-ES"/>
        </w:rPr>
        <w:t xml:space="preserve"> de la Propiedad In</w:t>
      </w:r>
      <w:r>
        <w:rPr>
          <w:rFonts w:ascii="Arial" w:hAnsi="Arial" w:cs="Arial"/>
          <w:sz w:val="20"/>
          <w:lang w:val="es-ES"/>
        </w:rPr>
        <w:t>telectual</w:t>
      </w:r>
      <w:r w:rsidRPr="0079353A">
        <w:rPr>
          <w:rFonts w:ascii="Arial" w:hAnsi="Arial" w:cs="Arial"/>
          <w:sz w:val="20"/>
          <w:lang w:val="es-ES"/>
        </w:rPr>
        <w:t xml:space="preserve"> (</w:t>
      </w:r>
      <w:r>
        <w:rPr>
          <w:rFonts w:ascii="Arial" w:hAnsi="Arial" w:cs="Arial"/>
          <w:sz w:val="20"/>
          <w:lang w:val="es-ES"/>
        </w:rPr>
        <w:t>I</w:t>
      </w:r>
      <w:r w:rsidRPr="0079353A">
        <w:rPr>
          <w:rFonts w:ascii="Arial" w:hAnsi="Arial" w:cs="Arial"/>
          <w:sz w:val="20"/>
          <w:lang w:val="es-ES"/>
        </w:rPr>
        <w:t>CP</w:t>
      </w:r>
      <w:r>
        <w:rPr>
          <w:rFonts w:ascii="Arial" w:hAnsi="Arial" w:cs="Arial"/>
          <w:sz w:val="20"/>
          <w:lang w:val="es-ES"/>
        </w:rPr>
        <w:t>I</w:t>
      </w:r>
      <w:r w:rsidRPr="0079353A">
        <w:rPr>
          <w:rFonts w:ascii="Arial" w:hAnsi="Arial" w:cs="Arial"/>
          <w:sz w:val="20"/>
          <w:lang w:val="es-ES"/>
        </w:rPr>
        <w:t>P), la Asamblea Interparlamentaria de los Estados miembros de la CEI, la Organización Eurasiática de Patentes y la Comisión Económica Eurasiática (CEE).</w:t>
      </w:r>
    </w:p>
    <w:p w:rsidR="00236E18" w:rsidRPr="0079353A" w:rsidRDefault="00236E18" w:rsidP="00236E18">
      <w:pPr>
        <w:jc w:val="both"/>
        <w:rPr>
          <w:sz w:val="20"/>
        </w:rPr>
      </w:pPr>
    </w:p>
    <w:p w:rsidR="00236E18" w:rsidRPr="0079353A" w:rsidRDefault="00236E18" w:rsidP="00236E18">
      <w:pPr>
        <w:pStyle w:val="ListParagraph"/>
        <w:numPr>
          <w:ilvl w:val="0"/>
          <w:numId w:val="22"/>
        </w:numPr>
        <w:tabs>
          <w:tab w:val="right" w:pos="709"/>
        </w:tabs>
        <w:ind w:left="0" w:firstLine="0"/>
        <w:jc w:val="both"/>
        <w:rPr>
          <w:rFonts w:ascii="Arial" w:hAnsi="Arial" w:cs="Arial"/>
          <w:sz w:val="20"/>
          <w:lang w:val="es-ES"/>
        </w:rPr>
      </w:pPr>
      <w:r w:rsidRPr="0079353A">
        <w:rPr>
          <w:rFonts w:ascii="Arial" w:hAnsi="Arial" w:cs="Arial"/>
          <w:sz w:val="20"/>
          <w:lang w:val="es-ES"/>
        </w:rPr>
        <w:t xml:space="preserve">Las recomendaciones de la A.D. seguirán orientando el programa 10 en sus actividades de asistencia técnica, en particular, las recomendaciones </w:t>
      </w:r>
      <w:r w:rsidRPr="0079353A">
        <w:rPr>
          <w:rFonts w:ascii="Arial" w:hAnsi="Arial" w:cs="Arial"/>
          <w:iCs/>
          <w:sz w:val="20"/>
          <w:lang w:val="es-ES"/>
        </w:rPr>
        <w:t>1, 3, 4, 6, 10, 11 y 13.</w:t>
      </w:r>
    </w:p>
    <w:p w:rsidR="00236E18" w:rsidRPr="0079353A" w:rsidRDefault="00236E18" w:rsidP="00236E18">
      <w:pPr>
        <w:jc w:val="both"/>
        <w:rPr>
          <w:szCs w:val="22"/>
        </w:rPr>
      </w:pPr>
    </w:p>
    <w:p w:rsidR="00236E18" w:rsidRPr="0079353A" w:rsidRDefault="00236E18" w:rsidP="00236E18">
      <w:pPr>
        <w:jc w:val="both"/>
      </w:pPr>
    </w:p>
    <w:p w:rsidR="00236E18" w:rsidRPr="0079353A" w:rsidRDefault="00236E18" w:rsidP="00236E18">
      <w:pPr>
        <w:pStyle w:val="BodyText"/>
        <w:spacing w:after="0"/>
      </w:pPr>
      <w:r w:rsidRPr="0079353A">
        <w:t>PRINCIPALES RIESGOS Y ESTRATEGIAS DE MITIGACIÓN</w:t>
      </w:r>
    </w:p>
    <w:p w:rsidR="00236E18" w:rsidRPr="0079353A" w:rsidRDefault="00236E18" w:rsidP="00236E18">
      <w:pPr>
        <w:pStyle w:val="BodyText"/>
        <w:spacing w:after="0"/>
      </w:pPr>
    </w:p>
    <w:tbl>
      <w:tblPr>
        <w:tblW w:w="907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4961"/>
      </w:tblGrid>
      <w:tr w:rsidR="00236E18" w:rsidRPr="0079353A" w:rsidTr="00294272">
        <w:trPr>
          <w:trHeight w:val="577"/>
        </w:trPr>
        <w:tc>
          <w:tcPr>
            <w:tcW w:w="4111" w:type="dxa"/>
            <w:tcBorders>
              <w:top w:val="single" w:sz="4" w:space="0" w:color="auto"/>
              <w:bottom w:val="single" w:sz="4" w:space="0" w:color="auto"/>
            </w:tcBorders>
            <w:shd w:val="clear" w:color="auto" w:fill="C6D9F1" w:themeFill="text2" w:themeFillTint="33"/>
            <w:vAlign w:val="center"/>
          </w:tcPr>
          <w:p w:rsidR="00236E18" w:rsidRPr="0079353A" w:rsidRDefault="00236E18" w:rsidP="00294272">
            <w:pPr>
              <w:jc w:val="center"/>
              <w:rPr>
                <w:b/>
                <w:bCs/>
                <w:sz w:val="18"/>
                <w:szCs w:val="18"/>
              </w:rPr>
            </w:pPr>
            <w:r w:rsidRPr="0079353A">
              <w:rPr>
                <w:b/>
                <w:bCs/>
                <w:sz w:val="18"/>
                <w:szCs w:val="18"/>
              </w:rPr>
              <w:t>Riesgo</w:t>
            </w:r>
          </w:p>
        </w:tc>
        <w:tc>
          <w:tcPr>
            <w:tcW w:w="4961" w:type="dxa"/>
            <w:tcBorders>
              <w:top w:val="single" w:sz="4" w:space="0" w:color="auto"/>
              <w:bottom w:val="single" w:sz="4" w:space="0" w:color="auto"/>
            </w:tcBorders>
            <w:shd w:val="clear" w:color="auto" w:fill="C6D9F1" w:themeFill="text2" w:themeFillTint="33"/>
            <w:vAlign w:val="center"/>
          </w:tcPr>
          <w:p w:rsidR="00236E18" w:rsidRPr="0079353A" w:rsidRDefault="00236E18" w:rsidP="00294272">
            <w:pPr>
              <w:jc w:val="center"/>
              <w:rPr>
                <w:b/>
                <w:bCs/>
                <w:sz w:val="18"/>
                <w:szCs w:val="18"/>
              </w:rPr>
            </w:pPr>
            <w:r w:rsidRPr="0079353A">
              <w:rPr>
                <w:b/>
                <w:bCs/>
                <w:sz w:val="18"/>
                <w:szCs w:val="18"/>
              </w:rPr>
              <w:t>Mitigación</w:t>
            </w:r>
          </w:p>
        </w:tc>
      </w:tr>
      <w:tr w:rsidR="00236E18" w:rsidRPr="0079353A" w:rsidTr="00294272">
        <w:trPr>
          <w:trHeight w:val="1461"/>
        </w:trPr>
        <w:tc>
          <w:tcPr>
            <w:tcW w:w="4111"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236E18" w:rsidRPr="0079353A" w:rsidRDefault="00236E18" w:rsidP="00294272">
            <w:pPr>
              <w:rPr>
                <w:rFonts w:eastAsia="Calibri"/>
                <w:sz w:val="16"/>
                <w:szCs w:val="16"/>
              </w:rPr>
            </w:pPr>
            <w:r w:rsidRPr="0079353A">
              <w:rPr>
                <w:rFonts w:eastAsia="Calibri"/>
                <w:sz w:val="16"/>
                <w:szCs w:val="16"/>
              </w:rPr>
              <w:t xml:space="preserve">Los cambios económicos y políticos podrían </w:t>
            </w:r>
            <w:r w:rsidRPr="001D6AA6">
              <w:rPr>
                <w:sz w:val="16"/>
                <w:szCs w:val="16"/>
              </w:rPr>
              <w:t>obstaculizar</w:t>
            </w:r>
            <w:r w:rsidRPr="0079353A">
              <w:rPr>
                <w:rFonts w:eastAsia="Calibri"/>
                <w:sz w:val="16"/>
                <w:szCs w:val="16"/>
              </w:rPr>
              <w:t xml:space="preserve"> o ralentizar la aplicación de estrategias nacionales en materia de P.I.</w:t>
            </w:r>
          </w:p>
          <w:p w:rsidR="00236E18" w:rsidRPr="001D6AA6" w:rsidRDefault="00236E18" w:rsidP="00294272">
            <w:pPr>
              <w:spacing w:line="276" w:lineRule="auto"/>
              <w:rPr>
                <w:sz w:val="18"/>
                <w:szCs w:val="18"/>
              </w:rPr>
            </w:pPr>
          </w:p>
          <w:p w:rsidR="00236E18" w:rsidRPr="001D6AA6" w:rsidRDefault="00236E18" w:rsidP="00294272">
            <w:pPr>
              <w:spacing w:line="276" w:lineRule="auto"/>
              <w:rPr>
                <w:sz w:val="18"/>
                <w:szCs w:val="18"/>
              </w:rPr>
            </w:pPr>
          </w:p>
          <w:p w:rsidR="00236E18" w:rsidRPr="0079353A" w:rsidRDefault="00236E18" w:rsidP="00294272">
            <w:pPr>
              <w:rPr>
                <w:sz w:val="16"/>
                <w:szCs w:val="16"/>
              </w:rPr>
            </w:pPr>
          </w:p>
          <w:p w:rsidR="00236E18" w:rsidRPr="0079353A" w:rsidRDefault="00236E18" w:rsidP="00294272">
            <w:pPr>
              <w:rPr>
                <w:b/>
                <w:i/>
                <w:sz w:val="16"/>
                <w:szCs w:val="16"/>
              </w:rPr>
            </w:pPr>
            <w:r w:rsidRPr="0079353A">
              <w:rPr>
                <w:sz w:val="16"/>
                <w:szCs w:val="16"/>
              </w:rPr>
              <w:t>Las decisiones tomadas en los planos internacional o nacional se traducen en la pérdida del compromiso de los sectores interesados para participar activamente en la ejecución de actividades que afectan a los planes a largo plazo para fomentar las capacidades de recursos humanos en los países con economías en transición.</w:t>
            </w:r>
          </w:p>
        </w:tc>
        <w:tc>
          <w:tcPr>
            <w:tcW w:w="4961"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236E18" w:rsidRPr="0079353A" w:rsidRDefault="00236E18" w:rsidP="00294272">
            <w:pPr>
              <w:rPr>
                <w:rFonts w:eastAsia="Calibri"/>
                <w:sz w:val="16"/>
                <w:szCs w:val="16"/>
              </w:rPr>
            </w:pPr>
            <w:r w:rsidRPr="0079353A">
              <w:rPr>
                <w:sz w:val="16"/>
                <w:szCs w:val="16"/>
              </w:rPr>
              <w:t>Comunicación inmediata cuando se produzcan los cambios pertinentes en el país;  planificación avanzada en todos los niveles;  mantenimiento de relaciones con los sectores interesados de los países;  conferir flexibilidad en los planes de cooperación.</w:t>
            </w:r>
          </w:p>
          <w:p w:rsidR="00236E18" w:rsidRPr="0079353A" w:rsidRDefault="00236E18" w:rsidP="00294272">
            <w:pPr>
              <w:spacing w:line="276" w:lineRule="auto"/>
              <w:rPr>
                <w:sz w:val="20"/>
              </w:rPr>
            </w:pPr>
          </w:p>
          <w:p w:rsidR="00236E18" w:rsidRPr="0079353A" w:rsidRDefault="00236E18" w:rsidP="00294272">
            <w:pPr>
              <w:autoSpaceDE w:val="0"/>
              <w:autoSpaceDN w:val="0"/>
              <w:adjustRightInd w:val="0"/>
              <w:ind w:right="-59"/>
              <w:rPr>
                <w:sz w:val="16"/>
                <w:szCs w:val="16"/>
              </w:rPr>
            </w:pPr>
            <w:r w:rsidRPr="0079353A">
              <w:rPr>
                <w:sz w:val="16"/>
                <w:szCs w:val="16"/>
              </w:rPr>
              <w:t>Colaborar estrechamente con los beneficiarios, donantes y Estados miembros.  Planificación y coordinación de todas las cuestiones relacionadas con la P.I. con otras organizaciones y socios internacionales y nacionales.</w:t>
            </w:r>
          </w:p>
        </w:tc>
      </w:tr>
    </w:tbl>
    <w:p w:rsidR="00236E18" w:rsidRPr="0079353A" w:rsidRDefault="00236E18" w:rsidP="00236E18">
      <w:pPr>
        <w:rPr>
          <w:szCs w:val="22"/>
        </w:rPr>
      </w:pPr>
    </w:p>
    <w:p w:rsidR="00236E18" w:rsidRPr="0079353A" w:rsidRDefault="00236E18" w:rsidP="00236E18">
      <w:pPr>
        <w:rPr>
          <w:szCs w:val="22"/>
        </w:rPr>
      </w:pPr>
    </w:p>
    <w:p w:rsidR="00236E18" w:rsidRPr="0079353A" w:rsidRDefault="00236E18" w:rsidP="00236E18">
      <w:pPr>
        <w:rPr>
          <w:szCs w:val="22"/>
        </w:rPr>
      </w:pPr>
      <w:r w:rsidRPr="0079353A">
        <w:rPr>
          <w:szCs w:val="22"/>
        </w:rPr>
        <w:t xml:space="preserve">MARCO DE RESULTADOS </w:t>
      </w:r>
    </w:p>
    <w:p w:rsidR="00236E18" w:rsidRPr="0079353A" w:rsidRDefault="00236E18" w:rsidP="00236E18">
      <w:pPr>
        <w:rPr>
          <w:szCs w:val="22"/>
        </w:rPr>
      </w:pPr>
    </w:p>
    <w:tbl>
      <w:tblPr>
        <w:tblW w:w="9105" w:type="dxa"/>
        <w:tblInd w:w="93" w:type="dxa"/>
        <w:tblLook w:val="04A0" w:firstRow="1" w:lastRow="0" w:firstColumn="1" w:lastColumn="0" w:noHBand="0" w:noVBand="1"/>
      </w:tblPr>
      <w:tblGrid>
        <w:gridCol w:w="2200"/>
        <w:gridCol w:w="2420"/>
        <w:gridCol w:w="2325"/>
        <w:gridCol w:w="2160"/>
      </w:tblGrid>
      <w:tr w:rsidR="00236E18" w:rsidRPr="0079353A" w:rsidTr="00294272">
        <w:trPr>
          <w:trHeight w:val="630"/>
          <w:tblHeader/>
        </w:trPr>
        <w:tc>
          <w:tcPr>
            <w:tcW w:w="2200" w:type="dxa"/>
            <w:tcBorders>
              <w:top w:val="single" w:sz="4" w:space="0" w:color="auto"/>
              <w:left w:val="single" w:sz="4" w:space="0" w:color="auto"/>
              <w:bottom w:val="single" w:sz="4" w:space="0" w:color="auto"/>
              <w:right w:val="nil"/>
            </w:tcBorders>
            <w:shd w:val="clear" w:color="000000" w:fill="C5D9F1"/>
            <w:vAlign w:val="center"/>
            <w:hideMark/>
          </w:tcPr>
          <w:p w:rsidR="00236E18" w:rsidRPr="0079353A" w:rsidRDefault="00236E18" w:rsidP="00294272">
            <w:pPr>
              <w:jc w:val="center"/>
              <w:rPr>
                <w:b/>
                <w:bCs/>
                <w:sz w:val="18"/>
                <w:szCs w:val="18"/>
              </w:rPr>
            </w:pPr>
            <w:r w:rsidRPr="0079353A">
              <w:rPr>
                <w:b/>
                <w:bCs/>
                <w:sz w:val="18"/>
                <w:szCs w:val="18"/>
              </w:rPr>
              <w:t>Resultados previstos</w:t>
            </w:r>
          </w:p>
        </w:tc>
        <w:tc>
          <w:tcPr>
            <w:tcW w:w="2420" w:type="dxa"/>
            <w:tcBorders>
              <w:top w:val="single" w:sz="4" w:space="0" w:color="auto"/>
              <w:left w:val="nil"/>
              <w:bottom w:val="single" w:sz="4" w:space="0" w:color="auto"/>
              <w:right w:val="nil"/>
            </w:tcBorders>
            <w:shd w:val="clear" w:color="000000" w:fill="C5D9F1"/>
            <w:vAlign w:val="center"/>
            <w:hideMark/>
          </w:tcPr>
          <w:p w:rsidR="00236E18" w:rsidRPr="0079353A" w:rsidRDefault="00236E18" w:rsidP="00294272">
            <w:pPr>
              <w:jc w:val="center"/>
              <w:rPr>
                <w:b/>
                <w:bCs/>
                <w:sz w:val="18"/>
                <w:szCs w:val="18"/>
              </w:rPr>
            </w:pPr>
            <w:r w:rsidRPr="0079353A">
              <w:rPr>
                <w:b/>
                <w:bCs/>
                <w:sz w:val="18"/>
                <w:szCs w:val="18"/>
              </w:rPr>
              <w:t>Indicadores de rendimiento</w:t>
            </w:r>
          </w:p>
        </w:tc>
        <w:tc>
          <w:tcPr>
            <w:tcW w:w="2325" w:type="dxa"/>
            <w:tcBorders>
              <w:top w:val="single" w:sz="4" w:space="0" w:color="auto"/>
              <w:left w:val="nil"/>
              <w:bottom w:val="single" w:sz="4" w:space="0" w:color="auto"/>
              <w:right w:val="nil"/>
            </w:tcBorders>
            <w:shd w:val="clear" w:color="000000" w:fill="C5D9F1"/>
            <w:vAlign w:val="center"/>
            <w:hideMark/>
          </w:tcPr>
          <w:p w:rsidR="00236E18" w:rsidRPr="0079353A" w:rsidRDefault="00236E18" w:rsidP="00294272">
            <w:pPr>
              <w:jc w:val="center"/>
              <w:rPr>
                <w:b/>
                <w:bCs/>
                <w:sz w:val="18"/>
                <w:szCs w:val="18"/>
              </w:rPr>
            </w:pPr>
            <w:r w:rsidRPr="0079353A">
              <w:rPr>
                <w:b/>
                <w:bCs/>
                <w:sz w:val="18"/>
                <w:szCs w:val="18"/>
              </w:rPr>
              <w:t>Referencia</w:t>
            </w:r>
          </w:p>
        </w:tc>
        <w:tc>
          <w:tcPr>
            <w:tcW w:w="2160" w:type="dxa"/>
            <w:tcBorders>
              <w:top w:val="single" w:sz="4" w:space="0" w:color="auto"/>
              <w:left w:val="nil"/>
              <w:bottom w:val="single" w:sz="4" w:space="0" w:color="auto"/>
              <w:right w:val="single" w:sz="4" w:space="0" w:color="auto"/>
            </w:tcBorders>
            <w:shd w:val="clear" w:color="000000" w:fill="C5D9F1"/>
            <w:vAlign w:val="center"/>
            <w:hideMark/>
          </w:tcPr>
          <w:p w:rsidR="00236E18" w:rsidRPr="0079353A" w:rsidRDefault="00236E18" w:rsidP="00294272">
            <w:pPr>
              <w:jc w:val="center"/>
              <w:rPr>
                <w:b/>
                <w:bCs/>
                <w:sz w:val="18"/>
                <w:szCs w:val="18"/>
              </w:rPr>
            </w:pPr>
            <w:r w:rsidRPr="0079353A">
              <w:rPr>
                <w:b/>
                <w:bCs/>
                <w:sz w:val="18"/>
                <w:szCs w:val="18"/>
              </w:rPr>
              <w:t>Objetivos</w:t>
            </w:r>
          </w:p>
        </w:tc>
      </w:tr>
      <w:tr w:rsidR="00236E18" w:rsidRPr="0079353A" w:rsidTr="00294272">
        <w:trPr>
          <w:trHeight w:val="1345"/>
        </w:trPr>
        <w:tc>
          <w:tcPr>
            <w:tcW w:w="2200" w:type="dxa"/>
            <w:tcBorders>
              <w:top w:val="nil"/>
              <w:left w:val="single" w:sz="4" w:space="0" w:color="auto"/>
              <w:bottom w:val="nil"/>
              <w:right w:val="nil"/>
            </w:tcBorders>
            <w:shd w:val="clear" w:color="000000" w:fill="FFFFFF"/>
            <w:hideMark/>
          </w:tcPr>
          <w:p w:rsidR="00236E18" w:rsidRPr="001D6AA6" w:rsidRDefault="00236E18" w:rsidP="00294272">
            <w:pPr>
              <w:rPr>
                <w:sz w:val="16"/>
                <w:szCs w:val="16"/>
              </w:rPr>
            </w:pPr>
            <w:r w:rsidRPr="001D6AA6">
              <w:rPr>
                <w:sz w:val="16"/>
                <w:szCs w:val="16"/>
              </w:rPr>
              <w:t xml:space="preserve">I.2  </w:t>
            </w:r>
            <w:r w:rsidRPr="001D6AA6">
              <w:rPr>
                <w:sz w:val="16"/>
                <w:szCs w:val="16"/>
                <w:lang w:val="es-ES_tradnl"/>
              </w:rPr>
              <w:t>Marcos de P.I. adaptados y equilibrados en el ámbito legislativo, regulador y de política</w:t>
            </w:r>
          </w:p>
        </w:tc>
        <w:tc>
          <w:tcPr>
            <w:tcW w:w="2420" w:type="dxa"/>
            <w:tcBorders>
              <w:top w:val="nil"/>
              <w:left w:val="nil"/>
              <w:bottom w:val="nil"/>
              <w:right w:val="nil"/>
            </w:tcBorders>
            <w:shd w:val="clear" w:color="000000" w:fill="FFFFFF"/>
            <w:hideMark/>
          </w:tcPr>
          <w:p w:rsidR="00236E18" w:rsidRPr="0079353A" w:rsidRDefault="00236E18" w:rsidP="00294272">
            <w:pPr>
              <w:rPr>
                <w:sz w:val="16"/>
                <w:szCs w:val="16"/>
              </w:rPr>
            </w:pPr>
            <w:r w:rsidRPr="0079353A">
              <w:rPr>
                <w:sz w:val="16"/>
                <w:szCs w:val="16"/>
              </w:rPr>
              <w:t>N</w:t>
            </w:r>
            <w:r>
              <w:rPr>
                <w:sz w:val="16"/>
                <w:szCs w:val="16"/>
              </w:rPr>
              <w:t>º</w:t>
            </w:r>
            <w:r w:rsidRPr="0079353A">
              <w:rPr>
                <w:sz w:val="16"/>
                <w:szCs w:val="16"/>
              </w:rPr>
              <w:t xml:space="preserve"> de países con economías en transición con leyes </w:t>
            </w:r>
            <w:r>
              <w:rPr>
                <w:sz w:val="16"/>
                <w:szCs w:val="16"/>
              </w:rPr>
              <w:t xml:space="preserve">y reglamentos </w:t>
            </w:r>
            <w:r w:rsidRPr="0079353A">
              <w:rPr>
                <w:sz w:val="16"/>
                <w:szCs w:val="16"/>
              </w:rPr>
              <w:t>nacionales actualizad</w:t>
            </w:r>
            <w:r>
              <w:rPr>
                <w:sz w:val="16"/>
                <w:szCs w:val="16"/>
              </w:rPr>
              <w:t>o</w:t>
            </w:r>
            <w:r w:rsidRPr="0079353A">
              <w:rPr>
                <w:sz w:val="16"/>
                <w:szCs w:val="16"/>
              </w:rPr>
              <w:t>s.</w:t>
            </w:r>
          </w:p>
          <w:p w:rsidR="00236E18" w:rsidRPr="0079353A" w:rsidRDefault="00236E18" w:rsidP="00294272">
            <w:pPr>
              <w:ind w:firstLineChars="200" w:firstLine="320"/>
              <w:rPr>
                <w:sz w:val="16"/>
                <w:szCs w:val="16"/>
              </w:rPr>
            </w:pPr>
          </w:p>
          <w:p w:rsidR="00236E18" w:rsidRDefault="00236E18" w:rsidP="00294272">
            <w:pPr>
              <w:rPr>
                <w:sz w:val="16"/>
                <w:szCs w:val="16"/>
              </w:rPr>
            </w:pPr>
            <w:r w:rsidRPr="0079353A">
              <w:rPr>
                <w:sz w:val="16"/>
                <w:szCs w:val="16"/>
              </w:rPr>
              <w:t>N</w:t>
            </w:r>
            <w:r>
              <w:rPr>
                <w:sz w:val="16"/>
                <w:szCs w:val="16"/>
              </w:rPr>
              <w:t>º</w:t>
            </w:r>
            <w:r w:rsidRPr="0079353A">
              <w:rPr>
                <w:sz w:val="16"/>
                <w:szCs w:val="16"/>
              </w:rPr>
              <w:t xml:space="preserve"> de ratificaciones de los tratados administrados por la OMPI.</w:t>
            </w:r>
          </w:p>
          <w:p w:rsidR="00236E18" w:rsidRPr="0079353A" w:rsidRDefault="00236E18" w:rsidP="00294272">
            <w:pPr>
              <w:rPr>
                <w:sz w:val="16"/>
                <w:szCs w:val="16"/>
              </w:rPr>
            </w:pPr>
          </w:p>
        </w:tc>
        <w:tc>
          <w:tcPr>
            <w:tcW w:w="2325" w:type="dxa"/>
            <w:tcBorders>
              <w:top w:val="nil"/>
              <w:left w:val="nil"/>
              <w:bottom w:val="nil"/>
              <w:right w:val="nil"/>
            </w:tcBorders>
            <w:shd w:val="clear" w:color="000000" w:fill="FFFFFF"/>
            <w:hideMark/>
          </w:tcPr>
          <w:p w:rsidR="00236E18" w:rsidRDefault="00236E18" w:rsidP="00294272">
            <w:pPr>
              <w:rPr>
                <w:sz w:val="16"/>
                <w:szCs w:val="16"/>
              </w:rPr>
            </w:pPr>
            <w:r w:rsidRPr="0079353A">
              <w:rPr>
                <w:sz w:val="16"/>
                <w:szCs w:val="16"/>
              </w:rPr>
              <w:t>6 países (2014).</w:t>
            </w:r>
          </w:p>
          <w:p w:rsidR="00236E18" w:rsidRDefault="00236E18" w:rsidP="00294272">
            <w:pPr>
              <w:rPr>
                <w:sz w:val="16"/>
                <w:szCs w:val="16"/>
              </w:rPr>
            </w:pPr>
          </w:p>
          <w:p w:rsidR="00236E18" w:rsidRDefault="00236E18" w:rsidP="00294272">
            <w:pPr>
              <w:rPr>
                <w:sz w:val="16"/>
                <w:szCs w:val="16"/>
              </w:rPr>
            </w:pPr>
          </w:p>
          <w:p w:rsidR="00236E18" w:rsidRDefault="00236E18" w:rsidP="00294272">
            <w:pPr>
              <w:rPr>
                <w:sz w:val="16"/>
                <w:szCs w:val="16"/>
              </w:rPr>
            </w:pPr>
          </w:p>
          <w:p w:rsidR="00236E18" w:rsidRDefault="00236E18" w:rsidP="00294272">
            <w:pPr>
              <w:rPr>
                <w:sz w:val="16"/>
                <w:szCs w:val="16"/>
              </w:rPr>
            </w:pPr>
          </w:p>
          <w:p w:rsidR="00236E18" w:rsidRPr="0079353A" w:rsidRDefault="00236E18" w:rsidP="00294272">
            <w:pPr>
              <w:rPr>
                <w:sz w:val="16"/>
                <w:szCs w:val="16"/>
              </w:rPr>
            </w:pPr>
            <w:proofErr w:type="spellStart"/>
            <w:r>
              <w:rPr>
                <w:sz w:val="16"/>
                <w:szCs w:val="16"/>
              </w:rPr>
              <w:t>n.d</w:t>
            </w:r>
            <w:proofErr w:type="spellEnd"/>
            <w:r>
              <w:rPr>
                <w:sz w:val="16"/>
                <w:szCs w:val="16"/>
              </w:rPr>
              <w:t>.</w:t>
            </w:r>
          </w:p>
        </w:tc>
        <w:tc>
          <w:tcPr>
            <w:tcW w:w="2160" w:type="dxa"/>
            <w:tcBorders>
              <w:top w:val="nil"/>
              <w:left w:val="nil"/>
              <w:bottom w:val="nil"/>
              <w:right w:val="single" w:sz="4" w:space="0" w:color="auto"/>
            </w:tcBorders>
            <w:shd w:val="clear" w:color="000000" w:fill="FFFFFF"/>
            <w:hideMark/>
          </w:tcPr>
          <w:p w:rsidR="00236E18" w:rsidRDefault="00236E18" w:rsidP="00294272">
            <w:pPr>
              <w:rPr>
                <w:sz w:val="16"/>
                <w:szCs w:val="16"/>
              </w:rPr>
            </w:pPr>
            <w:r w:rsidRPr="0079353A">
              <w:rPr>
                <w:sz w:val="16"/>
                <w:szCs w:val="16"/>
              </w:rPr>
              <w:t>6 países adicionales.</w:t>
            </w:r>
          </w:p>
          <w:p w:rsidR="00236E18" w:rsidRDefault="00236E18" w:rsidP="00294272">
            <w:pPr>
              <w:rPr>
                <w:sz w:val="16"/>
                <w:szCs w:val="16"/>
              </w:rPr>
            </w:pPr>
          </w:p>
          <w:p w:rsidR="00236E18" w:rsidRDefault="00236E18" w:rsidP="00294272">
            <w:pPr>
              <w:rPr>
                <w:sz w:val="16"/>
                <w:szCs w:val="16"/>
              </w:rPr>
            </w:pPr>
          </w:p>
          <w:p w:rsidR="00236E18" w:rsidRDefault="00236E18" w:rsidP="00294272">
            <w:pPr>
              <w:rPr>
                <w:sz w:val="16"/>
                <w:szCs w:val="16"/>
              </w:rPr>
            </w:pPr>
          </w:p>
          <w:p w:rsidR="00236E18" w:rsidRDefault="00236E18" w:rsidP="00294272">
            <w:pPr>
              <w:rPr>
                <w:sz w:val="16"/>
                <w:szCs w:val="16"/>
              </w:rPr>
            </w:pPr>
          </w:p>
          <w:p w:rsidR="00236E18" w:rsidRPr="0079353A" w:rsidRDefault="00236E18" w:rsidP="00294272">
            <w:pPr>
              <w:rPr>
                <w:sz w:val="16"/>
                <w:szCs w:val="16"/>
              </w:rPr>
            </w:pPr>
            <w:r>
              <w:rPr>
                <w:sz w:val="16"/>
                <w:szCs w:val="16"/>
              </w:rPr>
              <w:t>4 países adicionales</w:t>
            </w:r>
          </w:p>
        </w:tc>
      </w:tr>
      <w:tr w:rsidR="00236E18" w:rsidRPr="0079353A" w:rsidTr="00294272">
        <w:trPr>
          <w:trHeight w:val="1085"/>
        </w:trPr>
        <w:tc>
          <w:tcPr>
            <w:tcW w:w="2200" w:type="dxa"/>
            <w:tcBorders>
              <w:top w:val="nil"/>
              <w:left w:val="single" w:sz="4" w:space="0" w:color="auto"/>
              <w:bottom w:val="nil"/>
              <w:right w:val="nil"/>
            </w:tcBorders>
            <w:shd w:val="clear" w:color="000000" w:fill="FFFFFF"/>
          </w:tcPr>
          <w:p w:rsidR="00236E18" w:rsidRPr="001D6AA6" w:rsidRDefault="00236E18" w:rsidP="00294272">
            <w:pPr>
              <w:rPr>
                <w:sz w:val="16"/>
                <w:szCs w:val="16"/>
              </w:rPr>
            </w:pPr>
            <w:r w:rsidRPr="00662D9E">
              <w:rPr>
                <w:sz w:val="16"/>
                <w:szCs w:val="16"/>
                <w:lang w:val="es-ES_tradnl"/>
              </w:rPr>
              <w:t xml:space="preserve">II.1  </w:t>
            </w:r>
            <w:r w:rsidRPr="00ED0A05">
              <w:rPr>
                <w:sz w:val="16"/>
                <w:szCs w:val="16"/>
                <w:lang w:val="es-ES_tradnl"/>
              </w:rPr>
              <w:t>Mayor y más eficaz utilización del Sistema del PCT para presentar solicitudes internacionales de patentes</w:t>
            </w:r>
          </w:p>
        </w:tc>
        <w:tc>
          <w:tcPr>
            <w:tcW w:w="2420" w:type="dxa"/>
            <w:tcBorders>
              <w:top w:val="nil"/>
              <w:left w:val="nil"/>
              <w:bottom w:val="nil"/>
              <w:right w:val="nil"/>
            </w:tcBorders>
            <w:shd w:val="clear" w:color="000000" w:fill="FFFFFF"/>
          </w:tcPr>
          <w:p w:rsidR="00236E18" w:rsidRDefault="00236E18" w:rsidP="00294272">
            <w:pPr>
              <w:rPr>
                <w:sz w:val="16"/>
                <w:szCs w:val="16"/>
              </w:rPr>
            </w:pPr>
            <w:r>
              <w:rPr>
                <w:sz w:val="16"/>
                <w:szCs w:val="16"/>
              </w:rPr>
              <w:t>Nº de solicitudes PCT procedentes de países en transición y desarrollados</w:t>
            </w:r>
          </w:p>
          <w:p w:rsidR="00236E18" w:rsidRDefault="00236E18" w:rsidP="00294272">
            <w:pPr>
              <w:rPr>
                <w:sz w:val="16"/>
                <w:szCs w:val="16"/>
              </w:rPr>
            </w:pPr>
          </w:p>
          <w:p w:rsidR="00236E18" w:rsidRPr="0079353A" w:rsidRDefault="00236E18" w:rsidP="00294272">
            <w:pPr>
              <w:rPr>
                <w:sz w:val="16"/>
                <w:szCs w:val="16"/>
              </w:rPr>
            </w:pPr>
            <w:r>
              <w:rPr>
                <w:sz w:val="16"/>
                <w:szCs w:val="16"/>
              </w:rPr>
              <w:t>% de encuestados que han expresado utilizar más los servicios de la OMPI en los 6 meses posteriores a su participación en seminarios itinerantes sobre los servicios e iniciativas de la OMPI.</w:t>
            </w:r>
            <w:r>
              <w:rPr>
                <w:sz w:val="16"/>
                <w:szCs w:val="16"/>
              </w:rPr>
              <w:br/>
            </w:r>
          </w:p>
        </w:tc>
        <w:tc>
          <w:tcPr>
            <w:tcW w:w="2325" w:type="dxa"/>
            <w:tcBorders>
              <w:top w:val="nil"/>
              <w:left w:val="nil"/>
              <w:bottom w:val="nil"/>
              <w:right w:val="nil"/>
            </w:tcBorders>
            <w:shd w:val="clear" w:color="000000" w:fill="FFFFFF"/>
          </w:tcPr>
          <w:p w:rsidR="00236E18" w:rsidRDefault="00236E18" w:rsidP="00294272">
            <w:pPr>
              <w:rPr>
                <w:sz w:val="16"/>
                <w:szCs w:val="16"/>
              </w:rPr>
            </w:pPr>
            <w:r>
              <w:rPr>
                <w:sz w:val="16"/>
                <w:szCs w:val="16"/>
              </w:rPr>
              <w:t>170.317 (2014)</w:t>
            </w:r>
          </w:p>
          <w:p w:rsidR="00236E18" w:rsidRDefault="00236E18" w:rsidP="00294272">
            <w:pPr>
              <w:rPr>
                <w:sz w:val="16"/>
                <w:szCs w:val="16"/>
              </w:rPr>
            </w:pPr>
          </w:p>
          <w:p w:rsidR="00236E18" w:rsidRDefault="00236E18" w:rsidP="00294272">
            <w:pPr>
              <w:rPr>
                <w:sz w:val="16"/>
                <w:szCs w:val="16"/>
              </w:rPr>
            </w:pPr>
          </w:p>
          <w:p w:rsidR="00236E18" w:rsidRDefault="00236E18" w:rsidP="00294272">
            <w:pPr>
              <w:rPr>
                <w:sz w:val="16"/>
                <w:szCs w:val="16"/>
              </w:rPr>
            </w:pPr>
          </w:p>
          <w:p w:rsidR="00236E18" w:rsidRPr="0079353A" w:rsidRDefault="00236E18" w:rsidP="00294272">
            <w:pPr>
              <w:rPr>
                <w:sz w:val="16"/>
                <w:szCs w:val="16"/>
              </w:rPr>
            </w:pPr>
            <w:r>
              <w:rPr>
                <w:sz w:val="16"/>
                <w:szCs w:val="16"/>
              </w:rPr>
              <w:t>18%</w:t>
            </w:r>
          </w:p>
        </w:tc>
        <w:tc>
          <w:tcPr>
            <w:tcW w:w="2160" w:type="dxa"/>
            <w:tcBorders>
              <w:top w:val="nil"/>
              <w:left w:val="nil"/>
              <w:bottom w:val="nil"/>
              <w:right w:val="single" w:sz="4" w:space="0" w:color="auto"/>
            </w:tcBorders>
            <w:shd w:val="clear" w:color="000000" w:fill="FFFFFF"/>
          </w:tcPr>
          <w:p w:rsidR="00236E18" w:rsidRDefault="00236E18" w:rsidP="00294272">
            <w:pPr>
              <w:rPr>
                <w:sz w:val="16"/>
                <w:szCs w:val="16"/>
              </w:rPr>
            </w:pPr>
            <w:r>
              <w:rPr>
                <w:sz w:val="16"/>
                <w:szCs w:val="16"/>
              </w:rPr>
              <w:t>1,5% de aumento (anual)</w:t>
            </w:r>
          </w:p>
          <w:p w:rsidR="00236E18" w:rsidRDefault="00236E18" w:rsidP="00294272">
            <w:pPr>
              <w:rPr>
                <w:sz w:val="16"/>
                <w:szCs w:val="16"/>
              </w:rPr>
            </w:pPr>
          </w:p>
          <w:p w:rsidR="00236E18" w:rsidRDefault="00236E18" w:rsidP="00294272">
            <w:pPr>
              <w:rPr>
                <w:sz w:val="16"/>
                <w:szCs w:val="16"/>
              </w:rPr>
            </w:pPr>
          </w:p>
          <w:p w:rsidR="00236E18" w:rsidRDefault="00236E18" w:rsidP="00294272">
            <w:pPr>
              <w:rPr>
                <w:sz w:val="16"/>
                <w:szCs w:val="16"/>
              </w:rPr>
            </w:pPr>
          </w:p>
          <w:p w:rsidR="00236E18" w:rsidRPr="0079353A" w:rsidRDefault="00236E18" w:rsidP="00294272">
            <w:pPr>
              <w:rPr>
                <w:sz w:val="16"/>
                <w:szCs w:val="16"/>
              </w:rPr>
            </w:pPr>
            <w:r>
              <w:rPr>
                <w:sz w:val="16"/>
                <w:szCs w:val="16"/>
              </w:rPr>
              <w:t>20% de encuestados expresan usar más los servicios de la OMPI.</w:t>
            </w:r>
          </w:p>
        </w:tc>
      </w:tr>
      <w:tr w:rsidR="00236E18" w:rsidRPr="0079353A" w:rsidTr="00294272">
        <w:trPr>
          <w:trHeight w:val="1085"/>
        </w:trPr>
        <w:tc>
          <w:tcPr>
            <w:tcW w:w="2200" w:type="dxa"/>
            <w:tcBorders>
              <w:top w:val="nil"/>
              <w:left w:val="single" w:sz="4" w:space="0" w:color="auto"/>
              <w:bottom w:val="nil"/>
              <w:right w:val="nil"/>
            </w:tcBorders>
            <w:shd w:val="clear" w:color="000000" w:fill="FFFFFF"/>
          </w:tcPr>
          <w:p w:rsidR="00236E18" w:rsidRPr="001D6AA6" w:rsidRDefault="00236E18" w:rsidP="00294272">
            <w:pPr>
              <w:rPr>
                <w:sz w:val="16"/>
                <w:szCs w:val="16"/>
              </w:rPr>
            </w:pPr>
            <w:r w:rsidRPr="007E7499">
              <w:rPr>
                <w:sz w:val="16"/>
                <w:szCs w:val="16"/>
              </w:rPr>
              <w:t xml:space="preserve">II.4. </w:t>
            </w:r>
            <w:r>
              <w:rPr>
                <w:sz w:val="16"/>
                <w:szCs w:val="16"/>
              </w:rPr>
              <w:t xml:space="preserve"> </w:t>
            </w:r>
            <w:r w:rsidRPr="00DE56AC">
              <w:rPr>
                <w:sz w:val="16"/>
                <w:szCs w:val="16"/>
                <w:lang w:val="es-ES_tradnl"/>
              </w:rPr>
              <w:t>Mayor y más eficaz utilización del Sistema de La Haya, entre otros, por los países en desarrollo y los PMA</w:t>
            </w:r>
          </w:p>
        </w:tc>
        <w:tc>
          <w:tcPr>
            <w:tcW w:w="2420" w:type="dxa"/>
            <w:tcBorders>
              <w:top w:val="nil"/>
              <w:left w:val="nil"/>
              <w:bottom w:val="nil"/>
              <w:right w:val="nil"/>
            </w:tcBorders>
            <w:shd w:val="clear" w:color="000000" w:fill="FFFFFF"/>
          </w:tcPr>
          <w:p w:rsidR="00236E18" w:rsidRPr="0079353A" w:rsidRDefault="00236E18" w:rsidP="00294272">
            <w:pPr>
              <w:rPr>
                <w:sz w:val="16"/>
                <w:szCs w:val="16"/>
              </w:rPr>
            </w:pPr>
            <w:r>
              <w:rPr>
                <w:sz w:val="16"/>
                <w:szCs w:val="16"/>
              </w:rPr>
              <w:t>Nº de solicitudes de La Haya procedentes de países en transición y desarrollados</w:t>
            </w:r>
          </w:p>
        </w:tc>
        <w:tc>
          <w:tcPr>
            <w:tcW w:w="2325" w:type="dxa"/>
            <w:tcBorders>
              <w:top w:val="nil"/>
              <w:left w:val="nil"/>
              <w:bottom w:val="nil"/>
              <w:right w:val="nil"/>
            </w:tcBorders>
            <w:shd w:val="clear" w:color="000000" w:fill="FFFFFF"/>
          </w:tcPr>
          <w:p w:rsidR="00236E18" w:rsidRPr="0079353A" w:rsidRDefault="00236E18" w:rsidP="00294272">
            <w:pPr>
              <w:rPr>
                <w:sz w:val="16"/>
                <w:szCs w:val="16"/>
              </w:rPr>
            </w:pPr>
            <w:r>
              <w:rPr>
                <w:sz w:val="16"/>
                <w:szCs w:val="16"/>
              </w:rPr>
              <w:t>2.776 (2014)</w:t>
            </w:r>
          </w:p>
        </w:tc>
        <w:tc>
          <w:tcPr>
            <w:tcW w:w="2160" w:type="dxa"/>
            <w:tcBorders>
              <w:top w:val="nil"/>
              <w:left w:val="nil"/>
              <w:bottom w:val="nil"/>
              <w:right w:val="single" w:sz="4" w:space="0" w:color="auto"/>
            </w:tcBorders>
            <w:shd w:val="clear" w:color="000000" w:fill="FFFFFF"/>
          </w:tcPr>
          <w:p w:rsidR="00236E18" w:rsidRPr="0079353A" w:rsidRDefault="00236E18" w:rsidP="00294272">
            <w:pPr>
              <w:rPr>
                <w:sz w:val="16"/>
                <w:szCs w:val="16"/>
              </w:rPr>
            </w:pPr>
            <w:r>
              <w:rPr>
                <w:sz w:val="16"/>
                <w:szCs w:val="16"/>
              </w:rPr>
              <w:t>1,5% de aumento (anual)</w:t>
            </w:r>
          </w:p>
        </w:tc>
      </w:tr>
      <w:tr w:rsidR="00236E18" w:rsidRPr="0079353A" w:rsidTr="00294272">
        <w:trPr>
          <w:trHeight w:val="1085"/>
        </w:trPr>
        <w:tc>
          <w:tcPr>
            <w:tcW w:w="2200" w:type="dxa"/>
            <w:tcBorders>
              <w:top w:val="nil"/>
              <w:left w:val="single" w:sz="4" w:space="0" w:color="auto"/>
              <w:right w:val="nil"/>
            </w:tcBorders>
            <w:shd w:val="clear" w:color="000000" w:fill="FFFFFF"/>
          </w:tcPr>
          <w:p w:rsidR="00236E18" w:rsidRPr="001D6AA6" w:rsidRDefault="00236E18" w:rsidP="00294272">
            <w:pPr>
              <w:rPr>
                <w:sz w:val="16"/>
                <w:szCs w:val="16"/>
              </w:rPr>
            </w:pPr>
            <w:r w:rsidRPr="001D6AA6">
              <w:rPr>
                <w:sz w:val="16"/>
                <w:szCs w:val="16"/>
              </w:rPr>
              <w:t xml:space="preserve">II.6  </w:t>
            </w:r>
            <w:r>
              <w:rPr>
                <w:sz w:val="16"/>
                <w:szCs w:val="16"/>
              </w:rPr>
              <w:t xml:space="preserve">Uso </w:t>
            </w:r>
            <w:r w:rsidRPr="001D6AA6">
              <w:rPr>
                <w:sz w:val="16"/>
                <w:szCs w:val="16"/>
                <w:lang w:val="es-ES_tradnl"/>
              </w:rPr>
              <w:t xml:space="preserve">mayor y más eficaz </w:t>
            </w:r>
            <w:r>
              <w:rPr>
                <w:sz w:val="16"/>
                <w:szCs w:val="16"/>
                <w:lang w:val="es-ES_tradnl"/>
              </w:rPr>
              <w:t>de</w:t>
            </w:r>
            <w:r w:rsidRPr="001D6AA6">
              <w:rPr>
                <w:sz w:val="16"/>
                <w:szCs w:val="16"/>
                <w:lang w:val="es-ES_tradnl"/>
              </w:rPr>
              <w:t>l Sistema de Madrid, entre otros por los países en desarrollo y los PMA</w:t>
            </w:r>
          </w:p>
        </w:tc>
        <w:tc>
          <w:tcPr>
            <w:tcW w:w="2420" w:type="dxa"/>
            <w:tcBorders>
              <w:top w:val="nil"/>
              <w:left w:val="nil"/>
              <w:right w:val="nil"/>
            </w:tcBorders>
            <w:shd w:val="clear" w:color="000000" w:fill="FFFFFF"/>
          </w:tcPr>
          <w:p w:rsidR="00236E18" w:rsidRPr="0079353A" w:rsidRDefault="00236E18" w:rsidP="00294272">
            <w:pPr>
              <w:rPr>
                <w:sz w:val="16"/>
                <w:szCs w:val="16"/>
              </w:rPr>
            </w:pPr>
            <w:r>
              <w:rPr>
                <w:sz w:val="16"/>
                <w:szCs w:val="16"/>
              </w:rPr>
              <w:t>Nº de solicitudes del Sistema de Madrid procedentes de países en transición y desarrollados</w:t>
            </w:r>
          </w:p>
        </w:tc>
        <w:tc>
          <w:tcPr>
            <w:tcW w:w="2325" w:type="dxa"/>
            <w:tcBorders>
              <w:top w:val="nil"/>
              <w:left w:val="nil"/>
              <w:right w:val="nil"/>
            </w:tcBorders>
            <w:shd w:val="clear" w:color="000000" w:fill="FFFFFF"/>
          </w:tcPr>
          <w:p w:rsidR="00236E18" w:rsidRPr="0079353A" w:rsidRDefault="00236E18" w:rsidP="00294272">
            <w:pPr>
              <w:rPr>
                <w:sz w:val="16"/>
                <w:szCs w:val="16"/>
              </w:rPr>
            </w:pPr>
            <w:r>
              <w:rPr>
                <w:sz w:val="16"/>
                <w:szCs w:val="16"/>
              </w:rPr>
              <w:t>43.748 (estimación de 2014)</w:t>
            </w:r>
          </w:p>
        </w:tc>
        <w:tc>
          <w:tcPr>
            <w:tcW w:w="2160" w:type="dxa"/>
            <w:tcBorders>
              <w:top w:val="nil"/>
              <w:left w:val="nil"/>
              <w:right w:val="single" w:sz="4" w:space="0" w:color="auto"/>
            </w:tcBorders>
            <w:shd w:val="clear" w:color="000000" w:fill="FFFFFF"/>
          </w:tcPr>
          <w:p w:rsidR="00236E18" w:rsidRPr="0079353A" w:rsidRDefault="00236E18" w:rsidP="00294272">
            <w:pPr>
              <w:rPr>
                <w:sz w:val="16"/>
                <w:szCs w:val="16"/>
              </w:rPr>
            </w:pPr>
            <w:r>
              <w:rPr>
                <w:sz w:val="16"/>
                <w:szCs w:val="16"/>
              </w:rPr>
              <w:t>2% de aumento (anual)</w:t>
            </w:r>
          </w:p>
        </w:tc>
      </w:tr>
      <w:tr w:rsidR="00236E18" w:rsidRPr="0079353A" w:rsidTr="00294272">
        <w:trPr>
          <w:trHeight w:val="1085"/>
        </w:trPr>
        <w:tc>
          <w:tcPr>
            <w:tcW w:w="2200" w:type="dxa"/>
            <w:tcBorders>
              <w:top w:val="nil"/>
              <w:left w:val="single" w:sz="4" w:space="0" w:color="auto"/>
              <w:bottom w:val="single" w:sz="4" w:space="0" w:color="auto"/>
              <w:right w:val="nil"/>
            </w:tcBorders>
            <w:shd w:val="clear" w:color="000000" w:fill="FFFFFF"/>
          </w:tcPr>
          <w:p w:rsidR="00236E18" w:rsidRPr="001D6AA6" w:rsidRDefault="00236E18" w:rsidP="00294272">
            <w:pPr>
              <w:rPr>
                <w:sz w:val="16"/>
                <w:szCs w:val="16"/>
              </w:rPr>
            </w:pPr>
            <w:r w:rsidRPr="00662D9E">
              <w:rPr>
                <w:sz w:val="16"/>
                <w:szCs w:val="16"/>
                <w:lang w:val="es-ES_tradnl"/>
              </w:rPr>
              <w:t xml:space="preserve">II.8  </w:t>
            </w:r>
            <w:r w:rsidRPr="00ED0A05">
              <w:rPr>
                <w:sz w:val="16"/>
                <w:szCs w:val="16"/>
                <w:lang w:val="es-ES_tradnl"/>
              </w:rPr>
              <w:t>Las controversias nacionales e internacionales en materia de P.I. se evitan o resuelven cada vez con más frecuencia mediante procedimientos de mediación, arbitraje y demás métodos de solución extrajudicial de controversias</w:t>
            </w:r>
          </w:p>
        </w:tc>
        <w:tc>
          <w:tcPr>
            <w:tcW w:w="2420" w:type="dxa"/>
            <w:tcBorders>
              <w:top w:val="nil"/>
              <w:left w:val="nil"/>
              <w:bottom w:val="single" w:sz="4" w:space="0" w:color="auto"/>
              <w:right w:val="nil"/>
            </w:tcBorders>
            <w:shd w:val="clear" w:color="000000" w:fill="FFFFFF"/>
          </w:tcPr>
          <w:p w:rsidR="00236E18" w:rsidRPr="0079353A" w:rsidRDefault="00236E18" w:rsidP="00294272">
            <w:pPr>
              <w:rPr>
                <w:sz w:val="16"/>
                <w:szCs w:val="16"/>
              </w:rPr>
            </w:pPr>
            <w:r w:rsidRPr="00D408C4">
              <w:rPr>
                <w:sz w:val="16"/>
                <w:szCs w:val="16"/>
              </w:rPr>
              <w:t>Nº de controversias de P</w:t>
            </w:r>
            <w:r>
              <w:rPr>
                <w:sz w:val="16"/>
                <w:szCs w:val="16"/>
              </w:rPr>
              <w:t>.I. que surgen en</w:t>
            </w:r>
            <w:r w:rsidRPr="00D408C4">
              <w:rPr>
                <w:sz w:val="16"/>
                <w:szCs w:val="16"/>
              </w:rPr>
              <w:t xml:space="preserve"> países en transición y desarrollados </w:t>
            </w:r>
            <w:r>
              <w:rPr>
                <w:sz w:val="16"/>
                <w:szCs w:val="16"/>
              </w:rPr>
              <w:t xml:space="preserve">y </w:t>
            </w:r>
            <w:r w:rsidRPr="00D408C4">
              <w:rPr>
                <w:sz w:val="16"/>
                <w:szCs w:val="16"/>
              </w:rPr>
              <w:t>que se evitan o resuelven mediante el Centro de Arbitraje y Mediación de la OMPI y otros métodos extrajudiciales de solución de controversias</w:t>
            </w:r>
            <w:r>
              <w:rPr>
                <w:sz w:val="16"/>
                <w:szCs w:val="16"/>
              </w:rPr>
              <w:t>.</w:t>
            </w:r>
          </w:p>
        </w:tc>
        <w:tc>
          <w:tcPr>
            <w:tcW w:w="2325" w:type="dxa"/>
            <w:tcBorders>
              <w:top w:val="nil"/>
              <w:left w:val="nil"/>
              <w:bottom w:val="single" w:sz="4" w:space="0" w:color="auto"/>
              <w:right w:val="nil"/>
            </w:tcBorders>
            <w:shd w:val="clear" w:color="000000" w:fill="FFFFFF"/>
          </w:tcPr>
          <w:p w:rsidR="00236E18" w:rsidRPr="0079353A" w:rsidRDefault="00236E18" w:rsidP="00294272">
            <w:pPr>
              <w:rPr>
                <w:sz w:val="16"/>
                <w:szCs w:val="16"/>
              </w:rPr>
            </w:pPr>
            <w:r>
              <w:rPr>
                <w:sz w:val="16"/>
                <w:szCs w:val="16"/>
              </w:rPr>
              <w:t xml:space="preserve">18 controversias adicionales y 25 </w:t>
            </w:r>
            <w:r w:rsidRPr="00D408C4">
              <w:rPr>
                <w:sz w:val="16"/>
                <w:szCs w:val="16"/>
              </w:rPr>
              <w:t>mediaciones que incumbían a partes de países con economías en transición y desarrollados</w:t>
            </w:r>
            <w:r>
              <w:rPr>
                <w:sz w:val="16"/>
                <w:szCs w:val="16"/>
              </w:rPr>
              <w:t xml:space="preserve"> (2014).</w:t>
            </w:r>
            <w:r>
              <w:rPr>
                <w:sz w:val="16"/>
                <w:szCs w:val="16"/>
              </w:rPr>
              <w:br/>
            </w:r>
            <w:r>
              <w:rPr>
                <w:sz w:val="16"/>
                <w:szCs w:val="16"/>
              </w:rPr>
              <w:br/>
              <w:t>377 controversias y 76 mediaciones (acumulado)</w:t>
            </w:r>
          </w:p>
        </w:tc>
        <w:tc>
          <w:tcPr>
            <w:tcW w:w="2160" w:type="dxa"/>
            <w:tcBorders>
              <w:top w:val="nil"/>
              <w:left w:val="nil"/>
              <w:bottom w:val="single" w:sz="4" w:space="0" w:color="auto"/>
              <w:right w:val="single" w:sz="4" w:space="0" w:color="auto"/>
            </w:tcBorders>
            <w:shd w:val="clear" w:color="000000" w:fill="FFFFFF"/>
          </w:tcPr>
          <w:p w:rsidR="00236E18" w:rsidRPr="0079353A" w:rsidRDefault="00236E18" w:rsidP="00294272">
            <w:pPr>
              <w:rPr>
                <w:sz w:val="16"/>
                <w:szCs w:val="16"/>
              </w:rPr>
            </w:pPr>
            <w:r>
              <w:rPr>
                <w:sz w:val="16"/>
                <w:szCs w:val="16"/>
              </w:rPr>
              <w:t>33 controversias y mediaciones adicionales que incumben a partes de países con economías en transición y desarrollados</w:t>
            </w:r>
          </w:p>
        </w:tc>
      </w:tr>
      <w:tr w:rsidR="00236E18" w:rsidRPr="0079353A" w:rsidTr="00294272">
        <w:trPr>
          <w:trHeight w:val="1085"/>
        </w:trPr>
        <w:tc>
          <w:tcPr>
            <w:tcW w:w="2200" w:type="dxa"/>
            <w:tcBorders>
              <w:top w:val="single" w:sz="4" w:space="0" w:color="auto"/>
              <w:left w:val="single" w:sz="4" w:space="0" w:color="auto"/>
              <w:bottom w:val="nil"/>
              <w:right w:val="nil"/>
            </w:tcBorders>
            <w:shd w:val="clear" w:color="000000" w:fill="FFFFFF"/>
          </w:tcPr>
          <w:p w:rsidR="00236E18" w:rsidRPr="001D6AA6" w:rsidRDefault="00236E18" w:rsidP="00294272">
            <w:pPr>
              <w:rPr>
                <w:sz w:val="16"/>
                <w:szCs w:val="16"/>
              </w:rPr>
            </w:pPr>
            <w:r>
              <w:rPr>
                <w:sz w:val="16"/>
                <w:szCs w:val="16"/>
                <w:lang w:bidi="es-ES"/>
              </w:rPr>
              <w:lastRenderedPageBreak/>
              <w:br/>
            </w:r>
            <w:r w:rsidRPr="00EB3DE6">
              <w:rPr>
                <w:sz w:val="16"/>
                <w:szCs w:val="16"/>
                <w:lang w:bidi="es-ES"/>
              </w:rPr>
              <w:t>II.</w:t>
            </w:r>
            <w:r>
              <w:rPr>
                <w:sz w:val="16"/>
                <w:szCs w:val="16"/>
                <w:lang w:bidi="es-ES"/>
              </w:rPr>
              <w:t xml:space="preserve">10 </w:t>
            </w:r>
            <w:r w:rsidRPr="00EB3DE6">
              <w:rPr>
                <w:sz w:val="16"/>
                <w:szCs w:val="16"/>
                <w:lang w:bidi="es-ES"/>
              </w:rPr>
              <w:t xml:space="preserve"> Ma</w:t>
            </w:r>
            <w:r>
              <w:rPr>
                <w:sz w:val="16"/>
                <w:szCs w:val="16"/>
                <w:lang w:bidi="es-ES"/>
              </w:rPr>
              <w:t>yor y más eficaz utilización de</w:t>
            </w:r>
            <w:r w:rsidRPr="00EB3DE6">
              <w:rPr>
                <w:sz w:val="16"/>
                <w:szCs w:val="16"/>
                <w:lang w:bidi="es-ES"/>
              </w:rPr>
              <w:t>l Sistema de Lisboa, entre otros por los países en desarrollo y los PMA</w:t>
            </w:r>
            <w:r>
              <w:rPr>
                <w:sz w:val="16"/>
                <w:szCs w:val="16"/>
                <w:lang w:bidi="es-ES"/>
              </w:rPr>
              <w:br/>
            </w:r>
          </w:p>
        </w:tc>
        <w:tc>
          <w:tcPr>
            <w:tcW w:w="2420" w:type="dxa"/>
            <w:tcBorders>
              <w:top w:val="single" w:sz="4" w:space="0" w:color="auto"/>
              <w:left w:val="nil"/>
              <w:bottom w:val="nil"/>
              <w:right w:val="nil"/>
            </w:tcBorders>
            <w:shd w:val="clear" w:color="000000" w:fill="FFFFFF"/>
          </w:tcPr>
          <w:p w:rsidR="00236E18" w:rsidRPr="0079353A" w:rsidRDefault="00236E18" w:rsidP="00294272">
            <w:pPr>
              <w:rPr>
                <w:sz w:val="16"/>
                <w:szCs w:val="16"/>
              </w:rPr>
            </w:pPr>
            <w:r>
              <w:rPr>
                <w:sz w:val="16"/>
                <w:szCs w:val="16"/>
              </w:rPr>
              <w:br/>
              <w:t>Nº de registros internacionales en virtud del Sistema de Lisboa en vigor, de países con economías en transición y países desarrollados</w:t>
            </w:r>
          </w:p>
        </w:tc>
        <w:tc>
          <w:tcPr>
            <w:tcW w:w="2325" w:type="dxa"/>
            <w:tcBorders>
              <w:top w:val="single" w:sz="4" w:space="0" w:color="auto"/>
              <w:left w:val="nil"/>
              <w:bottom w:val="nil"/>
              <w:right w:val="nil"/>
            </w:tcBorders>
            <w:shd w:val="clear" w:color="000000" w:fill="FFFFFF"/>
          </w:tcPr>
          <w:p w:rsidR="00236E18" w:rsidRPr="0079353A" w:rsidRDefault="00236E18" w:rsidP="00294272">
            <w:pPr>
              <w:rPr>
                <w:sz w:val="16"/>
                <w:szCs w:val="16"/>
              </w:rPr>
            </w:pPr>
            <w:r>
              <w:rPr>
                <w:sz w:val="16"/>
                <w:szCs w:val="16"/>
              </w:rPr>
              <w:br/>
              <w:t>818 de 896 registros en vigor (2014)</w:t>
            </w:r>
          </w:p>
        </w:tc>
        <w:tc>
          <w:tcPr>
            <w:tcW w:w="2160" w:type="dxa"/>
            <w:tcBorders>
              <w:top w:val="single" w:sz="4" w:space="0" w:color="auto"/>
              <w:left w:val="nil"/>
              <w:bottom w:val="nil"/>
              <w:right w:val="single" w:sz="4" w:space="0" w:color="auto"/>
            </w:tcBorders>
            <w:shd w:val="clear" w:color="000000" w:fill="FFFFFF"/>
          </w:tcPr>
          <w:p w:rsidR="00236E18" w:rsidRPr="0079353A" w:rsidRDefault="00236E18" w:rsidP="00294272">
            <w:pPr>
              <w:rPr>
                <w:sz w:val="16"/>
                <w:szCs w:val="16"/>
              </w:rPr>
            </w:pPr>
            <w:r>
              <w:rPr>
                <w:sz w:val="16"/>
                <w:szCs w:val="16"/>
              </w:rPr>
              <w:br/>
              <w:t>2% de aumento (anual)</w:t>
            </w:r>
          </w:p>
        </w:tc>
      </w:tr>
      <w:tr w:rsidR="00236E18" w:rsidRPr="0079353A" w:rsidTr="00294272">
        <w:trPr>
          <w:trHeight w:val="1085"/>
        </w:trPr>
        <w:tc>
          <w:tcPr>
            <w:tcW w:w="2200" w:type="dxa"/>
            <w:tcBorders>
              <w:top w:val="nil"/>
              <w:left w:val="single" w:sz="4" w:space="0" w:color="auto"/>
              <w:bottom w:val="nil"/>
              <w:right w:val="nil"/>
            </w:tcBorders>
            <w:shd w:val="clear" w:color="000000" w:fill="FFFFFF"/>
            <w:hideMark/>
          </w:tcPr>
          <w:p w:rsidR="00236E18" w:rsidRPr="001D6AA6" w:rsidRDefault="00236E18" w:rsidP="00294272">
            <w:pPr>
              <w:rPr>
                <w:sz w:val="16"/>
                <w:szCs w:val="16"/>
              </w:rPr>
            </w:pPr>
            <w:r w:rsidRPr="001D6AA6">
              <w:rPr>
                <w:sz w:val="16"/>
                <w:szCs w:val="16"/>
              </w:rPr>
              <w:t xml:space="preserve">III.1  </w:t>
            </w:r>
            <w:r w:rsidRPr="001D6AA6">
              <w:rPr>
                <w:sz w:val="16"/>
                <w:szCs w:val="16"/>
                <w:lang w:val="es-ES_tradnl"/>
              </w:rPr>
              <w:t>Estrategias y planes nacionales de innovación y de P.I. que estén en sintonía con los objetivos nacionales de desarrollo</w:t>
            </w:r>
          </w:p>
        </w:tc>
        <w:tc>
          <w:tcPr>
            <w:tcW w:w="2420" w:type="dxa"/>
            <w:tcBorders>
              <w:top w:val="nil"/>
              <w:left w:val="nil"/>
              <w:bottom w:val="nil"/>
              <w:right w:val="nil"/>
            </w:tcBorders>
            <w:shd w:val="clear" w:color="000000" w:fill="FFFFFF"/>
            <w:hideMark/>
          </w:tcPr>
          <w:p w:rsidR="00236E18" w:rsidRPr="0079353A" w:rsidRDefault="00236E18" w:rsidP="00294272">
            <w:pPr>
              <w:rPr>
                <w:sz w:val="16"/>
                <w:szCs w:val="16"/>
              </w:rPr>
            </w:pPr>
            <w:r w:rsidRPr="0079353A">
              <w:rPr>
                <w:sz w:val="16"/>
                <w:szCs w:val="16"/>
              </w:rPr>
              <w:t>N</w:t>
            </w:r>
            <w:r>
              <w:rPr>
                <w:sz w:val="16"/>
                <w:szCs w:val="16"/>
              </w:rPr>
              <w:t>º</w:t>
            </w:r>
            <w:r w:rsidRPr="0079353A">
              <w:rPr>
                <w:sz w:val="16"/>
                <w:szCs w:val="16"/>
              </w:rPr>
              <w:t xml:space="preserve"> de países que ha elaborado estrategias o planes de P.I. en consonancia con los objetivos nacionales de desarrollo.</w:t>
            </w:r>
          </w:p>
        </w:tc>
        <w:tc>
          <w:tcPr>
            <w:tcW w:w="2325" w:type="dxa"/>
            <w:tcBorders>
              <w:top w:val="nil"/>
              <w:left w:val="nil"/>
              <w:bottom w:val="nil"/>
              <w:right w:val="nil"/>
            </w:tcBorders>
            <w:shd w:val="clear" w:color="000000" w:fill="FFFFFF"/>
            <w:hideMark/>
          </w:tcPr>
          <w:p w:rsidR="00236E18" w:rsidRPr="0079353A" w:rsidRDefault="00236E18" w:rsidP="00294272">
            <w:pPr>
              <w:rPr>
                <w:sz w:val="16"/>
                <w:szCs w:val="16"/>
              </w:rPr>
            </w:pPr>
            <w:r w:rsidRPr="0079353A">
              <w:rPr>
                <w:sz w:val="16"/>
                <w:szCs w:val="16"/>
              </w:rPr>
              <w:t xml:space="preserve">3 países en 2014. </w:t>
            </w:r>
          </w:p>
          <w:p w:rsidR="00236E18" w:rsidRPr="0079353A" w:rsidRDefault="00236E18" w:rsidP="00294272">
            <w:pPr>
              <w:rPr>
                <w:sz w:val="16"/>
                <w:szCs w:val="16"/>
              </w:rPr>
            </w:pPr>
            <w:r w:rsidRPr="0079353A">
              <w:rPr>
                <w:sz w:val="16"/>
                <w:szCs w:val="16"/>
              </w:rPr>
              <w:t>(17</w:t>
            </w:r>
            <w:r>
              <w:rPr>
                <w:sz w:val="16"/>
                <w:szCs w:val="16"/>
              </w:rPr>
              <w:t xml:space="preserve"> en</w:t>
            </w:r>
            <w:r w:rsidRPr="0079353A">
              <w:rPr>
                <w:sz w:val="16"/>
                <w:szCs w:val="16"/>
              </w:rPr>
              <w:t xml:space="preserve"> total) </w:t>
            </w:r>
          </w:p>
        </w:tc>
        <w:tc>
          <w:tcPr>
            <w:tcW w:w="2160" w:type="dxa"/>
            <w:tcBorders>
              <w:top w:val="nil"/>
              <w:left w:val="nil"/>
              <w:bottom w:val="nil"/>
              <w:right w:val="single" w:sz="4" w:space="0" w:color="auto"/>
            </w:tcBorders>
            <w:shd w:val="clear" w:color="000000" w:fill="FFFFFF"/>
            <w:hideMark/>
          </w:tcPr>
          <w:p w:rsidR="00236E18" w:rsidRPr="0079353A" w:rsidRDefault="00236E18" w:rsidP="00294272">
            <w:pPr>
              <w:rPr>
                <w:sz w:val="16"/>
                <w:szCs w:val="16"/>
              </w:rPr>
            </w:pPr>
            <w:r w:rsidRPr="0079353A">
              <w:rPr>
                <w:sz w:val="16"/>
                <w:szCs w:val="16"/>
              </w:rPr>
              <w:t>7 países adicionales.</w:t>
            </w:r>
          </w:p>
        </w:tc>
      </w:tr>
      <w:tr w:rsidR="00236E18" w:rsidRPr="0079353A" w:rsidTr="00294272">
        <w:trPr>
          <w:trHeight w:val="986"/>
        </w:trPr>
        <w:tc>
          <w:tcPr>
            <w:tcW w:w="2200" w:type="dxa"/>
            <w:vMerge w:val="restart"/>
            <w:tcBorders>
              <w:top w:val="nil"/>
              <w:left w:val="single" w:sz="4" w:space="0" w:color="auto"/>
              <w:bottom w:val="nil"/>
              <w:right w:val="nil"/>
            </w:tcBorders>
            <w:shd w:val="clear" w:color="000000" w:fill="FFFFFF"/>
            <w:hideMark/>
          </w:tcPr>
          <w:p w:rsidR="00236E18" w:rsidRPr="001D6AA6" w:rsidRDefault="00236E18" w:rsidP="00294272">
            <w:pPr>
              <w:rPr>
                <w:sz w:val="16"/>
                <w:szCs w:val="16"/>
              </w:rPr>
            </w:pPr>
            <w:r w:rsidRPr="001D6AA6">
              <w:rPr>
                <w:sz w:val="16"/>
                <w:szCs w:val="16"/>
              </w:rPr>
              <w:t xml:space="preserve">III.2  </w:t>
            </w:r>
            <w:r w:rsidRPr="001D6AA6">
              <w:rPr>
                <w:sz w:val="16"/>
                <w:szCs w:val="16"/>
                <w:lang w:val="es-ES_tradnl"/>
              </w:rPr>
              <w:t>Aumento de las capacidades en recursos humanos para hacer frente a la gran diversidad de exigencias que supone la utilización eficaz de la P.I. para fomentar el desarrollo en los países en desarrollo, PMA y países con economías en transición</w:t>
            </w:r>
          </w:p>
        </w:tc>
        <w:tc>
          <w:tcPr>
            <w:tcW w:w="2420" w:type="dxa"/>
            <w:tcBorders>
              <w:top w:val="nil"/>
              <w:left w:val="nil"/>
              <w:bottom w:val="nil"/>
              <w:right w:val="nil"/>
            </w:tcBorders>
            <w:shd w:val="clear" w:color="000000" w:fill="FFFFFF"/>
            <w:hideMark/>
          </w:tcPr>
          <w:p w:rsidR="00236E18" w:rsidRPr="0079353A" w:rsidRDefault="00236E18" w:rsidP="00294272">
            <w:pPr>
              <w:rPr>
                <w:sz w:val="16"/>
                <w:szCs w:val="16"/>
              </w:rPr>
            </w:pPr>
            <w:r w:rsidRPr="0079353A">
              <w:rPr>
                <w:sz w:val="16"/>
                <w:szCs w:val="16"/>
              </w:rPr>
              <w:t>N</w:t>
            </w:r>
            <w:r>
              <w:rPr>
                <w:sz w:val="16"/>
                <w:szCs w:val="16"/>
              </w:rPr>
              <w:t>º</w:t>
            </w:r>
            <w:r w:rsidRPr="0079353A">
              <w:rPr>
                <w:sz w:val="16"/>
                <w:szCs w:val="16"/>
              </w:rPr>
              <w:t xml:space="preserve"> de países en transición que han establecido programas o cursos anuales de formación en P.I. para los profesionales de la P.I.</w:t>
            </w:r>
          </w:p>
          <w:p w:rsidR="00236E18" w:rsidRPr="0079353A" w:rsidRDefault="00236E18" w:rsidP="00294272">
            <w:pPr>
              <w:rPr>
                <w:sz w:val="16"/>
                <w:szCs w:val="16"/>
              </w:rPr>
            </w:pPr>
          </w:p>
        </w:tc>
        <w:tc>
          <w:tcPr>
            <w:tcW w:w="2325" w:type="dxa"/>
            <w:tcBorders>
              <w:top w:val="nil"/>
              <w:left w:val="nil"/>
              <w:bottom w:val="nil"/>
              <w:right w:val="nil"/>
            </w:tcBorders>
            <w:shd w:val="clear" w:color="000000" w:fill="FFFFFF"/>
            <w:hideMark/>
          </w:tcPr>
          <w:p w:rsidR="00236E18" w:rsidRPr="0079353A" w:rsidRDefault="00236E18" w:rsidP="00294272">
            <w:pPr>
              <w:rPr>
                <w:sz w:val="16"/>
                <w:szCs w:val="16"/>
              </w:rPr>
            </w:pPr>
            <w:r w:rsidRPr="0079353A">
              <w:rPr>
                <w:sz w:val="16"/>
                <w:szCs w:val="16"/>
              </w:rPr>
              <w:t>6 países (2014)</w:t>
            </w:r>
          </w:p>
        </w:tc>
        <w:tc>
          <w:tcPr>
            <w:tcW w:w="2160" w:type="dxa"/>
            <w:tcBorders>
              <w:top w:val="nil"/>
              <w:left w:val="nil"/>
              <w:bottom w:val="nil"/>
              <w:right w:val="single" w:sz="4" w:space="0" w:color="auto"/>
            </w:tcBorders>
            <w:shd w:val="clear" w:color="000000" w:fill="FFFFFF"/>
            <w:hideMark/>
          </w:tcPr>
          <w:p w:rsidR="00236E18" w:rsidRPr="0079353A" w:rsidRDefault="00236E18" w:rsidP="00294272">
            <w:pPr>
              <w:rPr>
                <w:sz w:val="16"/>
                <w:szCs w:val="16"/>
              </w:rPr>
            </w:pPr>
            <w:r w:rsidRPr="0079353A">
              <w:rPr>
                <w:sz w:val="16"/>
                <w:szCs w:val="16"/>
              </w:rPr>
              <w:t>8 países.</w:t>
            </w:r>
          </w:p>
        </w:tc>
      </w:tr>
      <w:tr w:rsidR="00236E18" w:rsidRPr="0079353A" w:rsidTr="00294272">
        <w:trPr>
          <w:trHeight w:val="806"/>
        </w:trPr>
        <w:tc>
          <w:tcPr>
            <w:tcW w:w="2200" w:type="dxa"/>
            <w:vMerge/>
            <w:tcBorders>
              <w:top w:val="nil"/>
              <w:left w:val="single" w:sz="4" w:space="0" w:color="auto"/>
              <w:bottom w:val="nil"/>
              <w:right w:val="nil"/>
            </w:tcBorders>
            <w:vAlign w:val="center"/>
            <w:hideMark/>
          </w:tcPr>
          <w:p w:rsidR="00236E18" w:rsidRPr="001D6AA6" w:rsidRDefault="00236E18" w:rsidP="00294272">
            <w:pPr>
              <w:rPr>
                <w:sz w:val="16"/>
                <w:szCs w:val="16"/>
              </w:rPr>
            </w:pPr>
          </w:p>
        </w:tc>
        <w:tc>
          <w:tcPr>
            <w:tcW w:w="2420" w:type="dxa"/>
            <w:tcBorders>
              <w:top w:val="nil"/>
              <w:left w:val="nil"/>
              <w:bottom w:val="nil"/>
              <w:right w:val="nil"/>
            </w:tcBorders>
            <w:shd w:val="clear" w:color="000000" w:fill="FFFFFF"/>
            <w:hideMark/>
          </w:tcPr>
          <w:p w:rsidR="00236E18" w:rsidRPr="0079353A" w:rsidRDefault="00236E18" w:rsidP="00294272">
            <w:pPr>
              <w:rPr>
                <w:sz w:val="16"/>
                <w:szCs w:val="16"/>
              </w:rPr>
            </w:pPr>
            <w:r w:rsidRPr="0079353A">
              <w:rPr>
                <w:sz w:val="16"/>
                <w:szCs w:val="16"/>
              </w:rPr>
              <w:t xml:space="preserve">Porcentaje de profesionales y funcionarios del ámbito de la P.I. que ha recibido formación y que aplica en su trabajo las nuevas aptitudes adquiridas.  </w:t>
            </w:r>
          </w:p>
          <w:p w:rsidR="00236E18" w:rsidRPr="0079353A" w:rsidRDefault="00236E18" w:rsidP="00294272">
            <w:pPr>
              <w:rPr>
                <w:sz w:val="16"/>
                <w:szCs w:val="16"/>
              </w:rPr>
            </w:pPr>
          </w:p>
        </w:tc>
        <w:tc>
          <w:tcPr>
            <w:tcW w:w="2325" w:type="dxa"/>
            <w:tcBorders>
              <w:top w:val="nil"/>
              <w:left w:val="nil"/>
              <w:bottom w:val="nil"/>
              <w:right w:val="nil"/>
            </w:tcBorders>
            <w:shd w:val="clear" w:color="000000" w:fill="FFFFFF"/>
            <w:hideMark/>
          </w:tcPr>
          <w:p w:rsidR="00236E18" w:rsidRPr="0079353A" w:rsidRDefault="00236E18" w:rsidP="00294272">
            <w:pPr>
              <w:rPr>
                <w:sz w:val="16"/>
                <w:szCs w:val="16"/>
              </w:rPr>
            </w:pPr>
            <w:r w:rsidRPr="0079353A">
              <w:rPr>
                <w:sz w:val="16"/>
                <w:szCs w:val="16"/>
              </w:rPr>
              <w:t>80%</w:t>
            </w:r>
          </w:p>
        </w:tc>
        <w:tc>
          <w:tcPr>
            <w:tcW w:w="2160" w:type="dxa"/>
            <w:tcBorders>
              <w:top w:val="nil"/>
              <w:left w:val="nil"/>
              <w:bottom w:val="nil"/>
              <w:right w:val="single" w:sz="4" w:space="0" w:color="auto"/>
            </w:tcBorders>
            <w:shd w:val="clear" w:color="000000" w:fill="FFFFFF"/>
            <w:hideMark/>
          </w:tcPr>
          <w:p w:rsidR="00236E18" w:rsidRPr="0079353A" w:rsidRDefault="00236E18" w:rsidP="00294272">
            <w:pPr>
              <w:rPr>
                <w:sz w:val="16"/>
                <w:szCs w:val="16"/>
              </w:rPr>
            </w:pPr>
            <w:r w:rsidRPr="0079353A">
              <w:rPr>
                <w:sz w:val="16"/>
                <w:szCs w:val="16"/>
              </w:rPr>
              <w:t xml:space="preserve">70% </w:t>
            </w:r>
            <w:r w:rsidRPr="0079353A">
              <w:rPr>
                <w:sz w:val="16"/>
                <w:szCs w:val="16"/>
              </w:rPr>
              <w:br/>
            </w:r>
            <w:r w:rsidRPr="0079353A">
              <w:rPr>
                <w:sz w:val="16"/>
                <w:szCs w:val="16"/>
              </w:rPr>
              <w:br/>
            </w:r>
          </w:p>
        </w:tc>
      </w:tr>
      <w:tr w:rsidR="00236E18" w:rsidRPr="0079353A" w:rsidTr="00294272">
        <w:trPr>
          <w:trHeight w:val="1085"/>
        </w:trPr>
        <w:tc>
          <w:tcPr>
            <w:tcW w:w="2200" w:type="dxa"/>
            <w:tcBorders>
              <w:top w:val="nil"/>
              <w:left w:val="single" w:sz="4" w:space="0" w:color="auto"/>
              <w:bottom w:val="single" w:sz="4" w:space="0" w:color="auto"/>
              <w:right w:val="nil"/>
            </w:tcBorders>
            <w:shd w:val="clear" w:color="000000" w:fill="FFFFFF"/>
            <w:hideMark/>
          </w:tcPr>
          <w:p w:rsidR="00236E18" w:rsidRPr="001D6AA6" w:rsidRDefault="00236E18" w:rsidP="00294272">
            <w:pPr>
              <w:rPr>
                <w:sz w:val="16"/>
                <w:szCs w:val="16"/>
              </w:rPr>
            </w:pPr>
            <w:r w:rsidRPr="001D6AA6">
              <w:rPr>
                <w:sz w:val="16"/>
                <w:szCs w:val="16"/>
              </w:rPr>
              <w:t xml:space="preserve">III.4  </w:t>
            </w:r>
            <w:r w:rsidRPr="001D6AA6">
              <w:rPr>
                <w:sz w:val="16"/>
                <w:szCs w:val="16"/>
                <w:lang w:val="es-ES_tradnl"/>
              </w:rPr>
              <w:t>Fortalecimiento de los mecanismos y de los programas de cooperación conforme a las necesidades de los países en desarrollo</w:t>
            </w:r>
            <w:r>
              <w:rPr>
                <w:sz w:val="16"/>
                <w:szCs w:val="16"/>
                <w:lang w:val="es-ES_tradnl"/>
              </w:rPr>
              <w:t>,</w:t>
            </w:r>
            <w:r w:rsidRPr="001D6AA6">
              <w:rPr>
                <w:sz w:val="16"/>
                <w:szCs w:val="16"/>
                <w:lang w:val="es-ES_tradnl"/>
              </w:rPr>
              <w:t xml:space="preserve"> los PMA</w:t>
            </w:r>
            <w:r>
              <w:rPr>
                <w:sz w:val="16"/>
                <w:szCs w:val="16"/>
                <w:lang w:val="es-ES_tradnl"/>
              </w:rPr>
              <w:t xml:space="preserve"> y los países con economías en transición</w:t>
            </w:r>
            <w:r>
              <w:rPr>
                <w:sz w:val="16"/>
                <w:szCs w:val="16"/>
                <w:lang w:val="es-ES_tradnl"/>
              </w:rPr>
              <w:br/>
            </w:r>
          </w:p>
        </w:tc>
        <w:tc>
          <w:tcPr>
            <w:tcW w:w="2420" w:type="dxa"/>
            <w:tcBorders>
              <w:top w:val="nil"/>
              <w:left w:val="nil"/>
              <w:bottom w:val="single" w:sz="4" w:space="0" w:color="auto"/>
              <w:right w:val="nil"/>
            </w:tcBorders>
            <w:shd w:val="clear" w:color="000000" w:fill="FFFFFF"/>
            <w:hideMark/>
          </w:tcPr>
          <w:p w:rsidR="00236E18" w:rsidRPr="0079353A" w:rsidRDefault="00236E18" w:rsidP="00294272">
            <w:pPr>
              <w:rPr>
                <w:sz w:val="16"/>
                <w:szCs w:val="16"/>
              </w:rPr>
            </w:pPr>
            <w:r w:rsidRPr="0079353A">
              <w:rPr>
                <w:sz w:val="16"/>
                <w:szCs w:val="16"/>
              </w:rPr>
              <w:t>N</w:t>
            </w:r>
            <w:r>
              <w:rPr>
                <w:sz w:val="16"/>
                <w:szCs w:val="16"/>
              </w:rPr>
              <w:t>º</w:t>
            </w:r>
            <w:r w:rsidRPr="0079353A">
              <w:rPr>
                <w:sz w:val="16"/>
                <w:szCs w:val="16"/>
              </w:rPr>
              <w:t xml:space="preserve"> de alianzas establecidas.</w:t>
            </w:r>
          </w:p>
        </w:tc>
        <w:tc>
          <w:tcPr>
            <w:tcW w:w="2325" w:type="dxa"/>
            <w:tcBorders>
              <w:top w:val="nil"/>
              <w:left w:val="nil"/>
              <w:bottom w:val="single" w:sz="4" w:space="0" w:color="auto"/>
              <w:right w:val="nil"/>
            </w:tcBorders>
            <w:shd w:val="clear" w:color="000000" w:fill="FFFFFF"/>
            <w:hideMark/>
          </w:tcPr>
          <w:p w:rsidR="00236E18" w:rsidRPr="0079353A" w:rsidRDefault="00236E18" w:rsidP="00294272">
            <w:pPr>
              <w:rPr>
                <w:sz w:val="16"/>
                <w:szCs w:val="16"/>
              </w:rPr>
            </w:pPr>
            <w:r w:rsidRPr="0079353A">
              <w:rPr>
                <w:sz w:val="16"/>
                <w:szCs w:val="16"/>
              </w:rPr>
              <w:t>4 memorandos de entendimiento firmados (2014).</w:t>
            </w:r>
          </w:p>
        </w:tc>
        <w:tc>
          <w:tcPr>
            <w:tcW w:w="2160" w:type="dxa"/>
            <w:tcBorders>
              <w:top w:val="nil"/>
              <w:left w:val="nil"/>
              <w:bottom w:val="single" w:sz="4" w:space="0" w:color="auto"/>
              <w:right w:val="single" w:sz="4" w:space="0" w:color="auto"/>
            </w:tcBorders>
            <w:shd w:val="clear" w:color="000000" w:fill="FFFFFF"/>
            <w:hideMark/>
          </w:tcPr>
          <w:p w:rsidR="00236E18" w:rsidRPr="0079353A" w:rsidRDefault="00236E18" w:rsidP="00294272">
            <w:pPr>
              <w:rPr>
                <w:sz w:val="16"/>
                <w:szCs w:val="16"/>
              </w:rPr>
            </w:pPr>
            <w:r>
              <w:rPr>
                <w:sz w:val="16"/>
                <w:szCs w:val="16"/>
              </w:rPr>
              <w:t>Creación de 6 alianzas de P.I.</w:t>
            </w:r>
            <w:r w:rsidRPr="0079353A">
              <w:rPr>
                <w:sz w:val="16"/>
                <w:szCs w:val="16"/>
              </w:rPr>
              <w:br/>
            </w:r>
            <w:r w:rsidRPr="0079353A">
              <w:rPr>
                <w:sz w:val="16"/>
                <w:szCs w:val="16"/>
              </w:rPr>
              <w:br/>
            </w:r>
          </w:p>
        </w:tc>
      </w:tr>
    </w:tbl>
    <w:p w:rsidR="00236E18" w:rsidRPr="0079353A" w:rsidRDefault="00236E18" w:rsidP="00236E18">
      <w:pPr>
        <w:jc w:val="both"/>
      </w:pPr>
    </w:p>
    <w:p w:rsidR="00236E18" w:rsidRPr="0079353A" w:rsidRDefault="00236E18" w:rsidP="00236E18">
      <w:pPr>
        <w:jc w:val="both"/>
      </w:pPr>
    </w:p>
    <w:p w:rsidR="00236E18" w:rsidRPr="0079353A" w:rsidRDefault="00236E18" w:rsidP="00236E18">
      <w:pPr>
        <w:jc w:val="both"/>
      </w:pPr>
      <w:r w:rsidRPr="0079353A">
        <w:t>RECURSOS PARA EL PROGRAMA 10</w:t>
      </w:r>
    </w:p>
    <w:p w:rsidR="00236E18" w:rsidRPr="0079353A" w:rsidRDefault="00236E18" w:rsidP="00236E18">
      <w:pPr>
        <w:jc w:val="both"/>
      </w:pPr>
    </w:p>
    <w:p w:rsidR="00236E18" w:rsidRPr="0079353A" w:rsidRDefault="00236E18" w:rsidP="00236E18">
      <w:pPr>
        <w:pStyle w:val="ListParagraph"/>
        <w:numPr>
          <w:ilvl w:val="0"/>
          <w:numId w:val="22"/>
        </w:numPr>
        <w:tabs>
          <w:tab w:val="right" w:pos="709"/>
        </w:tabs>
        <w:ind w:left="0" w:firstLine="0"/>
        <w:jc w:val="both"/>
        <w:rPr>
          <w:rFonts w:ascii="Arial" w:hAnsi="Arial" w:cs="Arial"/>
          <w:sz w:val="20"/>
          <w:lang w:val="es-ES"/>
        </w:rPr>
      </w:pPr>
      <w:r>
        <w:rPr>
          <w:rFonts w:ascii="Arial" w:hAnsi="Arial" w:cs="Arial"/>
          <w:sz w:val="20"/>
          <w:lang w:val="es-ES"/>
        </w:rPr>
        <w:t>La dotación global de</w:t>
      </w:r>
      <w:r w:rsidRPr="0079353A">
        <w:rPr>
          <w:rFonts w:ascii="Arial" w:hAnsi="Arial" w:cs="Arial"/>
          <w:sz w:val="20"/>
          <w:lang w:val="es-ES"/>
        </w:rPr>
        <w:t xml:space="preserve"> recursos </w:t>
      </w:r>
      <w:r>
        <w:rPr>
          <w:rFonts w:ascii="Arial" w:hAnsi="Arial" w:cs="Arial"/>
          <w:sz w:val="20"/>
          <w:lang w:val="es-ES"/>
        </w:rPr>
        <w:t>para e</w:t>
      </w:r>
      <w:r w:rsidRPr="0079353A">
        <w:rPr>
          <w:rFonts w:ascii="Arial" w:hAnsi="Arial" w:cs="Arial"/>
          <w:sz w:val="20"/>
          <w:lang w:val="es-ES"/>
        </w:rPr>
        <w:t xml:space="preserve">l programa 10 </w:t>
      </w:r>
      <w:r>
        <w:rPr>
          <w:rFonts w:ascii="Arial" w:hAnsi="Arial" w:cs="Arial"/>
          <w:sz w:val="20"/>
          <w:lang w:val="es-ES"/>
        </w:rPr>
        <w:t>ha disminuido e</w:t>
      </w:r>
      <w:r w:rsidRPr="0079353A">
        <w:rPr>
          <w:rFonts w:ascii="Arial" w:hAnsi="Arial" w:cs="Arial"/>
          <w:sz w:val="20"/>
          <w:lang w:val="es-ES"/>
        </w:rPr>
        <w:t xml:space="preserve">n </w:t>
      </w:r>
      <w:r>
        <w:rPr>
          <w:rFonts w:ascii="Arial" w:hAnsi="Arial" w:cs="Arial"/>
          <w:sz w:val="20"/>
          <w:lang w:val="es-ES"/>
        </w:rPr>
        <w:t>0,</w:t>
      </w:r>
      <w:r w:rsidRPr="0079353A">
        <w:rPr>
          <w:rFonts w:ascii="Arial" w:hAnsi="Arial" w:cs="Arial"/>
          <w:sz w:val="20"/>
          <w:lang w:val="es-ES"/>
        </w:rPr>
        <w:t>43</w:t>
      </w:r>
      <w:r>
        <w:rPr>
          <w:rFonts w:ascii="Arial" w:hAnsi="Arial" w:cs="Arial"/>
          <w:sz w:val="20"/>
          <w:lang w:val="es-ES"/>
        </w:rPr>
        <w:t xml:space="preserve"> millones de</w:t>
      </w:r>
      <w:r w:rsidRPr="0079353A">
        <w:rPr>
          <w:rFonts w:ascii="Arial" w:hAnsi="Arial" w:cs="Arial"/>
          <w:sz w:val="20"/>
          <w:lang w:val="es-ES"/>
        </w:rPr>
        <w:t xml:space="preserve"> francos suizos, principalmente debido a i) la transferencia de responsabilidades al programa 30 con respecto a las actividades destinadas a las pymes (apoyo a las pymes y a la capacidad empresarial), y ii) una reducción en los recursos de personal equivalente a un</w:t>
      </w:r>
      <w:r>
        <w:rPr>
          <w:rFonts w:ascii="Arial" w:hAnsi="Arial" w:cs="Arial"/>
          <w:sz w:val="20"/>
          <w:lang w:val="es-ES"/>
        </w:rPr>
        <w:t xml:space="preserve"> puest</w:t>
      </w:r>
      <w:r w:rsidRPr="0079353A">
        <w:rPr>
          <w:rFonts w:ascii="Arial" w:hAnsi="Arial" w:cs="Arial"/>
          <w:sz w:val="20"/>
          <w:lang w:val="es-ES"/>
        </w:rPr>
        <w:t xml:space="preserve">o.  La reducción en los recursos de personal debería considerarse </w:t>
      </w:r>
      <w:r>
        <w:rPr>
          <w:rFonts w:ascii="Arial" w:hAnsi="Arial" w:cs="Arial"/>
          <w:sz w:val="20"/>
          <w:lang w:val="es-ES"/>
        </w:rPr>
        <w:t>como provisoria</w:t>
      </w:r>
      <w:r w:rsidRPr="0079353A">
        <w:rPr>
          <w:rFonts w:ascii="Arial" w:hAnsi="Arial" w:cs="Arial"/>
          <w:sz w:val="20"/>
          <w:lang w:val="es-ES"/>
        </w:rPr>
        <w:t xml:space="preserve"> en espera de que termine el proceso de regularización de una función permanente en el programa, lo que está previsto que se produzca en el segundo semestre de 2015. </w:t>
      </w:r>
    </w:p>
    <w:p w:rsidR="00236E18" w:rsidRPr="0079353A" w:rsidRDefault="00236E18" w:rsidP="00236E18">
      <w:pPr>
        <w:jc w:val="both"/>
      </w:pPr>
    </w:p>
    <w:p w:rsidR="00236E18" w:rsidRPr="0079353A" w:rsidRDefault="00236E18" w:rsidP="00236E18">
      <w:pPr>
        <w:pStyle w:val="ListParagraph"/>
        <w:numPr>
          <w:ilvl w:val="0"/>
          <w:numId w:val="22"/>
        </w:numPr>
        <w:tabs>
          <w:tab w:val="right" w:pos="709"/>
        </w:tabs>
        <w:ind w:left="0" w:firstLine="0"/>
        <w:jc w:val="both"/>
        <w:rPr>
          <w:rFonts w:ascii="Arial" w:hAnsi="Arial" w:cs="Arial"/>
          <w:sz w:val="20"/>
          <w:lang w:val="es-ES"/>
        </w:rPr>
      </w:pPr>
      <w:r w:rsidRPr="0079353A">
        <w:rPr>
          <w:rFonts w:ascii="Arial" w:hAnsi="Arial" w:cs="Arial"/>
          <w:sz w:val="20"/>
          <w:lang w:val="es-ES"/>
        </w:rPr>
        <w:t>El cambio en los recursos que se observa en el rubro de resultados previstos refleja la finalización de la integración de las actividades relacionadas con los CATI y Soluciones operativas para las oficinas de P.I. en los programas 14 y 15, respectivamente.</w:t>
      </w:r>
    </w:p>
    <w:p w:rsidR="00236E18" w:rsidRPr="0079353A" w:rsidRDefault="00236E18" w:rsidP="00236E18">
      <w:pPr>
        <w:pStyle w:val="ListParagraph"/>
        <w:keepNext/>
        <w:keepLines/>
        <w:jc w:val="center"/>
        <w:rPr>
          <w:rFonts w:ascii="Arial" w:hAnsi="Arial" w:cs="Arial"/>
          <w:b/>
          <w:sz w:val="20"/>
          <w:lang w:val="es-ES"/>
        </w:rPr>
      </w:pPr>
      <w:r w:rsidRPr="0079353A">
        <w:rPr>
          <w:rFonts w:ascii="Arial" w:hAnsi="Arial" w:cs="Arial"/>
          <w:b/>
          <w:sz w:val="20"/>
          <w:lang w:val="es-ES"/>
        </w:rPr>
        <w:lastRenderedPageBreak/>
        <w:t>Programa 10</w:t>
      </w:r>
      <w:proofErr w:type="gramStart"/>
      <w:r w:rsidRPr="0079353A">
        <w:rPr>
          <w:rFonts w:ascii="Arial" w:hAnsi="Arial" w:cs="Arial"/>
          <w:b/>
          <w:sz w:val="20"/>
          <w:lang w:val="es-ES"/>
        </w:rPr>
        <w:t>:  Recursos</w:t>
      </w:r>
      <w:proofErr w:type="gramEnd"/>
      <w:r w:rsidRPr="0079353A">
        <w:rPr>
          <w:rFonts w:ascii="Arial" w:hAnsi="Arial" w:cs="Arial"/>
          <w:b/>
          <w:sz w:val="20"/>
          <w:lang w:val="es-ES"/>
        </w:rPr>
        <w:t xml:space="preserve"> por resultado </w:t>
      </w:r>
    </w:p>
    <w:p w:rsidR="00236E18" w:rsidRPr="0079353A" w:rsidRDefault="00236E18" w:rsidP="00236E18">
      <w:pPr>
        <w:pStyle w:val="ListParagraph"/>
        <w:keepNext/>
        <w:keepLines/>
        <w:jc w:val="center"/>
        <w:rPr>
          <w:rFonts w:ascii="Arial" w:hAnsi="Arial" w:cs="Arial"/>
          <w:i/>
          <w:sz w:val="20"/>
          <w:lang w:val="es-ES"/>
        </w:rPr>
      </w:pPr>
      <w:r w:rsidRPr="0079353A">
        <w:rPr>
          <w:rFonts w:ascii="Arial" w:hAnsi="Arial" w:cs="Arial"/>
          <w:i/>
          <w:sz w:val="20"/>
          <w:lang w:val="es-ES"/>
        </w:rPr>
        <w:t>(</w:t>
      </w:r>
      <w:proofErr w:type="gramStart"/>
      <w:r w:rsidRPr="0079353A">
        <w:rPr>
          <w:rFonts w:ascii="Arial" w:hAnsi="Arial" w:cs="Arial"/>
          <w:i/>
          <w:sz w:val="20"/>
          <w:lang w:val="es-ES"/>
        </w:rPr>
        <w:t>en</w:t>
      </w:r>
      <w:proofErr w:type="gramEnd"/>
      <w:r w:rsidRPr="0079353A">
        <w:rPr>
          <w:rFonts w:ascii="Arial" w:hAnsi="Arial" w:cs="Arial"/>
          <w:i/>
          <w:sz w:val="20"/>
          <w:lang w:val="es-ES"/>
        </w:rPr>
        <w:t xml:space="preserve"> miles de francos suizos)</w:t>
      </w:r>
    </w:p>
    <w:p w:rsidR="00236E18" w:rsidRDefault="00236E18" w:rsidP="00236E18">
      <w:pPr>
        <w:pStyle w:val="ListParagraph"/>
        <w:keepNext/>
        <w:keepLines/>
        <w:jc w:val="center"/>
        <w:rPr>
          <w:rFonts w:ascii="Arial" w:hAnsi="Arial" w:cs="Arial"/>
          <w:i/>
          <w:sz w:val="20"/>
          <w:lang w:val="es-ES"/>
        </w:rPr>
      </w:pPr>
    </w:p>
    <w:p w:rsidR="00236E18" w:rsidRPr="0079353A" w:rsidRDefault="00236E18" w:rsidP="00236E18">
      <w:pPr>
        <w:pStyle w:val="ListParagraph"/>
        <w:keepNext/>
        <w:keepLines/>
        <w:jc w:val="center"/>
        <w:rPr>
          <w:rFonts w:ascii="Arial" w:hAnsi="Arial" w:cs="Arial"/>
          <w:i/>
          <w:sz w:val="20"/>
          <w:lang w:val="es-ES"/>
        </w:rPr>
      </w:pPr>
      <w:r w:rsidRPr="005A7007">
        <w:rPr>
          <w:noProof/>
          <w:lang w:eastAsia="en-US"/>
        </w:rPr>
        <w:drawing>
          <wp:inline distT="0" distB="0" distL="0" distR="0" wp14:anchorId="1449A551" wp14:editId="6857D72F">
            <wp:extent cx="5676265" cy="6513195"/>
            <wp:effectExtent l="0" t="0" r="635" b="1905"/>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676265" cy="6513195"/>
                    </a:xfrm>
                    <a:prstGeom prst="rect">
                      <a:avLst/>
                    </a:prstGeom>
                    <a:noFill/>
                    <a:ln>
                      <a:noFill/>
                    </a:ln>
                  </pic:spPr>
                </pic:pic>
              </a:graphicData>
            </a:graphic>
          </wp:inline>
        </w:drawing>
      </w:r>
    </w:p>
    <w:p w:rsidR="00236E18" w:rsidRPr="0079353A" w:rsidRDefault="00236E18" w:rsidP="00236E18">
      <w:pPr>
        <w:pStyle w:val="ListParagraph"/>
        <w:keepNext/>
        <w:keepLines/>
        <w:ind w:left="0"/>
        <w:jc w:val="center"/>
        <w:rPr>
          <w:rFonts w:ascii="Arial" w:hAnsi="Arial" w:cs="Arial"/>
          <w:i/>
          <w:sz w:val="20"/>
        </w:rPr>
      </w:pPr>
    </w:p>
    <w:p w:rsidR="00236E18" w:rsidRPr="0079353A" w:rsidRDefault="00236E18" w:rsidP="00236E18">
      <w:pPr>
        <w:pStyle w:val="ListParagraph"/>
        <w:keepNext/>
        <w:keepLines/>
        <w:jc w:val="center"/>
        <w:rPr>
          <w:rFonts w:ascii="Arial" w:hAnsi="Arial" w:cs="Arial"/>
          <w:i/>
          <w:sz w:val="20"/>
        </w:rPr>
      </w:pPr>
    </w:p>
    <w:p w:rsidR="00236E18" w:rsidRPr="0079353A" w:rsidRDefault="00236E18" w:rsidP="00236E18">
      <w:pPr>
        <w:rPr>
          <w:i/>
          <w:sz w:val="20"/>
        </w:rPr>
      </w:pPr>
      <w:r w:rsidRPr="0079353A">
        <w:rPr>
          <w:i/>
          <w:sz w:val="20"/>
        </w:rPr>
        <w:br w:type="page"/>
      </w:r>
    </w:p>
    <w:p w:rsidR="00236E18" w:rsidRPr="0079353A" w:rsidRDefault="00236E18" w:rsidP="00236E18">
      <w:pPr>
        <w:pStyle w:val="ListParagraph"/>
        <w:spacing w:after="240"/>
        <w:ind w:left="0"/>
        <w:jc w:val="center"/>
        <w:rPr>
          <w:rFonts w:ascii="Arial" w:hAnsi="Arial" w:cs="Arial"/>
          <w:b/>
          <w:sz w:val="20"/>
          <w:lang w:val="es-ES"/>
        </w:rPr>
      </w:pPr>
      <w:r w:rsidRPr="0079353A">
        <w:rPr>
          <w:rFonts w:ascii="Arial" w:hAnsi="Arial" w:cs="Arial"/>
          <w:b/>
          <w:sz w:val="20"/>
          <w:lang w:val="es-ES"/>
        </w:rPr>
        <w:lastRenderedPageBreak/>
        <w:t>Programa 10</w:t>
      </w:r>
      <w:proofErr w:type="gramStart"/>
      <w:r w:rsidRPr="0079353A">
        <w:rPr>
          <w:rFonts w:ascii="Arial" w:hAnsi="Arial" w:cs="Arial"/>
          <w:b/>
          <w:sz w:val="20"/>
          <w:lang w:val="es-ES"/>
        </w:rPr>
        <w:t>:  Recursos</w:t>
      </w:r>
      <w:proofErr w:type="gramEnd"/>
      <w:r w:rsidRPr="0079353A">
        <w:rPr>
          <w:rFonts w:ascii="Arial" w:hAnsi="Arial" w:cs="Arial"/>
          <w:b/>
          <w:sz w:val="20"/>
          <w:lang w:val="es-ES"/>
        </w:rPr>
        <w:t xml:space="preserve"> por objeto de gasto</w:t>
      </w:r>
    </w:p>
    <w:p w:rsidR="00236E18" w:rsidRPr="0079353A" w:rsidRDefault="00236E18" w:rsidP="00236E18">
      <w:pPr>
        <w:pStyle w:val="ListParagraph"/>
        <w:spacing w:after="240"/>
        <w:ind w:left="0"/>
        <w:jc w:val="center"/>
        <w:rPr>
          <w:rFonts w:ascii="Arial" w:hAnsi="Arial" w:cs="Arial"/>
          <w:i/>
          <w:sz w:val="20"/>
          <w:lang w:val="es-ES"/>
        </w:rPr>
      </w:pPr>
      <w:r w:rsidRPr="0079353A">
        <w:rPr>
          <w:rFonts w:ascii="Arial" w:hAnsi="Arial" w:cs="Arial"/>
          <w:i/>
          <w:sz w:val="20"/>
          <w:lang w:val="es-ES"/>
        </w:rPr>
        <w:t>(</w:t>
      </w:r>
      <w:proofErr w:type="gramStart"/>
      <w:r w:rsidRPr="0079353A">
        <w:rPr>
          <w:rFonts w:ascii="Arial" w:hAnsi="Arial" w:cs="Arial"/>
          <w:i/>
          <w:sz w:val="20"/>
          <w:lang w:val="es-ES"/>
        </w:rPr>
        <w:t>en</w:t>
      </w:r>
      <w:proofErr w:type="gramEnd"/>
      <w:r w:rsidRPr="0079353A">
        <w:rPr>
          <w:rFonts w:ascii="Arial" w:hAnsi="Arial" w:cs="Arial"/>
          <w:i/>
          <w:sz w:val="20"/>
          <w:lang w:val="es-ES"/>
        </w:rPr>
        <w:t xml:space="preserve"> miles de francos suizos)</w:t>
      </w:r>
    </w:p>
    <w:p w:rsidR="00236E18" w:rsidRPr="0079353A" w:rsidRDefault="00236E18" w:rsidP="00236E18">
      <w:pPr>
        <w:pStyle w:val="ListParagraph"/>
        <w:spacing w:after="240"/>
        <w:jc w:val="center"/>
        <w:rPr>
          <w:rFonts w:ascii="Arial" w:hAnsi="Arial" w:cs="Arial"/>
          <w:i/>
          <w:sz w:val="20"/>
          <w:lang w:val="es-ES"/>
        </w:rPr>
      </w:pPr>
    </w:p>
    <w:p w:rsidR="00236E18" w:rsidRPr="0079353A" w:rsidRDefault="00236E18" w:rsidP="00236E18">
      <w:pPr>
        <w:jc w:val="both"/>
      </w:pPr>
      <w:r>
        <w:rPr>
          <w:noProof/>
          <w:lang w:val="en-US" w:eastAsia="en-US"/>
        </w:rPr>
        <w:drawing>
          <wp:inline distT="0" distB="0" distL="0" distR="0" wp14:anchorId="03B2FBC2" wp14:editId="047105E4">
            <wp:extent cx="5940425" cy="6118765"/>
            <wp:effectExtent l="0" t="0" r="3175" b="0"/>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40425" cy="6118765"/>
                    </a:xfrm>
                    <a:prstGeom prst="rect">
                      <a:avLst/>
                    </a:prstGeom>
                    <a:noFill/>
                    <a:ln>
                      <a:noFill/>
                    </a:ln>
                  </pic:spPr>
                </pic:pic>
              </a:graphicData>
            </a:graphic>
          </wp:inline>
        </w:drawing>
      </w:r>
    </w:p>
    <w:p w:rsidR="00236E18" w:rsidRPr="0079353A" w:rsidRDefault="00236E18" w:rsidP="00236E18">
      <w:pPr>
        <w:jc w:val="both"/>
        <w:rPr>
          <w:szCs w:val="22"/>
        </w:rPr>
      </w:pPr>
    </w:p>
    <w:p w:rsidR="00236E18" w:rsidRPr="0079353A" w:rsidRDefault="00236E18" w:rsidP="00236E18">
      <w:pPr>
        <w:jc w:val="both"/>
        <w:rPr>
          <w:szCs w:val="22"/>
        </w:rPr>
      </w:pPr>
    </w:p>
    <w:p w:rsidR="00236E18" w:rsidRDefault="00236E18" w:rsidP="00236E18">
      <w:pPr>
        <w:rPr>
          <w:szCs w:val="22"/>
        </w:rPr>
      </w:pPr>
      <w:r>
        <w:rPr>
          <w:szCs w:val="22"/>
        </w:rPr>
        <w:br w:type="page"/>
      </w:r>
    </w:p>
    <w:p w:rsidR="00236E18" w:rsidRPr="007D7911" w:rsidRDefault="00236E18" w:rsidP="00236E18">
      <w:pPr>
        <w:pStyle w:val="StyleStyleHeading3ComplexItalicLatin12pt"/>
        <w:rPr>
          <w:lang w:val="es-ES"/>
        </w:rPr>
      </w:pPr>
      <w:bookmarkStart w:id="69" w:name="_Toc431573553"/>
      <w:bookmarkStart w:id="70" w:name="_Toc431573954"/>
      <w:r w:rsidRPr="007D7911">
        <w:rPr>
          <w:caps w:val="0"/>
          <w:lang w:val="es-ES"/>
        </w:rPr>
        <w:lastRenderedPageBreak/>
        <w:t>PROGRAMA 11</w:t>
      </w:r>
      <w:r w:rsidRPr="007D7911">
        <w:rPr>
          <w:caps w:val="0"/>
          <w:lang w:val="es-ES"/>
        </w:rPr>
        <w:tab/>
        <w:t>ACADEMIA DE LA OMPI</w:t>
      </w:r>
      <w:bookmarkEnd w:id="69"/>
      <w:bookmarkEnd w:id="70"/>
    </w:p>
    <w:p w:rsidR="00236E18" w:rsidRPr="0020084B" w:rsidRDefault="00236E18" w:rsidP="00236E18">
      <w:pPr>
        <w:rPr>
          <w:sz w:val="20"/>
        </w:rPr>
      </w:pPr>
    </w:p>
    <w:p w:rsidR="00236E18" w:rsidRPr="0020084B" w:rsidRDefault="00236E18" w:rsidP="00236E18">
      <w:pPr>
        <w:jc w:val="both"/>
        <w:rPr>
          <w:sz w:val="20"/>
        </w:rPr>
      </w:pPr>
    </w:p>
    <w:p w:rsidR="00236E18" w:rsidRPr="0020084B" w:rsidRDefault="00236E18" w:rsidP="00236E18">
      <w:pPr>
        <w:jc w:val="both"/>
      </w:pPr>
      <w:r w:rsidRPr="0020084B">
        <w:t>CONTEXTO DE PLANIFICACIÓN</w:t>
      </w:r>
    </w:p>
    <w:p w:rsidR="00236E18" w:rsidRPr="0020084B" w:rsidRDefault="00236E18" w:rsidP="00236E18">
      <w:pPr>
        <w:jc w:val="both"/>
      </w:pPr>
    </w:p>
    <w:p w:rsidR="00236E18" w:rsidRPr="0020084B" w:rsidRDefault="00236E18" w:rsidP="00236E18">
      <w:pPr>
        <w:pStyle w:val="ListParagraph"/>
        <w:numPr>
          <w:ilvl w:val="0"/>
          <w:numId w:val="24"/>
        </w:numPr>
        <w:tabs>
          <w:tab w:val="left" w:pos="709"/>
        </w:tabs>
        <w:ind w:left="0" w:firstLine="0"/>
        <w:jc w:val="both"/>
        <w:rPr>
          <w:rFonts w:ascii="Arial" w:hAnsi="Arial" w:cs="Arial"/>
          <w:sz w:val="20"/>
          <w:szCs w:val="20"/>
          <w:lang w:val="es-ES"/>
        </w:rPr>
      </w:pPr>
      <w:r w:rsidRPr="0020084B">
        <w:rPr>
          <w:rFonts w:ascii="Arial" w:hAnsi="Arial" w:cs="Arial"/>
          <w:sz w:val="20"/>
          <w:szCs w:val="20"/>
          <w:lang w:val="es-ES"/>
        </w:rPr>
        <w:t>La Academia de la OMPI es la entidad de la OMPI en la que se centralizan las actividades de formación y fortalecimiento de capacidades, en particular, para los países en desarrollo, los PMA y los países en transición.  La Academia constituye un centro de excelencia en la formación, incluida la formación profesional;  es un catalizador de redes y asociaciones para ampliar la diversidad de las oportunidades de formación a nivel nacional;  es un centro de información en Internet de acceso abierto sobre todas las actividades, herramientas y servicios de formación de la OMPI;  es un proveedor único en su género y multilingüe de cursos de enseñanza y formación a distancia por Internet;  y también una plataforma de redes virtuales de asociados, expertos y docentes en el ámbito de la formación en P.I. orientada al desarrollo.</w:t>
      </w:r>
    </w:p>
    <w:p w:rsidR="00236E18" w:rsidRPr="0020084B" w:rsidRDefault="00236E18" w:rsidP="00236E18">
      <w:pPr>
        <w:jc w:val="both"/>
        <w:rPr>
          <w:sz w:val="20"/>
        </w:rPr>
      </w:pPr>
    </w:p>
    <w:p w:rsidR="00236E18" w:rsidRPr="0020084B" w:rsidRDefault="00236E18" w:rsidP="00236E18">
      <w:pPr>
        <w:pStyle w:val="ListParagraph"/>
        <w:numPr>
          <w:ilvl w:val="0"/>
          <w:numId w:val="24"/>
        </w:numPr>
        <w:tabs>
          <w:tab w:val="left" w:pos="709"/>
        </w:tabs>
        <w:ind w:left="0" w:firstLine="0"/>
        <w:jc w:val="both"/>
        <w:rPr>
          <w:rFonts w:ascii="Arial" w:hAnsi="Arial" w:cs="Arial"/>
          <w:sz w:val="20"/>
          <w:szCs w:val="20"/>
          <w:lang w:val="es-ES"/>
        </w:rPr>
      </w:pPr>
      <w:r w:rsidRPr="0020084B">
        <w:rPr>
          <w:rFonts w:ascii="Arial" w:hAnsi="Arial" w:cs="Arial"/>
          <w:sz w:val="20"/>
          <w:szCs w:val="20"/>
          <w:lang w:val="es-ES"/>
        </w:rPr>
        <w:t>En el bienio 2014/15, la Academia emprendió un proceso de reforma gradual y coherente a los fines de volver a asumir la función de vehículo de la Organización para la formación profesional y el fortalecimiento de capacidades.</w:t>
      </w:r>
    </w:p>
    <w:p w:rsidR="00236E18" w:rsidRPr="0020084B" w:rsidRDefault="00236E18" w:rsidP="00236E18">
      <w:pPr>
        <w:jc w:val="both"/>
        <w:rPr>
          <w:sz w:val="20"/>
        </w:rPr>
      </w:pPr>
    </w:p>
    <w:p w:rsidR="00236E18" w:rsidRPr="0020084B" w:rsidRDefault="00236E18" w:rsidP="00236E18">
      <w:pPr>
        <w:jc w:val="both"/>
        <w:rPr>
          <w:sz w:val="20"/>
        </w:rPr>
      </w:pPr>
    </w:p>
    <w:p w:rsidR="00236E18" w:rsidRPr="0020084B" w:rsidRDefault="00236E18" w:rsidP="00236E18">
      <w:pPr>
        <w:jc w:val="both"/>
      </w:pPr>
      <w:r w:rsidRPr="0020084B">
        <w:t>ESTRATEGIAS DE EJECUCIÓN</w:t>
      </w:r>
    </w:p>
    <w:p w:rsidR="00236E18" w:rsidRPr="0020084B" w:rsidRDefault="00236E18" w:rsidP="00236E18">
      <w:pPr>
        <w:jc w:val="both"/>
      </w:pPr>
    </w:p>
    <w:p w:rsidR="00236E18" w:rsidRPr="0020084B" w:rsidRDefault="00236E18" w:rsidP="00236E18">
      <w:pPr>
        <w:pStyle w:val="ListParagraph"/>
        <w:numPr>
          <w:ilvl w:val="0"/>
          <w:numId w:val="24"/>
        </w:numPr>
        <w:tabs>
          <w:tab w:val="left" w:pos="709"/>
        </w:tabs>
        <w:ind w:left="0" w:firstLine="0"/>
        <w:jc w:val="both"/>
        <w:rPr>
          <w:rFonts w:ascii="Arial" w:hAnsi="Arial" w:cs="Arial"/>
          <w:sz w:val="20"/>
          <w:szCs w:val="20"/>
          <w:lang w:val="es-ES"/>
        </w:rPr>
      </w:pPr>
      <w:r w:rsidRPr="0020084B">
        <w:rPr>
          <w:rFonts w:ascii="Arial" w:hAnsi="Arial" w:cs="Arial"/>
          <w:sz w:val="20"/>
          <w:szCs w:val="20"/>
          <w:lang w:val="es-ES"/>
        </w:rPr>
        <w:t>Al esforzarse por lograr los objetivos que se ha fijado para su reforma, la Academia se apoyará en su experiencia y sus ventajas comparativas.  Entre estas últimas están la neutralidad, la credibilidad y su imagen institucional;  las inversiones que ya ha realizado en material y herramientas de formación y enseñanza, incluida su plataforma de enseñanza a distancia;  su gran red internacional de expertos, profesores y tutores;  sus arraigados lazos de cooperación y colaboración con instituciones nacionales y regionales;  su contenido multilingüe;  su experiencia en determinar y responder a las prioridades y necesidades de formación de los Estados miembros y otras partes interesadas;  y su condición de entidad sin fines lucrativos.</w:t>
      </w:r>
    </w:p>
    <w:p w:rsidR="00236E18" w:rsidRPr="0020084B" w:rsidRDefault="00236E18" w:rsidP="00236E18">
      <w:pPr>
        <w:jc w:val="both"/>
        <w:rPr>
          <w:sz w:val="20"/>
        </w:rPr>
      </w:pPr>
    </w:p>
    <w:p w:rsidR="00236E18" w:rsidRPr="0020084B" w:rsidRDefault="00236E18" w:rsidP="00236E18">
      <w:pPr>
        <w:pStyle w:val="ListParagraph"/>
        <w:numPr>
          <w:ilvl w:val="0"/>
          <w:numId w:val="24"/>
        </w:numPr>
        <w:tabs>
          <w:tab w:val="left" w:pos="709"/>
        </w:tabs>
        <w:ind w:left="0" w:firstLine="0"/>
        <w:jc w:val="both"/>
        <w:rPr>
          <w:rFonts w:ascii="Arial" w:hAnsi="Arial" w:cs="Arial"/>
          <w:sz w:val="20"/>
          <w:szCs w:val="20"/>
          <w:lang w:val="es-ES"/>
        </w:rPr>
      </w:pPr>
      <w:r w:rsidRPr="0020084B">
        <w:rPr>
          <w:rFonts w:ascii="Arial" w:hAnsi="Arial" w:cs="Arial"/>
          <w:sz w:val="20"/>
          <w:szCs w:val="20"/>
          <w:lang w:val="es-ES"/>
        </w:rPr>
        <w:t>La Academia colaborará estrechamente con todos los sectores interesados de la Organización para establecer procesos y mecanismos regulares y eficaces de consulta, planificación e intercambio de información a nivel interno que permitan identificar y responder de forma oportuna y eficaz a las necesidades y solicitudes de formación.</w:t>
      </w:r>
    </w:p>
    <w:p w:rsidR="00236E18" w:rsidRPr="0020084B" w:rsidRDefault="00236E18" w:rsidP="00236E18">
      <w:pPr>
        <w:jc w:val="both"/>
        <w:rPr>
          <w:sz w:val="20"/>
        </w:rPr>
      </w:pPr>
    </w:p>
    <w:p w:rsidR="00236E18" w:rsidRPr="0020084B" w:rsidRDefault="00236E18" w:rsidP="00236E18">
      <w:pPr>
        <w:pStyle w:val="ListParagraph"/>
        <w:numPr>
          <w:ilvl w:val="0"/>
          <w:numId w:val="24"/>
        </w:numPr>
        <w:tabs>
          <w:tab w:val="left" w:pos="709"/>
        </w:tabs>
        <w:ind w:left="0" w:firstLine="0"/>
        <w:jc w:val="both"/>
        <w:rPr>
          <w:rFonts w:ascii="Arial" w:hAnsi="Arial" w:cs="Arial"/>
          <w:sz w:val="20"/>
          <w:szCs w:val="20"/>
          <w:lang w:val="es-ES"/>
        </w:rPr>
      </w:pPr>
      <w:r w:rsidRPr="0020084B">
        <w:rPr>
          <w:rFonts w:ascii="Arial" w:hAnsi="Arial" w:cs="Arial"/>
          <w:sz w:val="20"/>
          <w:szCs w:val="20"/>
          <w:lang w:val="es-ES"/>
        </w:rPr>
        <w:t>La Academia seguirá revisando y actualizando el contenido de su material de formación y de sus cursos de enseñanza a distancia, colaborando estrechamente con ese fin con los sectores fundamentales a ese respecto de la OMPI, así como con tutores, expertos de prestigio y profesores interesados.  Cuando se observe que hay una demanda clara, se dará también prioridad a la traducción de dichos materiales y cursos en varios idiomas.  Se dedicarán también esfuerzos para concebir herramientas de TIC que permitan administrar e impartir con mayor eficacia los cursos de enseñanza a distancia.  Se dará prioridad a promover una mayor participación de las mujeres en los programas de la Academia así como una distribución geográfica equilibrada en todos los casos en los que la Academia tenga prerrogativas en la selección.  La Academia se esforzará también por mejorar sus herramientas de evaluación a los fines de extraer enseñanzas y adaptar</w:t>
      </w:r>
      <w:r>
        <w:rPr>
          <w:rFonts w:ascii="Arial" w:hAnsi="Arial" w:cs="Arial"/>
          <w:sz w:val="20"/>
          <w:szCs w:val="20"/>
          <w:lang w:val="es-ES"/>
        </w:rPr>
        <w:t xml:space="preserve"> en consecuencia</w:t>
      </w:r>
      <w:r w:rsidRPr="0020084B">
        <w:rPr>
          <w:rFonts w:ascii="Arial" w:hAnsi="Arial" w:cs="Arial"/>
          <w:sz w:val="20"/>
          <w:szCs w:val="20"/>
          <w:lang w:val="es-ES"/>
        </w:rPr>
        <w:t xml:space="preserve"> los programas de formación para que respondan mejor a los requisitos de formación </w:t>
      </w:r>
      <w:r>
        <w:rPr>
          <w:rFonts w:ascii="Arial" w:hAnsi="Arial" w:cs="Arial"/>
          <w:sz w:val="20"/>
          <w:szCs w:val="20"/>
          <w:lang w:val="es-ES"/>
        </w:rPr>
        <w:t>d</w:t>
      </w:r>
      <w:r w:rsidRPr="0020084B">
        <w:rPr>
          <w:rFonts w:ascii="Arial" w:hAnsi="Arial" w:cs="Arial"/>
          <w:sz w:val="20"/>
          <w:szCs w:val="20"/>
          <w:lang w:val="es-ES"/>
        </w:rPr>
        <w:t>e los beneficiarios previstos.</w:t>
      </w:r>
    </w:p>
    <w:p w:rsidR="00236E18" w:rsidRPr="0020084B" w:rsidRDefault="00236E18" w:rsidP="00236E18">
      <w:pPr>
        <w:jc w:val="both"/>
        <w:rPr>
          <w:sz w:val="20"/>
        </w:rPr>
      </w:pPr>
    </w:p>
    <w:p w:rsidR="00236E18" w:rsidRPr="0020084B" w:rsidRDefault="00236E18" w:rsidP="00236E18">
      <w:pPr>
        <w:pStyle w:val="ListParagraph"/>
        <w:numPr>
          <w:ilvl w:val="0"/>
          <w:numId w:val="24"/>
        </w:numPr>
        <w:tabs>
          <w:tab w:val="left" w:pos="709"/>
        </w:tabs>
        <w:ind w:left="0" w:firstLine="0"/>
        <w:jc w:val="both"/>
        <w:rPr>
          <w:rFonts w:ascii="Arial" w:hAnsi="Arial" w:cs="Arial"/>
          <w:sz w:val="20"/>
          <w:szCs w:val="20"/>
          <w:lang w:val="es-ES"/>
        </w:rPr>
      </w:pPr>
      <w:r w:rsidRPr="0020084B">
        <w:rPr>
          <w:rFonts w:ascii="Arial" w:hAnsi="Arial" w:cs="Arial"/>
          <w:sz w:val="20"/>
          <w:szCs w:val="20"/>
          <w:lang w:val="es-ES"/>
        </w:rPr>
        <w:t>Al llevar a cabo sus programas en el bienio 2016/17, la Academia intentará crear nuevos vínculos de colaboración con instituciones nacionales y regionales de los Estados miembros.  La finalidad de forjar esos vínculos es crear un grupo de expertos a nivel nacional así como capacidades a largo plazo en el plano local, aumentar el grado de incidencia y ampliar el alcance geográfico.  Se elaborará una política con criterios y condiciones específicos para el establecimiento de vínculos de colaboración.</w:t>
      </w:r>
    </w:p>
    <w:p w:rsidR="00236E18" w:rsidRPr="0020084B" w:rsidRDefault="00236E18" w:rsidP="00236E18">
      <w:pPr>
        <w:jc w:val="both"/>
        <w:rPr>
          <w:sz w:val="20"/>
        </w:rPr>
      </w:pPr>
    </w:p>
    <w:p w:rsidR="00236E18" w:rsidRPr="0020084B" w:rsidRDefault="00236E18" w:rsidP="00236E18">
      <w:pPr>
        <w:pStyle w:val="ListParagraph"/>
        <w:numPr>
          <w:ilvl w:val="0"/>
          <w:numId w:val="24"/>
        </w:numPr>
        <w:tabs>
          <w:tab w:val="left" w:pos="709"/>
        </w:tabs>
        <w:ind w:left="0" w:firstLine="0"/>
        <w:jc w:val="both"/>
        <w:rPr>
          <w:rFonts w:ascii="Arial" w:hAnsi="Arial" w:cs="Arial"/>
          <w:sz w:val="20"/>
          <w:szCs w:val="20"/>
          <w:lang w:val="es-ES"/>
        </w:rPr>
      </w:pPr>
      <w:r w:rsidRPr="0020084B">
        <w:rPr>
          <w:rFonts w:ascii="Arial" w:hAnsi="Arial" w:cs="Arial"/>
          <w:sz w:val="20"/>
          <w:szCs w:val="20"/>
          <w:lang w:val="es-ES"/>
        </w:rPr>
        <w:t xml:space="preserve">En 2016/17, la Academia se centrará </w:t>
      </w:r>
      <w:r>
        <w:rPr>
          <w:rFonts w:ascii="Arial" w:hAnsi="Arial" w:cs="Arial"/>
          <w:sz w:val="20"/>
          <w:szCs w:val="20"/>
          <w:lang w:val="es-ES"/>
        </w:rPr>
        <w:t xml:space="preserve">particularmente </w:t>
      </w:r>
      <w:r w:rsidRPr="0020084B">
        <w:rPr>
          <w:rFonts w:ascii="Arial" w:hAnsi="Arial" w:cs="Arial"/>
          <w:sz w:val="20"/>
          <w:szCs w:val="20"/>
          <w:lang w:val="es-ES"/>
        </w:rPr>
        <w:t>en:</w:t>
      </w:r>
    </w:p>
    <w:p w:rsidR="00236E18" w:rsidRPr="0020084B" w:rsidRDefault="00236E18" w:rsidP="00236E18">
      <w:pPr>
        <w:jc w:val="both"/>
        <w:rPr>
          <w:sz w:val="20"/>
        </w:rPr>
      </w:pPr>
    </w:p>
    <w:p w:rsidR="00236E18" w:rsidRPr="0020084B" w:rsidRDefault="00236E18" w:rsidP="00236E18">
      <w:pPr>
        <w:pStyle w:val="ListParagraph"/>
        <w:numPr>
          <w:ilvl w:val="0"/>
          <w:numId w:val="23"/>
        </w:numPr>
        <w:tabs>
          <w:tab w:val="left" w:pos="1276"/>
        </w:tabs>
        <w:ind w:left="709" w:firstLine="0"/>
        <w:jc w:val="both"/>
        <w:rPr>
          <w:rFonts w:ascii="Arial" w:hAnsi="Arial" w:cs="Arial"/>
          <w:sz w:val="20"/>
          <w:szCs w:val="20"/>
          <w:lang w:val="es-ES"/>
        </w:rPr>
      </w:pPr>
      <w:r w:rsidRPr="0020084B">
        <w:rPr>
          <w:rFonts w:ascii="Arial" w:hAnsi="Arial" w:cs="Arial"/>
          <w:sz w:val="20"/>
          <w:szCs w:val="20"/>
          <w:lang w:val="es-ES"/>
        </w:rPr>
        <w:t>Programa de Perfeccionamiento Profesional</w:t>
      </w:r>
      <w:proofErr w:type="gramStart"/>
      <w:r w:rsidRPr="0020084B">
        <w:rPr>
          <w:rFonts w:ascii="Arial" w:hAnsi="Arial" w:cs="Arial"/>
          <w:sz w:val="20"/>
          <w:szCs w:val="20"/>
          <w:lang w:val="es-ES"/>
        </w:rPr>
        <w:t>:  Se</w:t>
      </w:r>
      <w:proofErr w:type="gramEnd"/>
      <w:r w:rsidRPr="0020084B">
        <w:rPr>
          <w:rFonts w:ascii="Arial" w:hAnsi="Arial" w:cs="Arial"/>
          <w:sz w:val="20"/>
          <w:szCs w:val="20"/>
          <w:lang w:val="es-ES"/>
        </w:rPr>
        <w:t xml:space="preserve"> seguirá impartiendo una serie de cursos de formación centrados en temas de alta prioridad a funcionarios gubernamentales y del sector público.  A ellos vendrán a añadirse un nuevo conjunto de cursos minuciosamente pensados para responder a las prioridades establecidas por los Estados miembros.  La Academia seguirá prestando asistencia a los Estados miembros en el establecimiento de academias nacionales </w:t>
      </w:r>
      <w:r w:rsidRPr="0020084B">
        <w:rPr>
          <w:rFonts w:ascii="Arial" w:hAnsi="Arial" w:cs="Arial"/>
          <w:sz w:val="20"/>
          <w:szCs w:val="20"/>
          <w:lang w:val="es-ES"/>
        </w:rPr>
        <w:lastRenderedPageBreak/>
        <w:t xml:space="preserve">sobre la base de la experiencia y las lecciones aprendidas y ayudando a las academias de P.I. a ser </w:t>
      </w:r>
      <w:r>
        <w:rPr>
          <w:rFonts w:ascii="Arial" w:hAnsi="Arial" w:cs="Arial"/>
          <w:sz w:val="20"/>
          <w:szCs w:val="20"/>
          <w:lang w:val="es-ES"/>
        </w:rPr>
        <w:t>sostenibles</w:t>
      </w:r>
      <w:r w:rsidRPr="0020084B">
        <w:rPr>
          <w:rFonts w:ascii="Arial" w:hAnsi="Arial" w:cs="Arial"/>
          <w:sz w:val="20"/>
          <w:szCs w:val="20"/>
          <w:lang w:val="es-ES"/>
        </w:rPr>
        <w:t xml:space="preserve"> e integrarse en una red de academias de P.I.</w:t>
      </w:r>
    </w:p>
    <w:p w:rsidR="00236E18" w:rsidRPr="0020084B" w:rsidRDefault="00236E18" w:rsidP="00236E18">
      <w:pPr>
        <w:pStyle w:val="ListParagraph"/>
        <w:tabs>
          <w:tab w:val="left" w:pos="1276"/>
        </w:tabs>
        <w:ind w:left="709"/>
        <w:jc w:val="both"/>
        <w:rPr>
          <w:rFonts w:ascii="Arial" w:hAnsi="Arial" w:cs="Arial"/>
          <w:sz w:val="20"/>
          <w:szCs w:val="20"/>
          <w:lang w:val="es-ES"/>
        </w:rPr>
      </w:pPr>
    </w:p>
    <w:p w:rsidR="00236E18" w:rsidRPr="0020084B" w:rsidRDefault="00236E18" w:rsidP="00236E18">
      <w:pPr>
        <w:pStyle w:val="ListParagraph"/>
        <w:numPr>
          <w:ilvl w:val="0"/>
          <w:numId w:val="23"/>
        </w:numPr>
        <w:tabs>
          <w:tab w:val="left" w:pos="1276"/>
        </w:tabs>
        <w:ind w:left="709" w:firstLine="0"/>
        <w:jc w:val="both"/>
        <w:rPr>
          <w:rFonts w:ascii="Arial" w:hAnsi="Arial" w:cs="Arial"/>
          <w:sz w:val="20"/>
          <w:szCs w:val="20"/>
          <w:lang w:val="es-ES"/>
        </w:rPr>
      </w:pPr>
      <w:r w:rsidRPr="0020084B">
        <w:rPr>
          <w:rFonts w:ascii="Arial" w:hAnsi="Arial" w:cs="Arial"/>
          <w:sz w:val="20"/>
          <w:szCs w:val="20"/>
          <w:lang w:val="es-ES"/>
        </w:rPr>
        <w:t>Programa de Enseñanza a Distancia</w:t>
      </w:r>
      <w:proofErr w:type="gramStart"/>
      <w:r w:rsidRPr="0020084B">
        <w:rPr>
          <w:rFonts w:ascii="Arial" w:hAnsi="Arial" w:cs="Arial"/>
          <w:sz w:val="20"/>
          <w:szCs w:val="20"/>
          <w:lang w:val="es-ES"/>
        </w:rPr>
        <w:t>:  En</w:t>
      </w:r>
      <w:proofErr w:type="gramEnd"/>
      <w:r w:rsidRPr="0020084B">
        <w:rPr>
          <w:rFonts w:ascii="Arial" w:hAnsi="Arial" w:cs="Arial"/>
          <w:sz w:val="20"/>
          <w:szCs w:val="20"/>
          <w:lang w:val="es-ES"/>
        </w:rPr>
        <w:t xml:space="preserve"> los cursos de enseñanza a distancia de la Academia de la OMPI participan cada año cerca de 35.000 personas de todo el mundo.  Esa participación seguirá facilitándose mediante una plataforma de inscripción y enseñanza creada a tal efecto y gracias a la disponibilidad de 17 módulos en </w:t>
      </w:r>
      <w:r>
        <w:rPr>
          <w:rFonts w:ascii="Arial" w:hAnsi="Arial" w:cs="Arial"/>
          <w:sz w:val="20"/>
          <w:szCs w:val="20"/>
          <w:lang w:val="es-ES"/>
        </w:rPr>
        <w:t>11</w:t>
      </w:r>
      <w:r w:rsidRPr="0020084B">
        <w:rPr>
          <w:rFonts w:ascii="Arial" w:hAnsi="Arial" w:cs="Arial"/>
          <w:sz w:val="20"/>
          <w:szCs w:val="20"/>
          <w:lang w:val="es-ES"/>
        </w:rPr>
        <w:t xml:space="preserve"> idiomas diferentes.  La Academia promoverá el uso de sus cursos de enseñanza a distancia como requisito previo para participar en determinadas actividades de formación especializada organizadas por varios sectores de la OMPI.</w:t>
      </w:r>
    </w:p>
    <w:p w:rsidR="00236E18" w:rsidRPr="0020084B" w:rsidRDefault="00236E18" w:rsidP="00236E18">
      <w:pPr>
        <w:pStyle w:val="ListParagraph"/>
        <w:tabs>
          <w:tab w:val="left" w:pos="1276"/>
        </w:tabs>
        <w:ind w:left="709"/>
        <w:jc w:val="both"/>
        <w:rPr>
          <w:rFonts w:ascii="Arial" w:hAnsi="Arial" w:cs="Arial"/>
          <w:sz w:val="20"/>
          <w:szCs w:val="20"/>
          <w:lang w:val="es-ES"/>
        </w:rPr>
      </w:pPr>
    </w:p>
    <w:p w:rsidR="00236E18" w:rsidRPr="0020084B" w:rsidRDefault="00236E18" w:rsidP="00236E18">
      <w:pPr>
        <w:pStyle w:val="ListParagraph"/>
        <w:numPr>
          <w:ilvl w:val="0"/>
          <w:numId w:val="23"/>
        </w:numPr>
        <w:tabs>
          <w:tab w:val="left" w:pos="1276"/>
        </w:tabs>
        <w:ind w:left="709" w:firstLine="0"/>
        <w:jc w:val="both"/>
        <w:rPr>
          <w:rFonts w:ascii="Arial" w:hAnsi="Arial" w:cs="Arial"/>
          <w:sz w:val="20"/>
          <w:szCs w:val="20"/>
          <w:lang w:val="es-ES"/>
        </w:rPr>
      </w:pPr>
      <w:r w:rsidRPr="0020084B">
        <w:rPr>
          <w:rFonts w:ascii="Arial" w:hAnsi="Arial" w:cs="Arial"/>
          <w:sz w:val="20"/>
          <w:szCs w:val="20"/>
          <w:lang w:val="es-ES"/>
        </w:rPr>
        <w:t>Programa de Instituciones Académicas</w:t>
      </w:r>
      <w:proofErr w:type="gramStart"/>
      <w:r w:rsidRPr="0020084B">
        <w:rPr>
          <w:rFonts w:ascii="Arial" w:hAnsi="Arial" w:cs="Arial"/>
          <w:sz w:val="20"/>
          <w:szCs w:val="20"/>
          <w:lang w:val="es-ES"/>
        </w:rPr>
        <w:t>:  La</w:t>
      </w:r>
      <w:proofErr w:type="gramEnd"/>
      <w:r w:rsidRPr="0020084B">
        <w:rPr>
          <w:rFonts w:ascii="Arial" w:hAnsi="Arial" w:cs="Arial"/>
          <w:sz w:val="20"/>
          <w:szCs w:val="20"/>
          <w:lang w:val="es-ES"/>
        </w:rPr>
        <w:t xml:space="preserve"> Academia de la OMPI seguirá apoyando la educación de posgrado en P.I. a través de programas de máster conjuntos.  Se pasará revista al modelo vigente a fin de que la función de la Academia evolucione desde la concesión de becas a beneficiarios individuales hacia un modelo híbrido en cuyo marco se ofrezca una gama diversa de asesoramiento y asistencia a las instituciones académicas, también a cargo de instituciones académicas de prestigio con las que la OMPI tiene lazos de colaboración estrechos y privilegiados.  Se dará prioridad a elaborar cursos y programas de P.I. nuevos y perfeccionados que estén más orientados hacia las necesidades nacionales y regionales, promover el recurso a expertos nacionales y regionales, en desarrollar capacidades y talentos a nivel local y utilizar plataformas de TIC, como la plataforma de enseñanza a distancia, para suministrar el material y la instrucción necesarios.  Se seguirá organizando un número limitado de cursos de verano con carácter rotativo, tomando en consideración factores como la contribución de los asociados, la ubicación geográfica, el equilibrio lingüístico y la viabilidad de los programas.</w:t>
      </w:r>
    </w:p>
    <w:p w:rsidR="00236E18" w:rsidRDefault="00236E18" w:rsidP="00236E18">
      <w:pPr>
        <w:pStyle w:val="ListParagraph"/>
        <w:ind w:left="0"/>
        <w:jc w:val="both"/>
        <w:rPr>
          <w:rFonts w:ascii="Arial" w:hAnsi="Arial" w:cs="Arial"/>
          <w:sz w:val="20"/>
          <w:szCs w:val="20"/>
          <w:lang w:val="es-ES"/>
        </w:rPr>
      </w:pPr>
    </w:p>
    <w:p w:rsidR="00236E18" w:rsidRPr="00B40BEB" w:rsidRDefault="00236E18" w:rsidP="00236E18">
      <w:pPr>
        <w:pStyle w:val="ListParagraph"/>
        <w:numPr>
          <w:ilvl w:val="0"/>
          <w:numId w:val="24"/>
        </w:numPr>
        <w:tabs>
          <w:tab w:val="left" w:pos="709"/>
        </w:tabs>
        <w:ind w:left="0" w:firstLine="0"/>
        <w:jc w:val="both"/>
        <w:rPr>
          <w:rFonts w:ascii="Arial" w:hAnsi="Arial" w:cs="Arial"/>
          <w:sz w:val="20"/>
          <w:szCs w:val="20"/>
          <w:lang w:val="es-ES"/>
        </w:rPr>
      </w:pPr>
      <w:r w:rsidRPr="00B40BEB">
        <w:rPr>
          <w:rFonts w:ascii="Arial" w:hAnsi="Arial" w:cs="Arial"/>
          <w:sz w:val="20"/>
          <w:szCs w:val="20"/>
          <w:lang w:val="es-ES"/>
        </w:rPr>
        <w:t xml:space="preserve">Aunque la Academia de la OMPI coopera con la mayoría de los programas de la Organización en el desarrollo y ejecución de programas </w:t>
      </w:r>
      <w:r>
        <w:rPr>
          <w:rFonts w:ascii="Arial" w:hAnsi="Arial" w:cs="Arial"/>
          <w:sz w:val="20"/>
          <w:szCs w:val="20"/>
          <w:lang w:val="es-ES"/>
        </w:rPr>
        <w:t xml:space="preserve">específicos </w:t>
      </w:r>
      <w:r w:rsidRPr="00B40BEB">
        <w:rPr>
          <w:rFonts w:ascii="Arial" w:hAnsi="Arial" w:cs="Arial"/>
          <w:sz w:val="20"/>
          <w:szCs w:val="20"/>
          <w:lang w:val="es-ES"/>
        </w:rPr>
        <w:t xml:space="preserve">de formación, en el diagrama siguiente se señalan los programas con los que la Academia mantiene vínculos </w:t>
      </w:r>
      <w:r>
        <w:rPr>
          <w:rFonts w:ascii="Arial" w:hAnsi="Arial" w:cs="Arial"/>
          <w:sz w:val="20"/>
          <w:szCs w:val="20"/>
          <w:lang w:val="es-ES"/>
        </w:rPr>
        <w:t>cotidianos</w:t>
      </w:r>
      <w:r w:rsidRPr="00B40BEB">
        <w:rPr>
          <w:rFonts w:ascii="Arial" w:hAnsi="Arial" w:cs="Arial"/>
          <w:sz w:val="20"/>
          <w:szCs w:val="20"/>
          <w:lang w:val="es-ES"/>
        </w:rPr>
        <w:t xml:space="preserve"> de cooperación.</w:t>
      </w:r>
    </w:p>
    <w:p w:rsidR="00236E18" w:rsidRPr="006A3CA4" w:rsidRDefault="00236E18" w:rsidP="00236E18">
      <w:pPr>
        <w:pStyle w:val="ListParagraph"/>
        <w:ind w:left="0"/>
        <w:jc w:val="both"/>
        <w:rPr>
          <w:rFonts w:ascii="Arial" w:hAnsi="Arial" w:cs="Arial"/>
          <w:sz w:val="20"/>
          <w:szCs w:val="20"/>
          <w:lang w:val="es-ES_tradnl"/>
        </w:rPr>
      </w:pPr>
    </w:p>
    <w:p w:rsidR="00236E18" w:rsidRPr="006A3CA4" w:rsidRDefault="00236E18" w:rsidP="00236E18">
      <w:pPr>
        <w:rPr>
          <w:lang w:val="es-ES_tradnl"/>
        </w:rPr>
      </w:pPr>
    </w:p>
    <w:p w:rsidR="00236E18" w:rsidRDefault="00236E18" w:rsidP="00236E18">
      <w:r w:rsidRPr="009B4A78">
        <w:rPr>
          <w:noProof/>
          <w:lang w:val="en-US" w:eastAsia="en-US"/>
        </w:rPr>
        <w:drawing>
          <wp:inline distT="0" distB="0" distL="0" distR="0" wp14:anchorId="3ECC2704" wp14:editId="3901A017">
            <wp:extent cx="5937663" cy="1935678"/>
            <wp:effectExtent l="57150" t="19050" r="63500" b="7620"/>
            <wp:docPr id="971" name="Diagram 9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2" r:lo="rId113" r:qs="rId114" r:cs="rId115"/>
              </a:graphicData>
            </a:graphic>
          </wp:inline>
        </w:drawing>
      </w:r>
    </w:p>
    <w:p w:rsidR="00236E18" w:rsidRPr="0020084B" w:rsidRDefault="00236E18" w:rsidP="00236E18"/>
    <w:p w:rsidR="00236E18" w:rsidRPr="0020084B" w:rsidRDefault="00236E18" w:rsidP="00236E18">
      <w:pPr>
        <w:keepNext/>
      </w:pPr>
      <w:r w:rsidRPr="0020084B">
        <w:lastRenderedPageBreak/>
        <w:t>PRINCIPALES RIESGOS Y ESTRATEGIAS DE MITIGACIÓN</w:t>
      </w:r>
    </w:p>
    <w:p w:rsidR="00236E18" w:rsidRPr="0020084B" w:rsidRDefault="00236E18" w:rsidP="00236E18">
      <w:pPr>
        <w:keepNext/>
        <w:rPr>
          <w:rFonts w:eastAsia="Times New Roman"/>
        </w:rPr>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5103"/>
      </w:tblGrid>
      <w:tr w:rsidR="00236E18" w:rsidRPr="0020084B" w:rsidTr="00294272">
        <w:trPr>
          <w:trHeight w:val="577"/>
        </w:trPr>
        <w:tc>
          <w:tcPr>
            <w:tcW w:w="4253" w:type="dxa"/>
            <w:tcBorders>
              <w:top w:val="single" w:sz="4" w:space="0" w:color="auto"/>
              <w:bottom w:val="single" w:sz="4" w:space="0" w:color="auto"/>
            </w:tcBorders>
            <w:shd w:val="clear" w:color="auto" w:fill="C6D9F1"/>
            <w:vAlign w:val="center"/>
          </w:tcPr>
          <w:p w:rsidR="00236E18" w:rsidRPr="0020084B" w:rsidRDefault="00236E18" w:rsidP="00294272">
            <w:pPr>
              <w:keepNext/>
              <w:jc w:val="center"/>
              <w:rPr>
                <w:rFonts w:eastAsia="Times New Roman"/>
                <w:b/>
                <w:bCs/>
                <w:sz w:val="18"/>
                <w:szCs w:val="18"/>
              </w:rPr>
            </w:pPr>
            <w:r w:rsidRPr="0020084B">
              <w:rPr>
                <w:rFonts w:eastAsia="Times New Roman"/>
                <w:b/>
                <w:bCs/>
                <w:sz w:val="18"/>
                <w:szCs w:val="18"/>
              </w:rPr>
              <w:t>Riesgo</w:t>
            </w:r>
          </w:p>
        </w:tc>
        <w:tc>
          <w:tcPr>
            <w:tcW w:w="5103" w:type="dxa"/>
            <w:tcBorders>
              <w:top w:val="single" w:sz="4" w:space="0" w:color="auto"/>
              <w:bottom w:val="single" w:sz="4" w:space="0" w:color="auto"/>
            </w:tcBorders>
            <w:shd w:val="clear" w:color="auto" w:fill="C6D9F1"/>
            <w:vAlign w:val="center"/>
          </w:tcPr>
          <w:p w:rsidR="00236E18" w:rsidRPr="0020084B" w:rsidRDefault="00236E18" w:rsidP="00294272">
            <w:pPr>
              <w:keepNext/>
              <w:jc w:val="center"/>
              <w:rPr>
                <w:rFonts w:eastAsia="Times New Roman"/>
                <w:b/>
                <w:bCs/>
                <w:sz w:val="18"/>
                <w:szCs w:val="18"/>
              </w:rPr>
            </w:pPr>
            <w:r w:rsidRPr="0020084B">
              <w:rPr>
                <w:rFonts w:eastAsia="Times New Roman"/>
                <w:b/>
                <w:bCs/>
                <w:sz w:val="18"/>
                <w:szCs w:val="18"/>
              </w:rPr>
              <w:t>Mitigación</w:t>
            </w:r>
          </w:p>
        </w:tc>
      </w:tr>
      <w:tr w:rsidR="00236E18" w:rsidRPr="0020084B" w:rsidTr="00294272">
        <w:trPr>
          <w:trHeight w:val="615"/>
        </w:trPr>
        <w:tc>
          <w:tcPr>
            <w:tcW w:w="4253" w:type="dxa"/>
            <w:tcBorders>
              <w:top w:val="single" w:sz="4" w:space="0" w:color="auto"/>
              <w:left w:val="single" w:sz="4" w:space="0" w:color="auto"/>
              <w:bottom w:val="nil"/>
              <w:right w:val="nil"/>
            </w:tcBorders>
            <w:shd w:val="clear" w:color="auto" w:fill="auto"/>
            <w:tcMar>
              <w:top w:w="113" w:type="dxa"/>
              <w:bottom w:w="113" w:type="dxa"/>
            </w:tcMar>
          </w:tcPr>
          <w:p w:rsidR="00236E18" w:rsidRPr="0020084B" w:rsidRDefault="00236E18" w:rsidP="00294272">
            <w:pPr>
              <w:keepNext/>
              <w:rPr>
                <w:rFonts w:ascii="Times New Roman" w:eastAsia="Times New Roman" w:hAnsi="Times New Roman" w:cs="Times New Roman"/>
                <w:sz w:val="16"/>
                <w:szCs w:val="16"/>
              </w:rPr>
            </w:pPr>
            <w:r w:rsidRPr="0020084B">
              <w:rPr>
                <w:rFonts w:eastAsia="Times New Roman"/>
                <w:sz w:val="16"/>
                <w:szCs w:val="16"/>
              </w:rPr>
              <w:t>La disminución de las contribuciones financieras de las instituciones asociadas puede repercutir en la realización de los programas de formación y en la elaboración de nuevos programas de formación.</w:t>
            </w:r>
          </w:p>
        </w:tc>
        <w:tc>
          <w:tcPr>
            <w:tcW w:w="5103" w:type="dxa"/>
            <w:tcBorders>
              <w:top w:val="single" w:sz="4" w:space="0" w:color="auto"/>
              <w:left w:val="nil"/>
              <w:bottom w:val="nil"/>
              <w:right w:val="single" w:sz="4" w:space="0" w:color="auto"/>
            </w:tcBorders>
            <w:shd w:val="clear" w:color="auto" w:fill="auto"/>
            <w:tcMar>
              <w:top w:w="113" w:type="dxa"/>
              <w:bottom w:w="113" w:type="dxa"/>
            </w:tcMar>
          </w:tcPr>
          <w:p w:rsidR="00236E18" w:rsidRPr="0020084B" w:rsidRDefault="00236E18" w:rsidP="00294272">
            <w:pPr>
              <w:keepNext/>
              <w:rPr>
                <w:rFonts w:ascii="Times New Roman" w:eastAsia="Times New Roman" w:hAnsi="Times New Roman" w:cs="Times New Roman"/>
                <w:sz w:val="16"/>
                <w:szCs w:val="16"/>
              </w:rPr>
            </w:pPr>
            <w:r w:rsidRPr="0020084B">
              <w:rPr>
                <w:rFonts w:eastAsia="Times New Roman"/>
                <w:sz w:val="16"/>
                <w:szCs w:val="16"/>
              </w:rPr>
              <w:t>Diálogo permanente con las instituciones asociadas y con instituciones que podrían llegar a ser asociadas.</w:t>
            </w:r>
          </w:p>
        </w:tc>
      </w:tr>
      <w:tr w:rsidR="00236E18" w:rsidRPr="0020084B" w:rsidTr="00294272">
        <w:trPr>
          <w:trHeight w:val="330"/>
        </w:trPr>
        <w:tc>
          <w:tcPr>
            <w:tcW w:w="4253" w:type="dxa"/>
            <w:tcBorders>
              <w:top w:val="nil"/>
              <w:left w:val="single" w:sz="4" w:space="0" w:color="auto"/>
              <w:bottom w:val="nil"/>
              <w:right w:val="nil"/>
            </w:tcBorders>
            <w:shd w:val="clear" w:color="auto" w:fill="auto"/>
            <w:tcMar>
              <w:top w:w="113" w:type="dxa"/>
              <w:bottom w:w="113" w:type="dxa"/>
            </w:tcMar>
          </w:tcPr>
          <w:p w:rsidR="00236E18" w:rsidRPr="0020084B" w:rsidRDefault="00236E18" w:rsidP="00294272">
            <w:pPr>
              <w:keepNext/>
              <w:rPr>
                <w:rFonts w:eastAsia="Times New Roman"/>
                <w:sz w:val="16"/>
                <w:szCs w:val="16"/>
              </w:rPr>
            </w:pPr>
            <w:r w:rsidRPr="0020084B">
              <w:rPr>
                <w:rFonts w:eastAsia="Times New Roman"/>
                <w:sz w:val="16"/>
                <w:szCs w:val="16"/>
              </w:rPr>
              <w:t>En un entorno tecnológico y de P.I. que cambia con gran rapidez, las expectativas y preferencias de los usuarios también evolucionan rápidamente.  La interfaz de contenido, la presentación gráfica y la plataforma informática de los cursos de enseñanza a distancia podrían quedar obsoletas.</w:t>
            </w:r>
          </w:p>
        </w:tc>
        <w:tc>
          <w:tcPr>
            <w:tcW w:w="5103" w:type="dxa"/>
            <w:tcBorders>
              <w:top w:val="nil"/>
              <w:left w:val="nil"/>
              <w:bottom w:val="nil"/>
              <w:right w:val="single" w:sz="4" w:space="0" w:color="auto"/>
            </w:tcBorders>
            <w:shd w:val="clear" w:color="auto" w:fill="auto"/>
            <w:tcMar>
              <w:top w:w="113" w:type="dxa"/>
              <w:bottom w:w="113" w:type="dxa"/>
            </w:tcMar>
          </w:tcPr>
          <w:p w:rsidR="00236E18" w:rsidRPr="0020084B" w:rsidRDefault="00236E18" w:rsidP="00294272">
            <w:pPr>
              <w:keepNext/>
              <w:rPr>
                <w:rFonts w:ascii="Times New Roman" w:eastAsia="Times New Roman" w:hAnsi="Times New Roman" w:cs="Times New Roman"/>
                <w:sz w:val="16"/>
                <w:szCs w:val="16"/>
              </w:rPr>
            </w:pPr>
            <w:r w:rsidRPr="0020084B">
              <w:rPr>
                <w:rFonts w:eastAsia="Times New Roman"/>
                <w:sz w:val="16"/>
                <w:szCs w:val="16"/>
              </w:rPr>
              <w:t>Encuestas de satisfacción de estudiantes y tutores de los cursos de enseñanza a distancia.  Contratación de expertos para examinar los cursos y modernizar las plataformas.</w:t>
            </w:r>
          </w:p>
        </w:tc>
      </w:tr>
      <w:tr w:rsidR="00236E18" w:rsidRPr="0020084B" w:rsidTr="00294272">
        <w:trPr>
          <w:trHeight w:val="466"/>
        </w:trPr>
        <w:tc>
          <w:tcPr>
            <w:tcW w:w="4253" w:type="dxa"/>
            <w:tcBorders>
              <w:top w:val="nil"/>
              <w:left w:val="single" w:sz="4" w:space="0" w:color="auto"/>
              <w:bottom w:val="single" w:sz="4" w:space="0" w:color="auto"/>
              <w:right w:val="nil"/>
            </w:tcBorders>
            <w:shd w:val="clear" w:color="auto" w:fill="auto"/>
            <w:tcMar>
              <w:top w:w="113" w:type="dxa"/>
              <w:bottom w:w="113" w:type="dxa"/>
            </w:tcMar>
          </w:tcPr>
          <w:p w:rsidR="00236E18" w:rsidRPr="0020084B" w:rsidRDefault="00236E18" w:rsidP="00294272">
            <w:pPr>
              <w:keepNext/>
              <w:rPr>
                <w:rFonts w:eastAsia="Times New Roman"/>
                <w:sz w:val="16"/>
                <w:szCs w:val="16"/>
              </w:rPr>
            </w:pPr>
            <w:r w:rsidRPr="0020084B">
              <w:rPr>
                <w:rFonts w:eastAsia="Times New Roman"/>
                <w:sz w:val="16"/>
                <w:szCs w:val="16"/>
              </w:rPr>
              <w:t>El contenido sobre P.I. de los cursos de formación de la Academia podría dejar de corresponderse con los retos y los cambios mundiales que empiezan a perfilarse en el sistema de P.I.</w:t>
            </w:r>
          </w:p>
        </w:tc>
        <w:tc>
          <w:tcPr>
            <w:tcW w:w="5103" w:type="dxa"/>
            <w:tcBorders>
              <w:top w:val="nil"/>
              <w:left w:val="nil"/>
              <w:bottom w:val="single" w:sz="4" w:space="0" w:color="auto"/>
              <w:right w:val="single" w:sz="4" w:space="0" w:color="auto"/>
            </w:tcBorders>
            <w:shd w:val="clear" w:color="auto" w:fill="auto"/>
            <w:tcMar>
              <w:top w:w="113" w:type="dxa"/>
              <w:bottom w:w="113" w:type="dxa"/>
            </w:tcMar>
          </w:tcPr>
          <w:p w:rsidR="00236E18" w:rsidRPr="0020084B" w:rsidRDefault="00236E18" w:rsidP="00294272">
            <w:pPr>
              <w:keepNext/>
              <w:rPr>
                <w:rFonts w:ascii="Times New Roman" w:eastAsia="Times New Roman" w:hAnsi="Times New Roman" w:cs="Times New Roman"/>
                <w:sz w:val="16"/>
                <w:szCs w:val="16"/>
              </w:rPr>
            </w:pPr>
            <w:r w:rsidRPr="0020084B">
              <w:rPr>
                <w:rFonts w:eastAsia="Times New Roman"/>
                <w:sz w:val="16"/>
                <w:szCs w:val="16"/>
              </w:rPr>
              <w:t>Evaluación y observaciones continuas de todas las partes interesadas en los Estados miembros y asociados, participantes, tutores y expertos que contribuyen a las actividades de la Academia de la OMPI</w:t>
            </w:r>
          </w:p>
        </w:tc>
      </w:tr>
    </w:tbl>
    <w:p w:rsidR="00236E18" w:rsidRPr="0020084B" w:rsidRDefault="00236E18" w:rsidP="00236E18">
      <w:pPr>
        <w:keepNext/>
        <w:rPr>
          <w:rFonts w:eastAsia="Times New Roman"/>
        </w:rPr>
      </w:pPr>
    </w:p>
    <w:p w:rsidR="00236E18" w:rsidRPr="0020084B" w:rsidRDefault="00236E18" w:rsidP="00236E18">
      <w:pPr>
        <w:rPr>
          <w:rFonts w:eastAsia="Times New Roman"/>
        </w:rPr>
      </w:pPr>
    </w:p>
    <w:p w:rsidR="00236E18" w:rsidRPr="0020084B" w:rsidRDefault="00236E18" w:rsidP="00236E18">
      <w:pPr>
        <w:keepNext/>
        <w:keepLines/>
        <w:rPr>
          <w:rFonts w:eastAsia="Times New Roman"/>
        </w:rPr>
      </w:pPr>
      <w:r w:rsidRPr="0020084B">
        <w:t>MARCO DE RESULTADOS</w:t>
      </w:r>
    </w:p>
    <w:p w:rsidR="00236E18" w:rsidRPr="0020084B" w:rsidRDefault="00236E18" w:rsidP="00236E18">
      <w:pPr>
        <w:keepNext/>
        <w:keepLines/>
        <w:rPr>
          <w:rFonts w:eastAsia="Times New Roman"/>
        </w:rPr>
      </w:pPr>
    </w:p>
    <w:tbl>
      <w:tblPr>
        <w:tblW w:w="9600" w:type="dxa"/>
        <w:tblInd w:w="93" w:type="dxa"/>
        <w:tblLook w:val="04A0" w:firstRow="1" w:lastRow="0" w:firstColumn="1" w:lastColumn="0" w:noHBand="0" w:noVBand="1"/>
      </w:tblPr>
      <w:tblGrid>
        <w:gridCol w:w="2600"/>
        <w:gridCol w:w="2440"/>
        <w:gridCol w:w="2340"/>
        <w:gridCol w:w="2220"/>
      </w:tblGrid>
      <w:tr w:rsidR="00236E18" w:rsidRPr="0020084B" w:rsidTr="00294272">
        <w:trPr>
          <w:trHeight w:val="570"/>
        </w:trPr>
        <w:tc>
          <w:tcPr>
            <w:tcW w:w="2600" w:type="dxa"/>
            <w:tcBorders>
              <w:top w:val="single" w:sz="4" w:space="0" w:color="auto"/>
              <w:left w:val="single" w:sz="4" w:space="0" w:color="auto"/>
              <w:bottom w:val="single" w:sz="4" w:space="0" w:color="auto"/>
              <w:right w:val="nil"/>
            </w:tcBorders>
            <w:shd w:val="clear" w:color="auto" w:fill="C6D9F1"/>
            <w:noWrap/>
            <w:vAlign w:val="center"/>
            <w:hideMark/>
          </w:tcPr>
          <w:p w:rsidR="00236E18" w:rsidRPr="0020084B" w:rsidRDefault="00236E18" w:rsidP="00294272">
            <w:pPr>
              <w:keepNext/>
              <w:keepLines/>
              <w:rPr>
                <w:rFonts w:eastAsia="Times New Roman"/>
                <w:b/>
                <w:bCs/>
                <w:sz w:val="18"/>
                <w:szCs w:val="18"/>
              </w:rPr>
            </w:pPr>
            <w:r w:rsidRPr="0020084B">
              <w:rPr>
                <w:rFonts w:eastAsia="Times New Roman"/>
                <w:b/>
                <w:bCs/>
                <w:sz w:val="18"/>
                <w:szCs w:val="18"/>
              </w:rPr>
              <w:t>Resultados previstos</w:t>
            </w:r>
          </w:p>
        </w:tc>
        <w:tc>
          <w:tcPr>
            <w:tcW w:w="2440" w:type="dxa"/>
            <w:tcBorders>
              <w:top w:val="single" w:sz="4" w:space="0" w:color="auto"/>
              <w:left w:val="nil"/>
              <w:bottom w:val="single" w:sz="4" w:space="0" w:color="auto"/>
              <w:right w:val="nil"/>
            </w:tcBorders>
            <w:shd w:val="clear" w:color="auto" w:fill="C6D9F1"/>
            <w:noWrap/>
            <w:vAlign w:val="center"/>
            <w:hideMark/>
          </w:tcPr>
          <w:p w:rsidR="00236E18" w:rsidRPr="0020084B" w:rsidRDefault="00236E18" w:rsidP="00294272">
            <w:pPr>
              <w:keepNext/>
              <w:keepLines/>
              <w:jc w:val="center"/>
              <w:rPr>
                <w:rFonts w:eastAsia="Times New Roman"/>
                <w:b/>
                <w:bCs/>
                <w:sz w:val="18"/>
                <w:szCs w:val="18"/>
              </w:rPr>
            </w:pPr>
            <w:r w:rsidRPr="0020084B">
              <w:rPr>
                <w:rFonts w:eastAsia="Times New Roman"/>
                <w:b/>
                <w:bCs/>
                <w:sz w:val="18"/>
                <w:szCs w:val="18"/>
              </w:rPr>
              <w:t>Indicadores de rendimiento</w:t>
            </w:r>
          </w:p>
        </w:tc>
        <w:tc>
          <w:tcPr>
            <w:tcW w:w="2340" w:type="dxa"/>
            <w:tcBorders>
              <w:top w:val="single" w:sz="4" w:space="0" w:color="auto"/>
              <w:left w:val="nil"/>
              <w:bottom w:val="single" w:sz="4" w:space="0" w:color="auto"/>
              <w:right w:val="nil"/>
            </w:tcBorders>
            <w:shd w:val="clear" w:color="auto" w:fill="C6D9F1"/>
            <w:noWrap/>
            <w:vAlign w:val="center"/>
            <w:hideMark/>
          </w:tcPr>
          <w:p w:rsidR="00236E18" w:rsidRPr="0020084B" w:rsidRDefault="00236E18" w:rsidP="00294272">
            <w:pPr>
              <w:keepNext/>
              <w:keepLines/>
              <w:jc w:val="center"/>
              <w:rPr>
                <w:rFonts w:eastAsia="Times New Roman"/>
                <w:b/>
                <w:bCs/>
                <w:sz w:val="18"/>
                <w:szCs w:val="18"/>
              </w:rPr>
            </w:pPr>
            <w:r w:rsidRPr="0020084B">
              <w:rPr>
                <w:rFonts w:eastAsia="Times New Roman"/>
                <w:b/>
                <w:bCs/>
                <w:sz w:val="18"/>
                <w:szCs w:val="18"/>
              </w:rPr>
              <w:t>Referencia</w:t>
            </w:r>
          </w:p>
        </w:tc>
        <w:tc>
          <w:tcPr>
            <w:tcW w:w="2220" w:type="dxa"/>
            <w:tcBorders>
              <w:top w:val="single" w:sz="4" w:space="0" w:color="auto"/>
              <w:left w:val="nil"/>
              <w:bottom w:val="single" w:sz="4" w:space="0" w:color="auto"/>
              <w:right w:val="single" w:sz="4" w:space="0" w:color="auto"/>
            </w:tcBorders>
            <w:shd w:val="clear" w:color="auto" w:fill="C6D9F1"/>
            <w:noWrap/>
            <w:vAlign w:val="center"/>
            <w:hideMark/>
          </w:tcPr>
          <w:p w:rsidR="00236E18" w:rsidRPr="0020084B" w:rsidRDefault="00236E18" w:rsidP="00294272">
            <w:pPr>
              <w:keepNext/>
              <w:keepLines/>
              <w:jc w:val="center"/>
              <w:rPr>
                <w:rFonts w:eastAsia="Times New Roman"/>
                <w:b/>
                <w:bCs/>
                <w:sz w:val="18"/>
                <w:szCs w:val="18"/>
              </w:rPr>
            </w:pPr>
            <w:r w:rsidRPr="0020084B">
              <w:rPr>
                <w:rFonts w:eastAsia="Times New Roman"/>
                <w:b/>
                <w:bCs/>
                <w:sz w:val="18"/>
                <w:szCs w:val="18"/>
              </w:rPr>
              <w:t>Objetivos</w:t>
            </w:r>
          </w:p>
        </w:tc>
      </w:tr>
      <w:tr w:rsidR="00236E18" w:rsidRPr="0020084B" w:rsidTr="00294272">
        <w:trPr>
          <w:trHeight w:val="1529"/>
        </w:trPr>
        <w:tc>
          <w:tcPr>
            <w:tcW w:w="2600" w:type="dxa"/>
            <w:tcBorders>
              <w:top w:val="nil"/>
              <w:left w:val="single" w:sz="4" w:space="0" w:color="auto"/>
              <w:bottom w:val="nil"/>
              <w:right w:val="nil"/>
            </w:tcBorders>
            <w:shd w:val="clear" w:color="000000" w:fill="FFFFFF"/>
            <w:hideMark/>
          </w:tcPr>
          <w:p w:rsidR="00236E18" w:rsidRPr="0020084B" w:rsidRDefault="00236E18" w:rsidP="00294272">
            <w:pPr>
              <w:keepNext/>
              <w:keepLines/>
              <w:rPr>
                <w:rFonts w:eastAsia="Times New Roman"/>
                <w:sz w:val="16"/>
                <w:szCs w:val="16"/>
              </w:rPr>
            </w:pPr>
            <w:r w:rsidRPr="0020084B">
              <w:rPr>
                <w:rFonts w:eastAsia="Times New Roman"/>
                <w:sz w:val="16"/>
                <w:szCs w:val="16"/>
              </w:rPr>
              <w:br/>
              <w:t xml:space="preserve">III.2. </w:t>
            </w:r>
            <w:r>
              <w:rPr>
                <w:rFonts w:eastAsia="Times New Roman"/>
                <w:sz w:val="16"/>
                <w:szCs w:val="16"/>
              </w:rPr>
              <w:t xml:space="preserve"> </w:t>
            </w:r>
            <w:r w:rsidRPr="00B40BEB">
              <w:rPr>
                <w:sz w:val="16"/>
                <w:szCs w:val="16"/>
                <w:lang w:val="es-ES_tradnl"/>
              </w:rPr>
              <w:t>Aumento de las capacidades en recursos humanos para hacer frente a la gran diversidad de exigencias que supone la utilización eficaz de la P.I. para fomentar el desarrollo en los países en desarrollo, PMA y países con economías en transición</w:t>
            </w:r>
          </w:p>
        </w:tc>
        <w:tc>
          <w:tcPr>
            <w:tcW w:w="2440" w:type="dxa"/>
            <w:tcBorders>
              <w:top w:val="nil"/>
              <w:left w:val="nil"/>
              <w:bottom w:val="nil"/>
              <w:right w:val="nil"/>
            </w:tcBorders>
            <w:shd w:val="clear" w:color="000000" w:fill="FFFFFF"/>
            <w:hideMark/>
          </w:tcPr>
          <w:p w:rsidR="00236E18" w:rsidRPr="0020084B" w:rsidRDefault="00236E18" w:rsidP="00294272">
            <w:pPr>
              <w:keepNext/>
              <w:keepLines/>
              <w:ind w:left="284" w:firstLineChars="22" w:firstLine="35"/>
              <w:rPr>
                <w:rFonts w:eastAsia="Times New Roman"/>
                <w:sz w:val="16"/>
                <w:szCs w:val="16"/>
              </w:rPr>
            </w:pPr>
            <w:r w:rsidRPr="0020084B">
              <w:rPr>
                <w:rFonts w:eastAsia="Times New Roman"/>
                <w:sz w:val="16"/>
                <w:szCs w:val="16"/>
              </w:rPr>
              <w:br/>
            </w:r>
            <w:r>
              <w:rPr>
                <w:rFonts w:eastAsia="Times New Roman"/>
                <w:sz w:val="16"/>
                <w:szCs w:val="16"/>
              </w:rPr>
              <w:t xml:space="preserve">Porcentaje </w:t>
            </w:r>
            <w:r w:rsidRPr="0020084B">
              <w:rPr>
                <w:rFonts w:eastAsia="Times New Roman"/>
                <w:sz w:val="16"/>
                <w:szCs w:val="16"/>
              </w:rPr>
              <w:t xml:space="preserve">de estudiantes y supervisores satisfechos con los programas de formación, sobre la base de evaluaciones de las necesidades de formación. </w:t>
            </w:r>
          </w:p>
        </w:tc>
        <w:tc>
          <w:tcPr>
            <w:tcW w:w="2340" w:type="dxa"/>
            <w:tcBorders>
              <w:top w:val="nil"/>
              <w:left w:val="nil"/>
              <w:bottom w:val="nil"/>
              <w:right w:val="nil"/>
            </w:tcBorders>
            <w:shd w:val="clear" w:color="000000" w:fill="FFFFFF"/>
            <w:hideMark/>
          </w:tcPr>
          <w:p w:rsidR="00236E18" w:rsidRPr="0020084B" w:rsidRDefault="00236E18" w:rsidP="00294272">
            <w:pPr>
              <w:keepNext/>
              <w:keepLines/>
              <w:ind w:left="254" w:firstLineChars="41" w:firstLine="66"/>
              <w:rPr>
                <w:rFonts w:eastAsia="Times New Roman"/>
                <w:sz w:val="16"/>
                <w:szCs w:val="16"/>
              </w:rPr>
            </w:pPr>
            <w:r w:rsidRPr="0020084B">
              <w:rPr>
                <w:rFonts w:eastAsia="Times New Roman"/>
                <w:sz w:val="16"/>
                <w:szCs w:val="16"/>
              </w:rPr>
              <w:br/>
              <w:t>No se dispone de datos.</w:t>
            </w:r>
          </w:p>
        </w:tc>
        <w:tc>
          <w:tcPr>
            <w:tcW w:w="2220" w:type="dxa"/>
            <w:tcBorders>
              <w:top w:val="nil"/>
              <w:left w:val="nil"/>
              <w:bottom w:val="nil"/>
              <w:right w:val="single" w:sz="4" w:space="0" w:color="auto"/>
            </w:tcBorders>
            <w:shd w:val="clear" w:color="000000" w:fill="FFFFFF"/>
            <w:hideMark/>
          </w:tcPr>
          <w:p w:rsidR="00236E18" w:rsidRPr="0020084B" w:rsidRDefault="00236E18" w:rsidP="00294272">
            <w:pPr>
              <w:ind w:leftChars="146" w:left="321" w:firstLine="1"/>
              <w:rPr>
                <w:rFonts w:eastAsia="Times New Roman"/>
                <w:sz w:val="16"/>
                <w:szCs w:val="16"/>
              </w:rPr>
            </w:pPr>
            <w:r w:rsidRPr="0020084B">
              <w:rPr>
                <w:rFonts w:eastAsia="Times New Roman"/>
                <w:sz w:val="16"/>
                <w:szCs w:val="16"/>
              </w:rPr>
              <w:br/>
              <w:t>70% de los encuestados.</w:t>
            </w:r>
          </w:p>
        </w:tc>
      </w:tr>
      <w:tr w:rsidR="00236E18" w:rsidRPr="0020084B" w:rsidTr="00294272">
        <w:trPr>
          <w:trHeight w:val="720"/>
        </w:trPr>
        <w:tc>
          <w:tcPr>
            <w:tcW w:w="2600" w:type="dxa"/>
            <w:tcBorders>
              <w:top w:val="nil"/>
              <w:left w:val="single" w:sz="4" w:space="0" w:color="auto"/>
              <w:bottom w:val="nil"/>
              <w:right w:val="nil"/>
            </w:tcBorders>
            <w:shd w:val="clear" w:color="000000" w:fill="FFFFFF"/>
            <w:hideMark/>
          </w:tcPr>
          <w:p w:rsidR="00236E18" w:rsidRPr="0020084B" w:rsidRDefault="00236E18" w:rsidP="00294272">
            <w:pPr>
              <w:rPr>
                <w:rFonts w:eastAsia="Times New Roman"/>
                <w:sz w:val="16"/>
                <w:szCs w:val="16"/>
              </w:rPr>
            </w:pPr>
          </w:p>
        </w:tc>
        <w:tc>
          <w:tcPr>
            <w:tcW w:w="2440" w:type="dxa"/>
            <w:tcBorders>
              <w:top w:val="nil"/>
              <w:left w:val="nil"/>
              <w:bottom w:val="nil"/>
              <w:right w:val="nil"/>
            </w:tcBorders>
            <w:shd w:val="clear" w:color="000000" w:fill="FFFFFF"/>
            <w:hideMark/>
          </w:tcPr>
          <w:p w:rsidR="00236E18" w:rsidRPr="0020084B" w:rsidRDefault="00236E18" w:rsidP="00294272">
            <w:pPr>
              <w:pStyle w:val="CommentText"/>
              <w:ind w:left="277"/>
              <w:rPr>
                <w:rFonts w:eastAsia="Times New Roman"/>
                <w:sz w:val="16"/>
                <w:szCs w:val="16"/>
              </w:rPr>
            </w:pPr>
            <w:r>
              <w:rPr>
                <w:rFonts w:eastAsia="Times New Roman"/>
                <w:sz w:val="16"/>
                <w:szCs w:val="16"/>
              </w:rPr>
              <w:t>Porcentaje</w:t>
            </w:r>
            <w:r w:rsidRPr="0020084B">
              <w:rPr>
                <w:rFonts w:eastAsia="Times New Roman"/>
                <w:sz w:val="16"/>
                <w:szCs w:val="16"/>
              </w:rPr>
              <w:t xml:space="preserve"> de participantes con mejores conocimientos y aptitudes en varios campos de la P.I.</w:t>
            </w:r>
          </w:p>
          <w:p w:rsidR="00236E18" w:rsidRPr="0020084B" w:rsidRDefault="00236E18" w:rsidP="00294272">
            <w:pPr>
              <w:pStyle w:val="CommentText"/>
              <w:ind w:left="277"/>
              <w:rPr>
                <w:rFonts w:eastAsia="Times New Roman"/>
                <w:sz w:val="16"/>
                <w:szCs w:val="16"/>
              </w:rPr>
            </w:pPr>
          </w:p>
        </w:tc>
        <w:tc>
          <w:tcPr>
            <w:tcW w:w="2340" w:type="dxa"/>
            <w:tcBorders>
              <w:top w:val="nil"/>
              <w:left w:val="nil"/>
              <w:bottom w:val="nil"/>
              <w:right w:val="nil"/>
            </w:tcBorders>
            <w:shd w:val="clear" w:color="000000" w:fill="FFFFFF"/>
            <w:hideMark/>
          </w:tcPr>
          <w:p w:rsidR="00236E18" w:rsidRPr="0020084B" w:rsidRDefault="00236E18" w:rsidP="00294272">
            <w:pPr>
              <w:ind w:firstLineChars="200" w:firstLine="320"/>
              <w:rPr>
                <w:rFonts w:eastAsia="Times New Roman"/>
                <w:sz w:val="16"/>
                <w:szCs w:val="16"/>
              </w:rPr>
            </w:pPr>
            <w:r w:rsidRPr="0020084B">
              <w:rPr>
                <w:rFonts w:eastAsia="Times New Roman"/>
                <w:sz w:val="16"/>
                <w:szCs w:val="16"/>
              </w:rPr>
              <w:t>No se dispone de datos.</w:t>
            </w:r>
          </w:p>
        </w:tc>
        <w:tc>
          <w:tcPr>
            <w:tcW w:w="2220" w:type="dxa"/>
            <w:tcBorders>
              <w:top w:val="nil"/>
              <w:left w:val="nil"/>
              <w:bottom w:val="nil"/>
              <w:right w:val="single" w:sz="4" w:space="0" w:color="auto"/>
            </w:tcBorders>
            <w:shd w:val="clear" w:color="000000" w:fill="FFFFFF"/>
            <w:hideMark/>
          </w:tcPr>
          <w:p w:rsidR="00236E18" w:rsidRPr="0020084B" w:rsidRDefault="00236E18" w:rsidP="00294272">
            <w:pPr>
              <w:ind w:leftChars="146" w:left="321" w:firstLine="1"/>
              <w:rPr>
                <w:rFonts w:eastAsia="Times New Roman"/>
                <w:sz w:val="16"/>
                <w:szCs w:val="16"/>
              </w:rPr>
            </w:pPr>
            <w:r w:rsidRPr="0020084B">
              <w:rPr>
                <w:rFonts w:eastAsia="Times New Roman"/>
                <w:sz w:val="16"/>
                <w:szCs w:val="16"/>
              </w:rPr>
              <w:t>60% de los encuestados.</w:t>
            </w:r>
          </w:p>
        </w:tc>
      </w:tr>
      <w:tr w:rsidR="00236E18" w:rsidRPr="0020084B" w:rsidTr="00294272">
        <w:trPr>
          <w:trHeight w:val="1071"/>
        </w:trPr>
        <w:tc>
          <w:tcPr>
            <w:tcW w:w="2600" w:type="dxa"/>
            <w:tcBorders>
              <w:top w:val="nil"/>
              <w:left w:val="single" w:sz="4" w:space="0" w:color="auto"/>
              <w:right w:val="nil"/>
            </w:tcBorders>
            <w:shd w:val="clear" w:color="000000" w:fill="FFFFFF"/>
            <w:hideMark/>
          </w:tcPr>
          <w:p w:rsidR="00236E18" w:rsidRPr="0020084B" w:rsidRDefault="00236E18" w:rsidP="00294272">
            <w:pPr>
              <w:rPr>
                <w:rFonts w:eastAsia="Times New Roman"/>
                <w:sz w:val="16"/>
                <w:szCs w:val="16"/>
              </w:rPr>
            </w:pPr>
          </w:p>
        </w:tc>
        <w:tc>
          <w:tcPr>
            <w:tcW w:w="2440" w:type="dxa"/>
            <w:tcBorders>
              <w:top w:val="nil"/>
              <w:left w:val="nil"/>
              <w:right w:val="nil"/>
            </w:tcBorders>
            <w:shd w:val="clear" w:color="000000" w:fill="FFFFFF"/>
            <w:hideMark/>
          </w:tcPr>
          <w:p w:rsidR="00236E18" w:rsidRDefault="00236E18" w:rsidP="00294272">
            <w:pPr>
              <w:ind w:left="284"/>
              <w:rPr>
                <w:rFonts w:eastAsia="Times New Roman"/>
                <w:sz w:val="16"/>
                <w:szCs w:val="16"/>
              </w:rPr>
            </w:pPr>
            <w:r w:rsidRPr="0020084B">
              <w:rPr>
                <w:rFonts w:eastAsia="Times New Roman"/>
                <w:sz w:val="16"/>
                <w:szCs w:val="16"/>
              </w:rPr>
              <w:t>N</w:t>
            </w:r>
            <w:r>
              <w:rPr>
                <w:rFonts w:eastAsia="Times New Roman"/>
                <w:sz w:val="16"/>
                <w:szCs w:val="16"/>
              </w:rPr>
              <w:t>º</w:t>
            </w:r>
            <w:r w:rsidRPr="0020084B">
              <w:rPr>
                <w:rFonts w:eastAsia="Times New Roman"/>
                <w:sz w:val="16"/>
                <w:szCs w:val="16"/>
              </w:rPr>
              <w:t xml:space="preserve"> de acuerdos de cooperación y asociación concertados en sintonía con las nuevas metas de la Academia</w:t>
            </w:r>
          </w:p>
          <w:p w:rsidR="00236E18" w:rsidRDefault="00236E18" w:rsidP="00294272">
            <w:pPr>
              <w:ind w:left="284"/>
              <w:rPr>
                <w:rFonts w:eastAsia="Times New Roman"/>
                <w:sz w:val="16"/>
                <w:szCs w:val="16"/>
              </w:rPr>
            </w:pPr>
          </w:p>
          <w:p w:rsidR="00236E18" w:rsidRDefault="00236E18" w:rsidP="00294272">
            <w:pPr>
              <w:ind w:left="284"/>
              <w:rPr>
                <w:rFonts w:eastAsia="Times New Roman"/>
                <w:sz w:val="16"/>
                <w:szCs w:val="16"/>
              </w:rPr>
            </w:pPr>
            <w:r w:rsidRPr="00F73395">
              <w:rPr>
                <w:rFonts w:eastAsia="Times New Roman"/>
                <w:sz w:val="16"/>
                <w:szCs w:val="16"/>
              </w:rPr>
              <w:t>Porcentaje de aumento del número de participantes que siguen los cursos de enseñanza a distancia (DL) de la Academia</w:t>
            </w:r>
          </w:p>
          <w:p w:rsidR="00236E18" w:rsidRDefault="00236E18" w:rsidP="00294272">
            <w:pPr>
              <w:spacing w:line="360" w:lineRule="auto"/>
              <w:ind w:left="284"/>
              <w:rPr>
                <w:rFonts w:eastAsia="Times New Roman"/>
                <w:sz w:val="16"/>
                <w:szCs w:val="16"/>
              </w:rPr>
            </w:pPr>
          </w:p>
          <w:p w:rsidR="00236E18" w:rsidRDefault="00236E18" w:rsidP="00294272">
            <w:pPr>
              <w:ind w:left="284"/>
              <w:rPr>
                <w:rFonts w:eastAsia="Times New Roman"/>
                <w:sz w:val="16"/>
                <w:szCs w:val="16"/>
              </w:rPr>
            </w:pPr>
            <w:r>
              <w:rPr>
                <w:rFonts w:eastAsia="Times New Roman"/>
                <w:sz w:val="16"/>
                <w:szCs w:val="16"/>
              </w:rPr>
              <w:t>Número de cursos de enseñanza a distancia que han sido analizados y actualizados</w:t>
            </w:r>
          </w:p>
          <w:p w:rsidR="00236E18" w:rsidRPr="0020084B" w:rsidRDefault="00236E18" w:rsidP="00294272">
            <w:pPr>
              <w:ind w:left="284"/>
              <w:rPr>
                <w:rFonts w:eastAsia="Times New Roman"/>
                <w:sz w:val="16"/>
                <w:szCs w:val="16"/>
              </w:rPr>
            </w:pPr>
          </w:p>
        </w:tc>
        <w:tc>
          <w:tcPr>
            <w:tcW w:w="2340" w:type="dxa"/>
            <w:tcBorders>
              <w:top w:val="nil"/>
              <w:left w:val="nil"/>
              <w:right w:val="nil"/>
            </w:tcBorders>
            <w:shd w:val="clear" w:color="000000" w:fill="FFFFFF"/>
            <w:hideMark/>
          </w:tcPr>
          <w:p w:rsidR="00236E18" w:rsidRDefault="00236E18" w:rsidP="00294272">
            <w:pPr>
              <w:ind w:firstLineChars="200" w:firstLine="320"/>
              <w:rPr>
                <w:rFonts w:eastAsia="Times New Roman"/>
                <w:sz w:val="16"/>
                <w:szCs w:val="16"/>
              </w:rPr>
            </w:pPr>
            <w:r>
              <w:rPr>
                <w:rFonts w:eastAsia="Times New Roman"/>
                <w:sz w:val="16"/>
                <w:szCs w:val="16"/>
              </w:rPr>
              <w:t>No se dispone de datos</w:t>
            </w: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r>
              <w:rPr>
                <w:rFonts w:eastAsia="Times New Roman"/>
                <w:sz w:val="16"/>
                <w:szCs w:val="16"/>
              </w:rPr>
              <w:t>35.000 (2014)</w:t>
            </w: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Pr="0020084B" w:rsidRDefault="00236E18" w:rsidP="00294272">
            <w:pPr>
              <w:ind w:firstLineChars="200" w:firstLine="320"/>
              <w:rPr>
                <w:rFonts w:eastAsia="Times New Roman"/>
                <w:sz w:val="16"/>
                <w:szCs w:val="16"/>
              </w:rPr>
            </w:pPr>
            <w:r>
              <w:rPr>
                <w:rFonts w:eastAsia="Times New Roman"/>
                <w:sz w:val="16"/>
                <w:szCs w:val="16"/>
              </w:rPr>
              <w:t>0</w:t>
            </w:r>
          </w:p>
        </w:tc>
        <w:tc>
          <w:tcPr>
            <w:tcW w:w="2220" w:type="dxa"/>
            <w:tcBorders>
              <w:top w:val="nil"/>
              <w:left w:val="nil"/>
              <w:right w:val="single" w:sz="4" w:space="0" w:color="auto"/>
            </w:tcBorders>
            <w:shd w:val="clear" w:color="000000" w:fill="FFFFFF"/>
            <w:hideMark/>
          </w:tcPr>
          <w:p w:rsidR="00236E18" w:rsidRDefault="00236E18" w:rsidP="00294272">
            <w:pPr>
              <w:ind w:firstLineChars="200" w:firstLine="320"/>
              <w:rPr>
                <w:rFonts w:eastAsia="Times New Roman"/>
                <w:sz w:val="16"/>
                <w:szCs w:val="16"/>
              </w:rPr>
            </w:pPr>
            <w:r w:rsidRPr="0020084B">
              <w:rPr>
                <w:rFonts w:eastAsia="Times New Roman"/>
                <w:sz w:val="16"/>
                <w:szCs w:val="16"/>
              </w:rPr>
              <w:t>5</w:t>
            </w: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r>
              <w:rPr>
                <w:rFonts w:eastAsia="Times New Roman"/>
                <w:sz w:val="16"/>
                <w:szCs w:val="16"/>
              </w:rPr>
              <w:t>10%</w:t>
            </w: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Default="00236E18" w:rsidP="00294272">
            <w:pPr>
              <w:ind w:firstLineChars="200" w:firstLine="320"/>
              <w:rPr>
                <w:rFonts w:eastAsia="Times New Roman"/>
                <w:sz w:val="16"/>
                <w:szCs w:val="16"/>
              </w:rPr>
            </w:pPr>
          </w:p>
          <w:p w:rsidR="00236E18" w:rsidRPr="0020084B" w:rsidRDefault="00236E18" w:rsidP="00294272">
            <w:pPr>
              <w:ind w:firstLineChars="200" w:firstLine="320"/>
              <w:rPr>
                <w:rFonts w:eastAsia="Times New Roman"/>
                <w:sz w:val="16"/>
                <w:szCs w:val="16"/>
              </w:rPr>
            </w:pPr>
            <w:r>
              <w:rPr>
                <w:rFonts w:eastAsia="Times New Roman"/>
                <w:sz w:val="16"/>
                <w:szCs w:val="16"/>
              </w:rPr>
              <w:t>4</w:t>
            </w:r>
          </w:p>
        </w:tc>
      </w:tr>
      <w:tr w:rsidR="00236E18" w:rsidRPr="0020084B" w:rsidTr="00294272">
        <w:trPr>
          <w:trHeight w:val="900"/>
        </w:trPr>
        <w:tc>
          <w:tcPr>
            <w:tcW w:w="2600" w:type="dxa"/>
            <w:tcBorders>
              <w:top w:val="nil"/>
              <w:left w:val="single" w:sz="4" w:space="0" w:color="auto"/>
              <w:bottom w:val="single" w:sz="4" w:space="0" w:color="auto"/>
              <w:right w:val="nil"/>
            </w:tcBorders>
            <w:shd w:val="clear" w:color="000000" w:fill="FFFFFF"/>
            <w:hideMark/>
          </w:tcPr>
          <w:p w:rsidR="00236E18" w:rsidRPr="0020084B" w:rsidRDefault="00236E18" w:rsidP="00294272">
            <w:pPr>
              <w:rPr>
                <w:rFonts w:eastAsia="Times New Roman"/>
                <w:sz w:val="16"/>
                <w:szCs w:val="16"/>
              </w:rPr>
            </w:pPr>
          </w:p>
        </w:tc>
        <w:tc>
          <w:tcPr>
            <w:tcW w:w="2440" w:type="dxa"/>
            <w:tcBorders>
              <w:top w:val="nil"/>
              <w:left w:val="nil"/>
              <w:bottom w:val="single" w:sz="4" w:space="0" w:color="auto"/>
              <w:right w:val="nil"/>
            </w:tcBorders>
            <w:shd w:val="clear" w:color="000000" w:fill="FFFFFF"/>
            <w:hideMark/>
          </w:tcPr>
          <w:p w:rsidR="00236E18" w:rsidRPr="0020084B" w:rsidRDefault="00236E18" w:rsidP="00294272">
            <w:pPr>
              <w:ind w:left="284"/>
              <w:rPr>
                <w:rFonts w:eastAsia="Times New Roman"/>
                <w:sz w:val="16"/>
                <w:szCs w:val="16"/>
              </w:rPr>
            </w:pPr>
            <w:r w:rsidRPr="0020084B">
              <w:rPr>
                <w:rFonts w:eastAsia="Times New Roman"/>
                <w:sz w:val="16"/>
                <w:szCs w:val="16"/>
              </w:rPr>
              <w:t>N</w:t>
            </w:r>
            <w:r>
              <w:rPr>
                <w:rFonts w:eastAsia="Times New Roman"/>
                <w:sz w:val="16"/>
                <w:szCs w:val="16"/>
              </w:rPr>
              <w:t>º</w:t>
            </w:r>
            <w:r w:rsidRPr="0020084B">
              <w:rPr>
                <w:rFonts w:eastAsia="Times New Roman"/>
                <w:sz w:val="16"/>
                <w:szCs w:val="16"/>
              </w:rPr>
              <w:t xml:space="preserve"> de academias nacionales fundadas en el marco del proyecto que han pasado a ser </w:t>
            </w:r>
            <w:r>
              <w:rPr>
                <w:rFonts w:eastAsia="Times New Roman"/>
                <w:sz w:val="16"/>
                <w:szCs w:val="16"/>
              </w:rPr>
              <w:t>sostenibles</w:t>
            </w:r>
            <w:r>
              <w:rPr>
                <w:rStyle w:val="FootnoteReference"/>
                <w:rFonts w:eastAsia="Times New Roman"/>
                <w:sz w:val="16"/>
                <w:szCs w:val="16"/>
              </w:rPr>
              <w:footnoteReference w:id="20"/>
            </w:r>
          </w:p>
        </w:tc>
        <w:tc>
          <w:tcPr>
            <w:tcW w:w="2340" w:type="dxa"/>
            <w:tcBorders>
              <w:top w:val="nil"/>
              <w:left w:val="nil"/>
              <w:bottom w:val="single" w:sz="4" w:space="0" w:color="auto"/>
              <w:right w:val="nil"/>
            </w:tcBorders>
            <w:shd w:val="clear" w:color="000000" w:fill="FFFFFF"/>
            <w:hideMark/>
          </w:tcPr>
          <w:p w:rsidR="00236E18" w:rsidRPr="0020084B" w:rsidRDefault="00236E18" w:rsidP="00294272">
            <w:pPr>
              <w:ind w:firstLineChars="200" w:firstLine="320"/>
              <w:rPr>
                <w:rFonts w:eastAsia="Times New Roman"/>
                <w:sz w:val="16"/>
                <w:szCs w:val="16"/>
              </w:rPr>
            </w:pPr>
            <w:r w:rsidRPr="0020084B">
              <w:rPr>
                <w:rFonts w:eastAsia="Times New Roman"/>
                <w:sz w:val="16"/>
                <w:szCs w:val="16"/>
              </w:rPr>
              <w:t>0</w:t>
            </w:r>
          </w:p>
        </w:tc>
        <w:tc>
          <w:tcPr>
            <w:tcW w:w="2220" w:type="dxa"/>
            <w:tcBorders>
              <w:top w:val="nil"/>
              <w:left w:val="nil"/>
              <w:bottom w:val="single" w:sz="4" w:space="0" w:color="auto"/>
              <w:right w:val="single" w:sz="4" w:space="0" w:color="auto"/>
            </w:tcBorders>
            <w:shd w:val="clear" w:color="000000" w:fill="FFFFFF"/>
            <w:hideMark/>
          </w:tcPr>
          <w:p w:rsidR="00236E18" w:rsidRPr="0020084B" w:rsidRDefault="00236E18" w:rsidP="00294272">
            <w:pPr>
              <w:ind w:firstLineChars="200" w:firstLine="320"/>
              <w:rPr>
                <w:rFonts w:eastAsia="Times New Roman"/>
                <w:sz w:val="16"/>
                <w:szCs w:val="16"/>
              </w:rPr>
            </w:pPr>
            <w:r w:rsidRPr="0020084B">
              <w:rPr>
                <w:rFonts w:eastAsia="Times New Roman"/>
                <w:sz w:val="16"/>
                <w:szCs w:val="16"/>
              </w:rPr>
              <w:t>4</w:t>
            </w:r>
          </w:p>
        </w:tc>
      </w:tr>
      <w:tr w:rsidR="00236E18" w:rsidRPr="0020084B" w:rsidTr="00294272">
        <w:trPr>
          <w:trHeight w:val="570"/>
        </w:trPr>
        <w:tc>
          <w:tcPr>
            <w:tcW w:w="2600" w:type="dxa"/>
            <w:tcBorders>
              <w:top w:val="single" w:sz="4" w:space="0" w:color="auto"/>
              <w:left w:val="single" w:sz="4" w:space="0" w:color="auto"/>
              <w:bottom w:val="single" w:sz="4" w:space="0" w:color="auto"/>
              <w:right w:val="nil"/>
            </w:tcBorders>
            <w:shd w:val="clear" w:color="auto" w:fill="C6D9F1"/>
            <w:noWrap/>
            <w:vAlign w:val="center"/>
            <w:hideMark/>
          </w:tcPr>
          <w:p w:rsidR="00236E18" w:rsidRPr="0020084B" w:rsidRDefault="00236E18" w:rsidP="00294272">
            <w:pPr>
              <w:keepNext/>
              <w:keepLines/>
              <w:rPr>
                <w:rFonts w:eastAsia="Times New Roman"/>
                <w:b/>
                <w:bCs/>
                <w:sz w:val="18"/>
                <w:szCs w:val="18"/>
              </w:rPr>
            </w:pPr>
            <w:r w:rsidRPr="0020084B">
              <w:rPr>
                <w:rFonts w:eastAsia="Times New Roman"/>
                <w:b/>
                <w:bCs/>
                <w:sz w:val="18"/>
                <w:szCs w:val="18"/>
              </w:rPr>
              <w:lastRenderedPageBreak/>
              <w:t>Resultados previstos</w:t>
            </w:r>
          </w:p>
        </w:tc>
        <w:tc>
          <w:tcPr>
            <w:tcW w:w="2440" w:type="dxa"/>
            <w:tcBorders>
              <w:top w:val="single" w:sz="4" w:space="0" w:color="auto"/>
              <w:left w:val="nil"/>
              <w:bottom w:val="single" w:sz="4" w:space="0" w:color="auto"/>
              <w:right w:val="nil"/>
            </w:tcBorders>
            <w:shd w:val="clear" w:color="auto" w:fill="C6D9F1"/>
            <w:noWrap/>
            <w:vAlign w:val="center"/>
            <w:hideMark/>
          </w:tcPr>
          <w:p w:rsidR="00236E18" w:rsidRPr="0020084B" w:rsidRDefault="00236E18" w:rsidP="00294272">
            <w:pPr>
              <w:keepNext/>
              <w:keepLines/>
              <w:jc w:val="center"/>
              <w:rPr>
                <w:rFonts w:eastAsia="Times New Roman"/>
                <w:b/>
                <w:bCs/>
                <w:sz w:val="18"/>
                <w:szCs w:val="18"/>
              </w:rPr>
            </w:pPr>
            <w:r w:rsidRPr="0020084B">
              <w:rPr>
                <w:rFonts w:eastAsia="Times New Roman"/>
                <w:b/>
                <w:bCs/>
                <w:sz w:val="18"/>
                <w:szCs w:val="18"/>
              </w:rPr>
              <w:t>Indicadores de rendimiento</w:t>
            </w:r>
          </w:p>
        </w:tc>
        <w:tc>
          <w:tcPr>
            <w:tcW w:w="2340" w:type="dxa"/>
            <w:tcBorders>
              <w:top w:val="single" w:sz="4" w:space="0" w:color="auto"/>
              <w:left w:val="nil"/>
              <w:bottom w:val="single" w:sz="4" w:space="0" w:color="auto"/>
              <w:right w:val="nil"/>
            </w:tcBorders>
            <w:shd w:val="clear" w:color="auto" w:fill="C6D9F1"/>
            <w:noWrap/>
            <w:vAlign w:val="center"/>
            <w:hideMark/>
          </w:tcPr>
          <w:p w:rsidR="00236E18" w:rsidRPr="0020084B" w:rsidRDefault="00236E18" w:rsidP="00294272">
            <w:pPr>
              <w:keepNext/>
              <w:keepLines/>
              <w:jc w:val="center"/>
              <w:rPr>
                <w:rFonts w:eastAsia="Times New Roman"/>
                <w:b/>
                <w:bCs/>
                <w:sz w:val="18"/>
                <w:szCs w:val="18"/>
              </w:rPr>
            </w:pPr>
            <w:r w:rsidRPr="0020084B">
              <w:rPr>
                <w:rFonts w:eastAsia="Times New Roman"/>
                <w:b/>
                <w:bCs/>
                <w:sz w:val="18"/>
                <w:szCs w:val="18"/>
              </w:rPr>
              <w:t>Referencia</w:t>
            </w:r>
          </w:p>
        </w:tc>
        <w:tc>
          <w:tcPr>
            <w:tcW w:w="2220" w:type="dxa"/>
            <w:tcBorders>
              <w:top w:val="single" w:sz="4" w:space="0" w:color="auto"/>
              <w:left w:val="nil"/>
              <w:bottom w:val="single" w:sz="4" w:space="0" w:color="auto"/>
              <w:right w:val="single" w:sz="4" w:space="0" w:color="auto"/>
            </w:tcBorders>
            <w:shd w:val="clear" w:color="auto" w:fill="C6D9F1"/>
            <w:noWrap/>
            <w:vAlign w:val="center"/>
            <w:hideMark/>
          </w:tcPr>
          <w:p w:rsidR="00236E18" w:rsidRPr="0020084B" w:rsidRDefault="00236E18" w:rsidP="00294272">
            <w:pPr>
              <w:keepNext/>
              <w:keepLines/>
              <w:jc w:val="center"/>
              <w:rPr>
                <w:rFonts w:eastAsia="Times New Roman"/>
                <w:b/>
                <w:bCs/>
                <w:sz w:val="18"/>
                <w:szCs w:val="18"/>
              </w:rPr>
            </w:pPr>
            <w:r w:rsidRPr="0020084B">
              <w:rPr>
                <w:rFonts w:eastAsia="Times New Roman"/>
                <w:b/>
                <w:bCs/>
                <w:sz w:val="18"/>
                <w:szCs w:val="18"/>
              </w:rPr>
              <w:t>Objetivos</w:t>
            </w:r>
          </w:p>
        </w:tc>
      </w:tr>
      <w:tr w:rsidR="00236E18" w:rsidRPr="0020084B" w:rsidTr="00294272">
        <w:trPr>
          <w:trHeight w:val="720"/>
        </w:trPr>
        <w:tc>
          <w:tcPr>
            <w:tcW w:w="2600" w:type="dxa"/>
            <w:tcBorders>
              <w:top w:val="single" w:sz="4" w:space="0" w:color="auto"/>
              <w:left w:val="single" w:sz="4" w:space="0" w:color="auto"/>
              <w:bottom w:val="nil"/>
              <w:right w:val="nil"/>
            </w:tcBorders>
            <w:shd w:val="clear" w:color="000000" w:fill="FFFFFF"/>
            <w:hideMark/>
          </w:tcPr>
          <w:p w:rsidR="00236E18" w:rsidRPr="0020084B" w:rsidRDefault="00236E18" w:rsidP="00294272">
            <w:pPr>
              <w:rPr>
                <w:rFonts w:eastAsia="Times New Roman"/>
                <w:sz w:val="16"/>
                <w:szCs w:val="16"/>
              </w:rPr>
            </w:pPr>
          </w:p>
        </w:tc>
        <w:tc>
          <w:tcPr>
            <w:tcW w:w="2440" w:type="dxa"/>
            <w:tcBorders>
              <w:top w:val="single" w:sz="4" w:space="0" w:color="auto"/>
              <w:left w:val="nil"/>
              <w:bottom w:val="nil"/>
              <w:right w:val="nil"/>
            </w:tcBorders>
            <w:shd w:val="clear" w:color="000000" w:fill="FFFFFF"/>
            <w:hideMark/>
          </w:tcPr>
          <w:p w:rsidR="00236E18" w:rsidRPr="0020084B" w:rsidRDefault="00236E18" w:rsidP="00294272">
            <w:pPr>
              <w:ind w:left="284"/>
              <w:rPr>
                <w:rFonts w:eastAsia="Times New Roman"/>
                <w:sz w:val="16"/>
                <w:szCs w:val="16"/>
              </w:rPr>
            </w:pPr>
            <w:r w:rsidRPr="0020084B">
              <w:rPr>
                <w:rFonts w:eastAsia="Times New Roman"/>
                <w:sz w:val="16"/>
                <w:szCs w:val="16"/>
              </w:rPr>
              <w:t>Cursos y programas de P.I. nuevos y perfeccionados en instituciones docentes</w:t>
            </w:r>
          </w:p>
          <w:p w:rsidR="00236E18" w:rsidRPr="0020084B" w:rsidRDefault="00236E18" w:rsidP="00294272">
            <w:pPr>
              <w:ind w:left="284"/>
              <w:rPr>
                <w:rFonts w:eastAsia="Times New Roman"/>
                <w:sz w:val="16"/>
                <w:szCs w:val="16"/>
              </w:rPr>
            </w:pPr>
          </w:p>
        </w:tc>
        <w:tc>
          <w:tcPr>
            <w:tcW w:w="2340" w:type="dxa"/>
            <w:tcBorders>
              <w:top w:val="single" w:sz="4" w:space="0" w:color="auto"/>
              <w:left w:val="nil"/>
              <w:bottom w:val="nil"/>
              <w:right w:val="nil"/>
            </w:tcBorders>
            <w:shd w:val="clear" w:color="000000" w:fill="FFFFFF"/>
            <w:hideMark/>
          </w:tcPr>
          <w:p w:rsidR="00236E18" w:rsidRPr="0020084B" w:rsidRDefault="00236E18" w:rsidP="00294272">
            <w:pPr>
              <w:ind w:firstLineChars="200" w:firstLine="320"/>
              <w:rPr>
                <w:rFonts w:eastAsia="Times New Roman"/>
                <w:sz w:val="16"/>
                <w:szCs w:val="16"/>
              </w:rPr>
            </w:pPr>
            <w:r w:rsidRPr="0020084B">
              <w:rPr>
                <w:rFonts w:eastAsia="Times New Roman"/>
                <w:sz w:val="16"/>
                <w:szCs w:val="16"/>
              </w:rPr>
              <w:t>5</w:t>
            </w:r>
          </w:p>
        </w:tc>
        <w:tc>
          <w:tcPr>
            <w:tcW w:w="2220" w:type="dxa"/>
            <w:tcBorders>
              <w:top w:val="single" w:sz="4" w:space="0" w:color="auto"/>
              <w:left w:val="nil"/>
              <w:bottom w:val="nil"/>
              <w:right w:val="single" w:sz="4" w:space="0" w:color="auto"/>
            </w:tcBorders>
            <w:shd w:val="clear" w:color="000000" w:fill="FFFFFF"/>
            <w:hideMark/>
          </w:tcPr>
          <w:p w:rsidR="00236E18" w:rsidRPr="0020084B" w:rsidRDefault="00236E18" w:rsidP="00294272">
            <w:pPr>
              <w:ind w:firstLineChars="200" w:firstLine="320"/>
              <w:rPr>
                <w:rFonts w:eastAsia="Times New Roman"/>
                <w:sz w:val="16"/>
                <w:szCs w:val="16"/>
              </w:rPr>
            </w:pPr>
            <w:r w:rsidRPr="0020084B">
              <w:rPr>
                <w:rFonts w:eastAsia="Times New Roman"/>
                <w:sz w:val="16"/>
                <w:szCs w:val="16"/>
              </w:rPr>
              <w:t>Aumento del 20%.</w:t>
            </w:r>
          </w:p>
        </w:tc>
      </w:tr>
      <w:tr w:rsidR="00236E18" w:rsidRPr="0020084B" w:rsidTr="00294272">
        <w:trPr>
          <w:trHeight w:val="630"/>
        </w:trPr>
        <w:tc>
          <w:tcPr>
            <w:tcW w:w="2600" w:type="dxa"/>
            <w:tcBorders>
              <w:top w:val="nil"/>
              <w:left w:val="single" w:sz="4" w:space="0" w:color="auto"/>
              <w:bottom w:val="single" w:sz="4" w:space="0" w:color="auto"/>
              <w:right w:val="nil"/>
            </w:tcBorders>
            <w:shd w:val="clear" w:color="000000" w:fill="FFFFFF"/>
            <w:hideMark/>
          </w:tcPr>
          <w:p w:rsidR="00236E18" w:rsidRPr="0020084B" w:rsidRDefault="00236E18" w:rsidP="00294272">
            <w:pPr>
              <w:rPr>
                <w:rFonts w:eastAsia="Times New Roman"/>
                <w:sz w:val="16"/>
                <w:szCs w:val="16"/>
              </w:rPr>
            </w:pPr>
            <w:r w:rsidRPr="0020084B">
              <w:rPr>
                <w:rFonts w:eastAsia="Times New Roman"/>
                <w:sz w:val="16"/>
                <w:szCs w:val="16"/>
              </w:rPr>
              <w:t> </w:t>
            </w:r>
          </w:p>
        </w:tc>
        <w:tc>
          <w:tcPr>
            <w:tcW w:w="2440" w:type="dxa"/>
            <w:tcBorders>
              <w:top w:val="nil"/>
              <w:left w:val="nil"/>
              <w:bottom w:val="single" w:sz="4" w:space="0" w:color="auto"/>
              <w:right w:val="nil"/>
            </w:tcBorders>
            <w:shd w:val="clear" w:color="000000" w:fill="FFFFFF"/>
            <w:hideMark/>
          </w:tcPr>
          <w:p w:rsidR="00236E18" w:rsidRPr="0020084B" w:rsidRDefault="00236E18" w:rsidP="00294272">
            <w:pPr>
              <w:ind w:left="284"/>
              <w:rPr>
                <w:rFonts w:eastAsia="Times New Roman"/>
                <w:sz w:val="16"/>
                <w:szCs w:val="16"/>
              </w:rPr>
            </w:pPr>
            <w:r w:rsidRPr="0020084B">
              <w:rPr>
                <w:rFonts w:eastAsia="Times New Roman"/>
                <w:sz w:val="16"/>
                <w:szCs w:val="16"/>
              </w:rPr>
              <w:t>Distribución geográfica más equilibrada en los cursos de verano</w:t>
            </w:r>
          </w:p>
        </w:tc>
        <w:tc>
          <w:tcPr>
            <w:tcW w:w="2340" w:type="dxa"/>
            <w:tcBorders>
              <w:top w:val="nil"/>
              <w:left w:val="nil"/>
              <w:bottom w:val="single" w:sz="4" w:space="0" w:color="auto"/>
              <w:right w:val="nil"/>
            </w:tcBorders>
            <w:shd w:val="clear" w:color="000000" w:fill="FFFFFF"/>
            <w:hideMark/>
          </w:tcPr>
          <w:p w:rsidR="00236E18" w:rsidRPr="0020084B" w:rsidRDefault="00236E18" w:rsidP="00294272">
            <w:pPr>
              <w:ind w:firstLineChars="200" w:firstLine="320"/>
              <w:rPr>
                <w:rFonts w:eastAsia="Times New Roman"/>
                <w:sz w:val="16"/>
                <w:szCs w:val="16"/>
              </w:rPr>
            </w:pPr>
            <w:r w:rsidRPr="0020084B">
              <w:rPr>
                <w:rFonts w:eastAsia="Times New Roman"/>
                <w:sz w:val="16"/>
                <w:szCs w:val="16"/>
              </w:rPr>
              <w:t>6 regiones</w:t>
            </w:r>
          </w:p>
        </w:tc>
        <w:tc>
          <w:tcPr>
            <w:tcW w:w="2220" w:type="dxa"/>
            <w:tcBorders>
              <w:top w:val="nil"/>
              <w:left w:val="nil"/>
              <w:bottom w:val="single" w:sz="4" w:space="0" w:color="auto"/>
              <w:right w:val="single" w:sz="4" w:space="0" w:color="auto"/>
            </w:tcBorders>
            <w:shd w:val="clear" w:color="000000" w:fill="FFFFFF"/>
            <w:hideMark/>
          </w:tcPr>
          <w:p w:rsidR="00236E18" w:rsidRPr="0020084B" w:rsidRDefault="00236E18" w:rsidP="00294272">
            <w:pPr>
              <w:ind w:firstLineChars="200" w:firstLine="320"/>
              <w:rPr>
                <w:rFonts w:eastAsia="Times New Roman"/>
                <w:sz w:val="16"/>
                <w:szCs w:val="16"/>
              </w:rPr>
            </w:pPr>
            <w:r w:rsidRPr="0020084B">
              <w:rPr>
                <w:rFonts w:eastAsia="Times New Roman"/>
                <w:sz w:val="16"/>
                <w:szCs w:val="16"/>
              </w:rPr>
              <w:t>7 regiones</w:t>
            </w:r>
          </w:p>
        </w:tc>
      </w:tr>
    </w:tbl>
    <w:p w:rsidR="00236E18" w:rsidRPr="0020084B" w:rsidRDefault="00236E18" w:rsidP="00236E18">
      <w:pPr>
        <w:rPr>
          <w:rFonts w:eastAsia="Times New Roman"/>
          <w:sz w:val="20"/>
        </w:rPr>
      </w:pPr>
    </w:p>
    <w:p w:rsidR="00236E18" w:rsidRPr="0020084B" w:rsidRDefault="00236E18" w:rsidP="00236E18">
      <w:pPr>
        <w:rPr>
          <w:sz w:val="20"/>
        </w:rPr>
      </w:pPr>
    </w:p>
    <w:p w:rsidR="00236E18" w:rsidRPr="00736AC4" w:rsidRDefault="00236E18" w:rsidP="00236E18">
      <w:r w:rsidRPr="00736AC4">
        <w:t>RECURSOS PARA EL PROGRAMA 11</w:t>
      </w:r>
    </w:p>
    <w:p w:rsidR="00236E18" w:rsidRPr="00736AC4" w:rsidRDefault="00236E18" w:rsidP="00236E18"/>
    <w:p w:rsidR="00236E18" w:rsidRPr="00736AC4" w:rsidRDefault="00236E18" w:rsidP="00236E18">
      <w:pPr>
        <w:pStyle w:val="Salutation"/>
        <w:numPr>
          <w:ilvl w:val="0"/>
          <w:numId w:val="24"/>
        </w:numPr>
        <w:tabs>
          <w:tab w:val="left" w:pos="709"/>
        </w:tabs>
        <w:ind w:left="0" w:firstLine="0"/>
        <w:contextualSpacing/>
        <w:jc w:val="both"/>
        <w:rPr>
          <w:sz w:val="20"/>
        </w:rPr>
      </w:pPr>
      <w:r w:rsidRPr="00EB43D0">
        <w:rPr>
          <w:sz w:val="20"/>
          <w:lang w:val="es-ES_tradnl"/>
        </w:rPr>
        <w:t>L</w:t>
      </w:r>
      <w:r>
        <w:rPr>
          <w:sz w:val="20"/>
          <w:lang w:val="es-ES_tradnl"/>
        </w:rPr>
        <w:t>a dotación global de</w:t>
      </w:r>
      <w:r w:rsidRPr="00EB43D0">
        <w:rPr>
          <w:sz w:val="20"/>
          <w:lang w:val="es-ES_tradnl"/>
        </w:rPr>
        <w:t xml:space="preserve"> recursos </w:t>
      </w:r>
      <w:r>
        <w:rPr>
          <w:sz w:val="20"/>
          <w:lang w:val="es-ES_tradnl"/>
        </w:rPr>
        <w:t xml:space="preserve">para </w:t>
      </w:r>
      <w:r w:rsidRPr="00EB43D0">
        <w:rPr>
          <w:sz w:val="20"/>
          <w:lang w:val="es-ES_tradnl"/>
        </w:rPr>
        <w:t>el programa 11 aumenta en un 13,9% en 2016/17 con respecto al presupuesto de 2014/</w:t>
      </w:r>
      <w:r>
        <w:rPr>
          <w:sz w:val="20"/>
          <w:lang w:val="es-ES_tradnl"/>
        </w:rPr>
        <w:t>15 tras las</w:t>
      </w:r>
      <w:r w:rsidRPr="00EB43D0">
        <w:rPr>
          <w:sz w:val="20"/>
          <w:lang w:val="es-ES_tradnl"/>
        </w:rPr>
        <w:t xml:space="preserve"> transferencias.  Ese aumento se debe esencialmente a</w:t>
      </w:r>
      <w:proofErr w:type="gramStart"/>
      <w:r w:rsidRPr="00EB43D0">
        <w:rPr>
          <w:sz w:val="20"/>
          <w:lang w:val="es-ES_tradnl"/>
        </w:rPr>
        <w:t>:  i</w:t>
      </w:r>
      <w:proofErr w:type="gramEnd"/>
      <w:r w:rsidRPr="00EB43D0">
        <w:rPr>
          <w:sz w:val="20"/>
          <w:lang w:val="es-ES_tradnl"/>
        </w:rPr>
        <w:t xml:space="preserve">) la redistribución interna de los recursos a la Academia de la OMPI para apoyar el proceso de reforma en curso, y ii) la asignación presupuestaria para el nuevo proyecto de la A.D. “Cooperación con los institutos de capacitación judicial en los países en desarrollo y los PMA”. </w:t>
      </w:r>
      <w:r w:rsidRPr="00736AC4">
        <w:rPr>
          <w:sz w:val="20"/>
        </w:rPr>
        <w:t xml:space="preserve">  </w:t>
      </w:r>
    </w:p>
    <w:p w:rsidR="00236E18" w:rsidRPr="00736AC4" w:rsidRDefault="00236E18" w:rsidP="00236E18">
      <w:pPr>
        <w:autoSpaceDE w:val="0"/>
        <w:autoSpaceDN w:val="0"/>
        <w:rPr>
          <w:sz w:val="20"/>
        </w:rPr>
      </w:pPr>
    </w:p>
    <w:p w:rsidR="00236E18" w:rsidRPr="00736AC4" w:rsidRDefault="00236E18" w:rsidP="00236E18">
      <w:pPr>
        <w:autoSpaceDE w:val="0"/>
        <w:autoSpaceDN w:val="0"/>
        <w:rPr>
          <w:sz w:val="20"/>
        </w:rPr>
      </w:pPr>
    </w:p>
    <w:p w:rsidR="00236E18" w:rsidRPr="00736AC4" w:rsidRDefault="00236E18" w:rsidP="00236E18">
      <w:pPr>
        <w:keepNext/>
        <w:keepLines/>
        <w:autoSpaceDE w:val="0"/>
        <w:autoSpaceDN w:val="0"/>
        <w:jc w:val="center"/>
        <w:rPr>
          <w:b/>
          <w:sz w:val="20"/>
        </w:rPr>
      </w:pPr>
      <w:r w:rsidRPr="00736AC4">
        <w:rPr>
          <w:b/>
          <w:sz w:val="20"/>
        </w:rPr>
        <w:t>Programa 11</w:t>
      </w:r>
      <w:proofErr w:type="gramStart"/>
      <w:r w:rsidRPr="00736AC4">
        <w:rPr>
          <w:b/>
          <w:sz w:val="20"/>
        </w:rPr>
        <w:t>:  Recursos</w:t>
      </w:r>
      <w:proofErr w:type="gramEnd"/>
      <w:r w:rsidRPr="00736AC4">
        <w:rPr>
          <w:b/>
          <w:sz w:val="20"/>
        </w:rPr>
        <w:t xml:space="preserve"> por resultado</w:t>
      </w:r>
    </w:p>
    <w:p w:rsidR="00236E18" w:rsidRPr="00736AC4" w:rsidRDefault="00236E18" w:rsidP="00236E18">
      <w:pPr>
        <w:keepNext/>
        <w:keepLines/>
        <w:autoSpaceDE w:val="0"/>
        <w:autoSpaceDN w:val="0"/>
        <w:jc w:val="center"/>
        <w:rPr>
          <w:i/>
          <w:sz w:val="20"/>
          <w:lang w:val="es-ES_tradnl"/>
        </w:rPr>
      </w:pPr>
      <w:r w:rsidRPr="00736AC4">
        <w:rPr>
          <w:i/>
          <w:sz w:val="20"/>
          <w:lang w:val="es-ES_tradnl"/>
        </w:rPr>
        <w:t>(</w:t>
      </w:r>
      <w:proofErr w:type="gramStart"/>
      <w:r w:rsidRPr="00736AC4">
        <w:rPr>
          <w:i/>
          <w:sz w:val="20"/>
          <w:lang w:val="es-ES_tradnl"/>
        </w:rPr>
        <w:t>en</w:t>
      </w:r>
      <w:proofErr w:type="gramEnd"/>
      <w:r w:rsidRPr="00736AC4">
        <w:rPr>
          <w:i/>
          <w:sz w:val="20"/>
          <w:lang w:val="es-ES_tradnl"/>
        </w:rPr>
        <w:t xml:space="preserve"> miles de francos suizos)</w:t>
      </w:r>
    </w:p>
    <w:p w:rsidR="00236E18" w:rsidRPr="00736AC4" w:rsidRDefault="00236E18" w:rsidP="00236E18">
      <w:pPr>
        <w:keepNext/>
        <w:keepLines/>
        <w:autoSpaceDE w:val="0"/>
        <w:autoSpaceDN w:val="0"/>
        <w:jc w:val="center"/>
        <w:rPr>
          <w:i/>
          <w:sz w:val="20"/>
          <w:lang w:val="es-ES_tradnl"/>
        </w:rPr>
      </w:pPr>
    </w:p>
    <w:p w:rsidR="00236E18" w:rsidRPr="009B4A78" w:rsidRDefault="00236E18" w:rsidP="00236E18">
      <w:pPr>
        <w:keepNext/>
        <w:keepLines/>
        <w:autoSpaceDE w:val="0"/>
        <w:autoSpaceDN w:val="0"/>
        <w:jc w:val="center"/>
        <w:rPr>
          <w:i/>
          <w:sz w:val="20"/>
        </w:rPr>
      </w:pPr>
      <w:r w:rsidRPr="00B40BEB">
        <w:rPr>
          <w:noProof/>
          <w:lang w:val="en-US" w:eastAsia="en-US"/>
        </w:rPr>
        <w:drawing>
          <wp:inline distT="0" distB="0" distL="0" distR="0" wp14:anchorId="2DBE6944" wp14:editId="7CD92772">
            <wp:extent cx="5676900" cy="1485265"/>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676900" cy="1485265"/>
                    </a:xfrm>
                    <a:prstGeom prst="rect">
                      <a:avLst/>
                    </a:prstGeom>
                    <a:noFill/>
                    <a:ln>
                      <a:noFill/>
                    </a:ln>
                  </pic:spPr>
                </pic:pic>
              </a:graphicData>
            </a:graphic>
          </wp:inline>
        </w:drawing>
      </w:r>
    </w:p>
    <w:p w:rsidR="00236E18" w:rsidRPr="009B4A78" w:rsidRDefault="00236E18" w:rsidP="00236E18">
      <w:pPr>
        <w:autoSpaceDE w:val="0"/>
        <w:autoSpaceDN w:val="0"/>
        <w:rPr>
          <w:i/>
          <w:sz w:val="20"/>
        </w:rPr>
      </w:pPr>
    </w:p>
    <w:p w:rsidR="00236E18" w:rsidRPr="009B4A78" w:rsidRDefault="00236E18" w:rsidP="00236E18">
      <w:pPr>
        <w:autoSpaceDE w:val="0"/>
        <w:autoSpaceDN w:val="0"/>
        <w:rPr>
          <w:i/>
          <w:sz w:val="20"/>
        </w:rPr>
      </w:pPr>
    </w:p>
    <w:p w:rsidR="00236E18" w:rsidRDefault="00236E18" w:rsidP="00236E18">
      <w:pPr>
        <w:rPr>
          <w:b/>
          <w:sz w:val="20"/>
          <w:lang w:val="en-US"/>
        </w:rPr>
      </w:pPr>
      <w:r>
        <w:rPr>
          <w:b/>
          <w:sz w:val="20"/>
          <w:lang w:val="en-US"/>
        </w:rPr>
        <w:br w:type="page"/>
      </w:r>
    </w:p>
    <w:p w:rsidR="00236E18" w:rsidRPr="0052708D" w:rsidRDefault="00236E18" w:rsidP="00236E18">
      <w:pPr>
        <w:keepNext/>
        <w:keepLines/>
        <w:autoSpaceDE w:val="0"/>
        <w:autoSpaceDN w:val="0"/>
        <w:jc w:val="center"/>
        <w:rPr>
          <w:b/>
          <w:sz w:val="20"/>
          <w:lang w:val="es-ES_tradnl"/>
        </w:rPr>
      </w:pPr>
      <w:r w:rsidRPr="0052708D">
        <w:rPr>
          <w:b/>
          <w:sz w:val="20"/>
          <w:lang w:val="es-ES_tradnl"/>
        </w:rPr>
        <w:lastRenderedPageBreak/>
        <w:t>Programa 11</w:t>
      </w:r>
      <w:proofErr w:type="gramStart"/>
      <w:r w:rsidRPr="0052708D">
        <w:rPr>
          <w:b/>
          <w:sz w:val="20"/>
          <w:lang w:val="es-ES_tradnl"/>
        </w:rPr>
        <w:t>:  Recursos</w:t>
      </w:r>
      <w:proofErr w:type="gramEnd"/>
      <w:r w:rsidRPr="0052708D">
        <w:rPr>
          <w:b/>
          <w:sz w:val="20"/>
          <w:lang w:val="es-ES_tradnl"/>
        </w:rPr>
        <w:t xml:space="preserve"> por objeto de gasto</w:t>
      </w:r>
    </w:p>
    <w:p w:rsidR="00236E18" w:rsidRPr="0052708D" w:rsidRDefault="00236E18" w:rsidP="00236E18">
      <w:pPr>
        <w:autoSpaceDE w:val="0"/>
        <w:autoSpaceDN w:val="0"/>
        <w:jc w:val="center"/>
        <w:rPr>
          <w:i/>
          <w:sz w:val="20"/>
          <w:lang w:val="es-ES_tradnl"/>
        </w:rPr>
      </w:pPr>
      <w:r w:rsidRPr="0052708D">
        <w:rPr>
          <w:i/>
          <w:sz w:val="20"/>
          <w:lang w:val="es-ES_tradnl"/>
        </w:rPr>
        <w:t>(</w:t>
      </w:r>
      <w:proofErr w:type="gramStart"/>
      <w:r w:rsidRPr="0052708D">
        <w:rPr>
          <w:i/>
          <w:sz w:val="20"/>
          <w:lang w:val="es-ES_tradnl"/>
        </w:rPr>
        <w:t>en</w:t>
      </w:r>
      <w:proofErr w:type="gramEnd"/>
      <w:r w:rsidRPr="0052708D">
        <w:rPr>
          <w:i/>
          <w:sz w:val="20"/>
          <w:lang w:val="es-ES_tradnl"/>
        </w:rPr>
        <w:t xml:space="preserve"> miles de francos suizos)</w:t>
      </w:r>
    </w:p>
    <w:p w:rsidR="00236E18" w:rsidRPr="0052708D" w:rsidRDefault="00236E18" w:rsidP="00236E18">
      <w:pPr>
        <w:autoSpaceDE w:val="0"/>
        <w:autoSpaceDN w:val="0"/>
        <w:jc w:val="center"/>
        <w:rPr>
          <w:i/>
          <w:sz w:val="20"/>
          <w:lang w:val="es-ES_tradnl"/>
        </w:rPr>
      </w:pPr>
    </w:p>
    <w:p w:rsidR="00236E18" w:rsidRPr="009B4A78" w:rsidRDefault="00236E18" w:rsidP="00236E18">
      <w:pPr>
        <w:jc w:val="center"/>
      </w:pPr>
      <w:r>
        <w:rPr>
          <w:noProof/>
          <w:lang w:val="en-US" w:eastAsia="en-US"/>
        </w:rPr>
        <w:drawing>
          <wp:inline distT="0" distB="0" distL="0" distR="0" wp14:anchorId="47E117AE" wp14:editId="21564880">
            <wp:extent cx="5940425" cy="6616339"/>
            <wp:effectExtent l="0" t="0" r="3175" b="0"/>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940425" cy="6616339"/>
                    </a:xfrm>
                    <a:prstGeom prst="rect">
                      <a:avLst/>
                    </a:prstGeom>
                    <a:noFill/>
                    <a:ln>
                      <a:noFill/>
                    </a:ln>
                  </pic:spPr>
                </pic:pic>
              </a:graphicData>
            </a:graphic>
          </wp:inline>
        </w:drawing>
      </w:r>
    </w:p>
    <w:p w:rsidR="00236E18" w:rsidRDefault="00236E18" w:rsidP="00236E18">
      <w:pPr>
        <w:jc w:val="center"/>
      </w:pPr>
    </w:p>
    <w:p w:rsidR="00236E18" w:rsidRPr="00ED4DE9" w:rsidRDefault="00236E18" w:rsidP="00236E18">
      <w:pPr>
        <w:keepNext/>
        <w:keepLines/>
        <w:jc w:val="center"/>
        <w:rPr>
          <w:b/>
          <w:sz w:val="20"/>
        </w:rPr>
      </w:pPr>
      <w:r>
        <w:rPr>
          <w:b/>
          <w:sz w:val="20"/>
        </w:rPr>
        <w:lastRenderedPageBreak/>
        <w:t>Recursos de fondos fiduciarios disponibles potencialmente para su utilización</w:t>
      </w:r>
      <w:r w:rsidRPr="00ED4DE9">
        <w:rPr>
          <w:b/>
          <w:sz w:val="20"/>
        </w:rPr>
        <w:t xml:space="preserve"> 2016/17</w:t>
      </w:r>
      <w:r>
        <w:rPr>
          <w:b/>
          <w:sz w:val="20"/>
        </w:rPr>
        <w:br/>
      </w:r>
      <w:r w:rsidRPr="00ED4DE9">
        <w:rPr>
          <w:b/>
          <w:sz w:val="20"/>
        </w:rPr>
        <w:t>(</w:t>
      </w:r>
      <w:r>
        <w:rPr>
          <w:b/>
          <w:sz w:val="20"/>
        </w:rPr>
        <w:t>POR</w:t>
      </w:r>
      <w:r w:rsidRPr="00ED4DE9">
        <w:rPr>
          <w:b/>
          <w:sz w:val="20"/>
        </w:rPr>
        <w:t xml:space="preserve"> PROGRAM</w:t>
      </w:r>
      <w:r>
        <w:rPr>
          <w:b/>
          <w:sz w:val="20"/>
        </w:rPr>
        <w:t>A</w:t>
      </w:r>
      <w:r w:rsidRPr="00ED4DE9">
        <w:rPr>
          <w:b/>
          <w:sz w:val="20"/>
        </w:rPr>
        <w:t>)</w:t>
      </w:r>
      <w:r w:rsidRPr="00ED4DE9">
        <w:rPr>
          <w:sz w:val="20"/>
          <w:vertAlign w:val="superscript"/>
        </w:rPr>
        <w:t>1</w:t>
      </w:r>
    </w:p>
    <w:p w:rsidR="00236E18" w:rsidRPr="00ED4DE9" w:rsidRDefault="00236E18" w:rsidP="00236E18">
      <w:pPr>
        <w:keepNext/>
        <w:keepLines/>
        <w:jc w:val="center"/>
        <w:rPr>
          <w:i/>
          <w:sz w:val="20"/>
        </w:rPr>
      </w:pPr>
      <w:r w:rsidRPr="00ED4DE9">
        <w:rPr>
          <w:i/>
          <w:sz w:val="20"/>
        </w:rPr>
        <w:t>(</w:t>
      </w:r>
      <w:proofErr w:type="gramStart"/>
      <w:r>
        <w:rPr>
          <w:i/>
          <w:sz w:val="20"/>
        </w:rPr>
        <w:t>en</w:t>
      </w:r>
      <w:proofErr w:type="gramEnd"/>
      <w:r>
        <w:rPr>
          <w:i/>
          <w:sz w:val="20"/>
        </w:rPr>
        <w:t xml:space="preserve"> miles de francos suizos</w:t>
      </w:r>
      <w:r w:rsidRPr="00ED4DE9">
        <w:rPr>
          <w:i/>
          <w:sz w:val="20"/>
        </w:rPr>
        <w:t>)</w:t>
      </w:r>
    </w:p>
    <w:p w:rsidR="00236E18" w:rsidRPr="00042939" w:rsidRDefault="00236E18" w:rsidP="00236E18">
      <w:pPr>
        <w:keepNext/>
        <w:keepLines/>
        <w:jc w:val="center"/>
        <w:rPr>
          <w:i/>
          <w:sz w:val="20"/>
          <w:highlight w:val="lightGray"/>
        </w:rPr>
      </w:pPr>
    </w:p>
    <w:p w:rsidR="00236E18" w:rsidRPr="00983325" w:rsidRDefault="00236E18" w:rsidP="00236E18">
      <w:pPr>
        <w:keepNext/>
        <w:keepLines/>
        <w:spacing w:after="60"/>
        <w:rPr>
          <w:sz w:val="20"/>
          <w:szCs w:val="16"/>
          <w:highlight w:val="lightGray"/>
          <w:vertAlign w:val="superscript"/>
        </w:rPr>
      </w:pPr>
      <w:r w:rsidRPr="00DA0A15">
        <w:rPr>
          <w:noProof/>
          <w:lang w:val="en-US" w:eastAsia="en-US"/>
        </w:rPr>
        <w:drawing>
          <wp:inline distT="0" distB="0" distL="0" distR="0" wp14:anchorId="350B0263" wp14:editId="026770C7">
            <wp:extent cx="5940425" cy="883384"/>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40425" cy="883384"/>
                    </a:xfrm>
                    <a:prstGeom prst="rect">
                      <a:avLst/>
                    </a:prstGeom>
                    <a:noFill/>
                    <a:ln>
                      <a:noFill/>
                    </a:ln>
                  </pic:spPr>
                </pic:pic>
              </a:graphicData>
            </a:graphic>
          </wp:inline>
        </w:drawing>
      </w:r>
    </w:p>
    <w:p w:rsidR="00236E18" w:rsidRPr="00ED4DE9" w:rsidRDefault="00236E18" w:rsidP="00236E18">
      <w:pPr>
        <w:keepNext/>
        <w:keepLines/>
        <w:jc w:val="both"/>
        <w:rPr>
          <w:bCs/>
          <w:sz w:val="20"/>
        </w:rPr>
      </w:pPr>
    </w:p>
    <w:p w:rsidR="00236E18" w:rsidRPr="00ED4DE9" w:rsidRDefault="00236E18" w:rsidP="00236E18">
      <w:pPr>
        <w:keepNext/>
        <w:keepLines/>
        <w:spacing w:after="60"/>
        <w:rPr>
          <w:i/>
          <w:sz w:val="16"/>
          <w:szCs w:val="14"/>
        </w:rPr>
      </w:pPr>
      <w:r w:rsidRPr="00ED4DE9">
        <w:rPr>
          <w:i/>
          <w:sz w:val="16"/>
          <w:szCs w:val="14"/>
          <w:vertAlign w:val="superscript"/>
        </w:rPr>
        <w:t>1</w:t>
      </w:r>
      <w:r>
        <w:rPr>
          <w:i/>
          <w:sz w:val="16"/>
          <w:szCs w:val="14"/>
          <w:vertAlign w:val="superscript"/>
        </w:rPr>
        <w:t xml:space="preserve">  </w:t>
      </w:r>
      <w:r>
        <w:rPr>
          <w:i/>
          <w:sz w:val="16"/>
          <w:szCs w:val="14"/>
        </w:rPr>
        <w:t>En las cifras no se han incluido los intereses ni los ajustes cambiarios</w:t>
      </w:r>
      <w:r w:rsidRPr="00ED4DE9">
        <w:rPr>
          <w:i/>
          <w:sz w:val="16"/>
          <w:szCs w:val="14"/>
        </w:rPr>
        <w:t xml:space="preserve">.  </w:t>
      </w:r>
      <w:r>
        <w:rPr>
          <w:i/>
          <w:sz w:val="16"/>
          <w:szCs w:val="14"/>
        </w:rPr>
        <w:t>Cabe observar asimismo que estos fondos se destinan generalmente a actividades que cubren un período que va más allá de un solo bienio, a medida que se reciben los ingresos y se incurre en gastos</w:t>
      </w:r>
      <w:r w:rsidRPr="00ED4DE9">
        <w:rPr>
          <w:i/>
          <w:sz w:val="16"/>
          <w:szCs w:val="14"/>
        </w:rPr>
        <w:t>.</w:t>
      </w:r>
    </w:p>
    <w:p w:rsidR="00236E18" w:rsidRDefault="00236E18" w:rsidP="00236E18">
      <w:pPr>
        <w:keepNext/>
        <w:widowControl w:val="0"/>
        <w:rPr>
          <w:i/>
          <w:sz w:val="16"/>
          <w:szCs w:val="14"/>
        </w:rPr>
      </w:pPr>
      <w:r w:rsidRPr="00ED4DE9">
        <w:rPr>
          <w:i/>
          <w:sz w:val="16"/>
          <w:szCs w:val="14"/>
          <w:vertAlign w:val="superscript"/>
        </w:rPr>
        <w:t>2</w:t>
      </w:r>
      <w:r>
        <w:rPr>
          <w:i/>
          <w:sz w:val="16"/>
          <w:szCs w:val="14"/>
          <w:vertAlign w:val="superscript"/>
        </w:rPr>
        <w:t xml:space="preserve">  </w:t>
      </w:r>
      <w:r>
        <w:rPr>
          <w:i/>
          <w:sz w:val="16"/>
          <w:szCs w:val="14"/>
        </w:rPr>
        <w:t>Estas cifras son puramente indicativas y se basan en patrones de financiación anteriores</w:t>
      </w:r>
      <w:r w:rsidRPr="00ED4DE9">
        <w:rPr>
          <w:i/>
          <w:sz w:val="16"/>
          <w:szCs w:val="14"/>
        </w:rPr>
        <w:t xml:space="preserve">.  </w:t>
      </w:r>
      <w:r>
        <w:rPr>
          <w:i/>
          <w:sz w:val="16"/>
          <w:szCs w:val="14"/>
        </w:rPr>
        <w:t>No representan los compromisos de los Estados miembros salvo cuando quedan incluidos en el acuerdo de fondos fiduciarios</w:t>
      </w:r>
      <w:r w:rsidRPr="00ED4DE9">
        <w:rPr>
          <w:i/>
          <w:sz w:val="16"/>
          <w:szCs w:val="14"/>
        </w:rPr>
        <w:t>.</w:t>
      </w:r>
    </w:p>
    <w:p w:rsidR="00236E18" w:rsidRDefault="00236E18" w:rsidP="00236E18">
      <w:pPr>
        <w:keepNext/>
        <w:widowControl w:val="0"/>
        <w:rPr>
          <w:i/>
          <w:sz w:val="16"/>
          <w:szCs w:val="14"/>
        </w:rPr>
      </w:pPr>
    </w:p>
    <w:p w:rsidR="00236E18" w:rsidRPr="00B40BEB" w:rsidRDefault="00236E18" w:rsidP="00236E18">
      <w:pPr>
        <w:keepNext/>
        <w:keepLines/>
        <w:rPr>
          <w:i/>
          <w:sz w:val="16"/>
          <w:szCs w:val="14"/>
        </w:rPr>
      </w:pPr>
      <w:r w:rsidRPr="00B40BEB">
        <w:rPr>
          <w:i/>
          <w:sz w:val="16"/>
          <w:szCs w:val="14"/>
          <w:vertAlign w:val="superscript"/>
        </w:rPr>
        <w:t xml:space="preserve">3  </w:t>
      </w:r>
      <w:r w:rsidRPr="00B40BEB">
        <w:rPr>
          <w:i/>
          <w:sz w:val="16"/>
          <w:szCs w:val="14"/>
        </w:rPr>
        <w:t>En el saldo previsto a fines de 2015 se han computado los gravámenes y las obligaciones.</w:t>
      </w:r>
    </w:p>
    <w:p w:rsidR="00236E18" w:rsidRPr="006A3CA4" w:rsidRDefault="00236E18" w:rsidP="00236E18">
      <w:pPr>
        <w:rPr>
          <w:szCs w:val="22"/>
          <w:lang w:val="es-ES_tradnl"/>
        </w:rPr>
      </w:pPr>
    </w:p>
    <w:p w:rsidR="00236E18" w:rsidRPr="006A3CA4" w:rsidRDefault="00236E18" w:rsidP="00236E18">
      <w:pPr>
        <w:rPr>
          <w:szCs w:val="22"/>
          <w:lang w:val="es-ES_tradnl"/>
        </w:rPr>
      </w:pPr>
      <w:r w:rsidRPr="006A3CA4">
        <w:rPr>
          <w:szCs w:val="22"/>
          <w:lang w:val="es-ES_tradnl"/>
        </w:rPr>
        <w:br w:type="page"/>
      </w:r>
    </w:p>
    <w:p w:rsidR="00236E18" w:rsidRPr="005A7007" w:rsidRDefault="00236E18" w:rsidP="00236E18">
      <w:pPr>
        <w:pStyle w:val="StyleHeading3ComplexItalic"/>
        <w:keepNext w:val="0"/>
        <w:widowControl w:val="0"/>
        <w:ind w:left="1985" w:hanging="1985"/>
        <w:rPr>
          <w:rStyle w:val="StyleStyleHeading3ComplexItalicLatin12ptChar"/>
          <w:rFonts w:eastAsia="Arial"/>
          <w:b/>
          <w:lang w:val="es-ES_tradnl"/>
        </w:rPr>
      </w:pPr>
      <w:bookmarkStart w:id="71" w:name="_Toc431573554"/>
      <w:bookmarkStart w:id="72" w:name="_Toc431573955"/>
      <w:r w:rsidRPr="005A7007">
        <w:rPr>
          <w:rStyle w:val="StyleStyleHeading3ComplexItalicLatin12ptChar"/>
          <w:rFonts w:eastAsia="Arial"/>
          <w:b/>
          <w:lang w:val="es-ES_tradnl"/>
        </w:rPr>
        <w:lastRenderedPageBreak/>
        <w:t>PROGRAMA 30</w:t>
      </w:r>
      <w:r w:rsidRPr="005A7007">
        <w:rPr>
          <w:rStyle w:val="StyleStyleHeading3ComplexItalicLatin12ptChar"/>
          <w:rFonts w:eastAsia="Arial"/>
          <w:b/>
          <w:lang w:val="es-ES_tradnl"/>
        </w:rPr>
        <w:tab/>
        <w:t>APOYO A LAS PEQUEÑAS Y MEDIANAS EMPRESAS (PYMES) Y A LA CAPACIDAD EMPRESARIAL</w:t>
      </w:r>
      <w:bookmarkEnd w:id="71"/>
      <w:bookmarkEnd w:id="72"/>
    </w:p>
    <w:p w:rsidR="00236E18" w:rsidRPr="006763AC" w:rsidRDefault="00236E18" w:rsidP="00236E18">
      <w:pPr>
        <w:widowControl w:val="0"/>
        <w:tabs>
          <w:tab w:val="left" w:pos="0"/>
        </w:tabs>
        <w:spacing w:before="32" w:line="241" w:lineRule="auto"/>
        <w:ind w:right="1210"/>
        <w:jc w:val="both"/>
        <w:rPr>
          <w:rFonts w:eastAsia="Arial"/>
          <w:b/>
          <w:bCs/>
          <w:spacing w:val="-1"/>
          <w:szCs w:val="22"/>
        </w:rPr>
      </w:pPr>
    </w:p>
    <w:p w:rsidR="00236E18" w:rsidRPr="006763AC" w:rsidRDefault="00236E18" w:rsidP="00236E18">
      <w:pPr>
        <w:widowControl w:val="0"/>
        <w:rPr>
          <w:szCs w:val="22"/>
        </w:rPr>
      </w:pPr>
    </w:p>
    <w:p w:rsidR="00236E18" w:rsidRPr="006763AC" w:rsidRDefault="00236E18" w:rsidP="00236E18">
      <w:pPr>
        <w:widowControl w:val="0"/>
        <w:rPr>
          <w:szCs w:val="22"/>
        </w:rPr>
      </w:pPr>
      <w:r w:rsidRPr="006763AC">
        <w:rPr>
          <w:szCs w:val="22"/>
        </w:rPr>
        <w:t>CONTEXTO DE PLANIFICACIÓN</w:t>
      </w:r>
    </w:p>
    <w:p w:rsidR="00236E18" w:rsidRPr="006763AC" w:rsidRDefault="00236E18" w:rsidP="00236E18">
      <w:pPr>
        <w:widowControl w:val="0"/>
        <w:tabs>
          <w:tab w:val="left" w:pos="709"/>
        </w:tabs>
        <w:rPr>
          <w:szCs w:val="22"/>
        </w:rPr>
      </w:pPr>
    </w:p>
    <w:p w:rsidR="00236E18" w:rsidRPr="006763AC" w:rsidRDefault="00236E18" w:rsidP="00236E18">
      <w:pPr>
        <w:pStyle w:val="ListParagraph"/>
        <w:widowControl w:val="0"/>
        <w:numPr>
          <w:ilvl w:val="0"/>
          <w:numId w:val="25"/>
        </w:numPr>
        <w:tabs>
          <w:tab w:val="left" w:pos="709"/>
        </w:tabs>
        <w:ind w:left="0" w:firstLine="0"/>
        <w:jc w:val="both"/>
        <w:rPr>
          <w:rFonts w:ascii="Arial" w:hAnsi="Arial" w:cs="Arial"/>
          <w:sz w:val="20"/>
          <w:szCs w:val="20"/>
          <w:lang w:val="es-ES"/>
        </w:rPr>
      </w:pPr>
      <w:r w:rsidRPr="006763AC">
        <w:rPr>
          <w:rFonts w:ascii="Arial" w:hAnsi="Arial" w:cs="Arial"/>
          <w:sz w:val="20"/>
          <w:szCs w:val="20"/>
          <w:lang w:val="es-ES"/>
        </w:rPr>
        <w:t>Las pequeñas y medianas empresas (pymes) de todos los países del mundo contribuyen significativamente al PIB, la creación de empleo, la innovación, las exportaciones, el empoderamiento de la mujer, la mitigación de la pobreza y el desarrollo sostenible.  Las universidades y las instituciones públicas de investigación, que tienen diferentes niveles de capacidad para transferir conocimientos estratégicos y comercializar la P.I. resultante de sus trabajos de investigación, también contribuyen inmensamente a la innovación y sus ventajas.  Estos dos sectores de actividad se ven afectados por las estrategias de P.I. de sus respectivos países.</w:t>
      </w:r>
    </w:p>
    <w:p w:rsidR="00236E18" w:rsidRPr="006763AC" w:rsidRDefault="00236E18" w:rsidP="00236E18">
      <w:pPr>
        <w:widowControl w:val="0"/>
        <w:tabs>
          <w:tab w:val="left" w:pos="709"/>
        </w:tabs>
        <w:jc w:val="both"/>
        <w:rPr>
          <w:sz w:val="20"/>
        </w:rPr>
      </w:pPr>
    </w:p>
    <w:p w:rsidR="00236E18" w:rsidRPr="006763AC" w:rsidRDefault="00236E18" w:rsidP="00236E18">
      <w:pPr>
        <w:pStyle w:val="ListParagraph"/>
        <w:widowControl w:val="0"/>
        <w:numPr>
          <w:ilvl w:val="0"/>
          <w:numId w:val="25"/>
        </w:numPr>
        <w:tabs>
          <w:tab w:val="left" w:pos="709"/>
        </w:tabs>
        <w:ind w:left="0" w:firstLine="0"/>
        <w:jc w:val="both"/>
        <w:rPr>
          <w:rFonts w:ascii="Arial" w:hAnsi="Arial" w:cs="Arial"/>
          <w:sz w:val="20"/>
          <w:szCs w:val="20"/>
          <w:lang w:val="es-ES"/>
        </w:rPr>
      </w:pPr>
      <w:r w:rsidRPr="006763AC">
        <w:rPr>
          <w:rFonts w:ascii="Arial" w:hAnsi="Arial" w:cs="Arial"/>
          <w:sz w:val="20"/>
          <w:szCs w:val="20"/>
          <w:lang w:val="es-ES"/>
        </w:rPr>
        <w:t>La falta de conocimiento y competencia en materia de gestión de la P.I., la percepción de que el uso del sistema de P.I. es complejo y oneroso, y las dificultades que suponen la protección y la defensa de los derechos de P.I. impiden que las pymes, las universidades y las instituciones públicas de investigación en todo el mundo puedan aprovechar las ventajas que ofrece el sistema de P.I.</w:t>
      </w:r>
      <w:r>
        <w:rPr>
          <w:rFonts w:ascii="Arial" w:hAnsi="Arial" w:cs="Arial"/>
          <w:sz w:val="20"/>
          <w:szCs w:val="20"/>
          <w:lang w:val="es-ES"/>
        </w:rPr>
        <w:t xml:space="preserve">  Ello queda reflejado </w:t>
      </w:r>
      <w:r w:rsidRPr="006763AC">
        <w:rPr>
          <w:rFonts w:ascii="Arial" w:hAnsi="Arial" w:cs="Arial"/>
          <w:sz w:val="20"/>
          <w:szCs w:val="20"/>
          <w:lang w:val="es-ES"/>
        </w:rPr>
        <w:t>en la poca utilización del sistema de P.I., en general, y los servicios mundiales de la OMPI, en particular.</w:t>
      </w:r>
    </w:p>
    <w:p w:rsidR="00236E18" w:rsidRPr="006763AC" w:rsidRDefault="00236E18" w:rsidP="00236E18">
      <w:pPr>
        <w:widowControl w:val="0"/>
        <w:tabs>
          <w:tab w:val="left" w:pos="709"/>
        </w:tabs>
        <w:jc w:val="both"/>
        <w:rPr>
          <w:sz w:val="20"/>
        </w:rPr>
      </w:pPr>
    </w:p>
    <w:p w:rsidR="00236E18" w:rsidRPr="006763AC" w:rsidRDefault="00236E18" w:rsidP="00236E18">
      <w:pPr>
        <w:pStyle w:val="ListParagraph"/>
        <w:widowControl w:val="0"/>
        <w:numPr>
          <w:ilvl w:val="0"/>
          <w:numId w:val="25"/>
        </w:numPr>
        <w:tabs>
          <w:tab w:val="left" w:pos="709"/>
        </w:tabs>
        <w:ind w:left="0" w:firstLine="0"/>
        <w:jc w:val="both"/>
        <w:rPr>
          <w:rFonts w:ascii="Arial" w:hAnsi="Arial" w:cs="Arial"/>
          <w:sz w:val="20"/>
          <w:szCs w:val="20"/>
          <w:lang w:val="es-ES"/>
        </w:rPr>
      </w:pPr>
      <w:r w:rsidRPr="006763AC">
        <w:rPr>
          <w:rFonts w:ascii="Arial" w:hAnsi="Arial" w:cs="Arial"/>
          <w:sz w:val="20"/>
          <w:szCs w:val="20"/>
          <w:lang w:val="es-ES"/>
        </w:rPr>
        <w:t>Otros problemas conexos son los bajos niveles de gasto en I+D, los vínculos de colaboración poco estrechos cuando no inexistentes con instituciones académicas y de investigación, y el acceso inadecuado a la información, el conocimiento y las tecnologías disponibles en bases de datos de P.I.  La falta de políticas institucionales de P.I. eficaces, incentivos y financiación para las pymes, y la ausencia de instituciones dinámicas de apoyo a esas empresas, en muchos países, se añaden a la dificultad de lograr que las pymes, las universidades y las instituciones públicas de investigación hagan un mejor uso del sistema de P.I.</w:t>
      </w:r>
    </w:p>
    <w:p w:rsidR="00236E18" w:rsidRPr="006763AC" w:rsidRDefault="00236E18" w:rsidP="00236E18">
      <w:pPr>
        <w:widowControl w:val="0"/>
        <w:tabs>
          <w:tab w:val="left" w:pos="709"/>
        </w:tabs>
        <w:jc w:val="both"/>
        <w:rPr>
          <w:sz w:val="20"/>
        </w:rPr>
      </w:pPr>
    </w:p>
    <w:p w:rsidR="00236E18" w:rsidRPr="006763AC" w:rsidRDefault="00236E18" w:rsidP="00236E18">
      <w:pPr>
        <w:widowControl w:val="0"/>
        <w:tabs>
          <w:tab w:val="left" w:pos="709"/>
        </w:tabs>
        <w:jc w:val="both"/>
        <w:rPr>
          <w:sz w:val="20"/>
        </w:rPr>
      </w:pPr>
    </w:p>
    <w:p w:rsidR="00236E18" w:rsidRPr="006763AC" w:rsidRDefault="00236E18" w:rsidP="00236E18">
      <w:pPr>
        <w:widowControl w:val="0"/>
        <w:tabs>
          <w:tab w:val="left" w:pos="709"/>
        </w:tabs>
        <w:jc w:val="both"/>
        <w:rPr>
          <w:sz w:val="20"/>
        </w:rPr>
      </w:pPr>
      <w:r w:rsidRPr="006763AC">
        <w:rPr>
          <w:sz w:val="20"/>
        </w:rPr>
        <w:t>ESTRATEGIAS DE EJECUCIÓN</w:t>
      </w:r>
    </w:p>
    <w:p w:rsidR="00236E18" w:rsidRPr="006763AC" w:rsidRDefault="00236E18" w:rsidP="00236E18">
      <w:pPr>
        <w:widowControl w:val="0"/>
        <w:tabs>
          <w:tab w:val="left" w:pos="709"/>
        </w:tabs>
        <w:jc w:val="both"/>
        <w:rPr>
          <w:sz w:val="20"/>
        </w:rPr>
      </w:pPr>
    </w:p>
    <w:p w:rsidR="00236E18" w:rsidRPr="006763AC" w:rsidRDefault="00236E18" w:rsidP="00236E18">
      <w:pPr>
        <w:pStyle w:val="ListParagraph"/>
        <w:widowControl w:val="0"/>
        <w:numPr>
          <w:ilvl w:val="0"/>
          <w:numId w:val="25"/>
        </w:numPr>
        <w:tabs>
          <w:tab w:val="left" w:pos="709"/>
        </w:tabs>
        <w:ind w:left="0" w:firstLine="0"/>
        <w:jc w:val="both"/>
        <w:rPr>
          <w:rFonts w:ascii="Arial" w:hAnsi="Arial" w:cs="Arial"/>
          <w:sz w:val="20"/>
          <w:szCs w:val="20"/>
          <w:lang w:val="es-ES"/>
        </w:rPr>
      </w:pPr>
      <w:r w:rsidRPr="006763AC">
        <w:rPr>
          <w:rFonts w:ascii="Arial" w:hAnsi="Arial" w:cs="Arial"/>
          <w:sz w:val="20"/>
          <w:szCs w:val="20"/>
          <w:lang w:val="es-ES"/>
        </w:rPr>
        <w:t>El programa continuará su labor de velar por que las estrategias nacionales de P.I. promuevan la creatividad y la innovación sobre la base de una evaluación exhaustiva de los objetivos de desarrollo y una comprensión de los puntos fuertes y débiles, oportunidades y desafíos de cada país.</w:t>
      </w:r>
    </w:p>
    <w:p w:rsidR="00236E18" w:rsidRPr="006763AC" w:rsidRDefault="00236E18" w:rsidP="00236E18">
      <w:pPr>
        <w:widowControl w:val="0"/>
        <w:tabs>
          <w:tab w:val="left" w:pos="709"/>
        </w:tabs>
        <w:jc w:val="both"/>
        <w:rPr>
          <w:sz w:val="20"/>
        </w:rPr>
      </w:pPr>
    </w:p>
    <w:p w:rsidR="00236E18" w:rsidRPr="006763AC" w:rsidRDefault="00236E18" w:rsidP="00236E18">
      <w:pPr>
        <w:pStyle w:val="ListParagraph"/>
        <w:widowControl w:val="0"/>
        <w:numPr>
          <w:ilvl w:val="0"/>
          <w:numId w:val="25"/>
        </w:numPr>
        <w:tabs>
          <w:tab w:val="left" w:pos="709"/>
        </w:tabs>
        <w:ind w:left="0" w:firstLine="0"/>
        <w:jc w:val="both"/>
        <w:rPr>
          <w:rFonts w:ascii="Arial" w:hAnsi="Arial" w:cs="Arial"/>
          <w:sz w:val="20"/>
          <w:szCs w:val="20"/>
          <w:lang w:val="es-ES"/>
        </w:rPr>
      </w:pPr>
      <w:r w:rsidRPr="006763AC">
        <w:rPr>
          <w:rFonts w:ascii="Arial" w:hAnsi="Arial" w:cs="Arial"/>
          <w:sz w:val="20"/>
          <w:szCs w:val="20"/>
          <w:lang w:val="es-ES"/>
        </w:rPr>
        <w:t>A fin de encarar el enorme desafío de incrementar el conocimiento del sistema de P.I. y su uso por parte de las pymes de manera eficaz y sostenible, el programa adoptará un enfoque basado en proyectos coordinados que reunirá en una plataforma común conocimientos técnicos, experiencia y mejores prácticas de partes interesadas internas y externas.  Se recogerán opiniones y recomendaciones pertinentes a partir de estudios nacionales y regionales sobre P.I. y pymes, y de foros y simposios nacionales, regionales e internacionales.  En algunos países, se ensayarán nuevos enfoques experimentales, como por ejemplo, proyectos en que las pymes desempeñen la labor de embajadoras o ejemplos destacados de P.I., y proyectos de acompañamiento para pymes en materia de P.I.</w:t>
      </w:r>
    </w:p>
    <w:p w:rsidR="00236E18" w:rsidRPr="006763AC" w:rsidRDefault="00236E18" w:rsidP="00236E18">
      <w:pPr>
        <w:pStyle w:val="ListParagraph"/>
        <w:widowControl w:val="0"/>
        <w:tabs>
          <w:tab w:val="left" w:pos="709"/>
        </w:tabs>
        <w:ind w:left="0"/>
        <w:jc w:val="both"/>
        <w:rPr>
          <w:rFonts w:ascii="Arial" w:hAnsi="Arial" w:cs="Arial"/>
          <w:sz w:val="20"/>
          <w:szCs w:val="20"/>
          <w:lang w:val="es-ES"/>
        </w:rPr>
      </w:pPr>
    </w:p>
    <w:p w:rsidR="00236E18" w:rsidRPr="006763AC" w:rsidRDefault="00236E18" w:rsidP="00236E18">
      <w:pPr>
        <w:pStyle w:val="ListParagraph"/>
        <w:widowControl w:val="0"/>
        <w:numPr>
          <w:ilvl w:val="0"/>
          <w:numId w:val="25"/>
        </w:numPr>
        <w:tabs>
          <w:tab w:val="left" w:pos="709"/>
        </w:tabs>
        <w:ind w:left="0" w:firstLine="0"/>
        <w:jc w:val="both"/>
        <w:rPr>
          <w:rFonts w:ascii="Arial" w:hAnsi="Arial" w:cs="Arial"/>
          <w:sz w:val="20"/>
          <w:szCs w:val="20"/>
          <w:lang w:val="es-ES"/>
        </w:rPr>
      </w:pPr>
      <w:r w:rsidRPr="006763AC">
        <w:rPr>
          <w:rFonts w:ascii="Arial" w:hAnsi="Arial" w:cs="Arial"/>
          <w:sz w:val="20"/>
          <w:szCs w:val="20"/>
          <w:lang w:val="es-ES"/>
        </w:rPr>
        <w:t xml:space="preserve">El programa </w:t>
      </w:r>
      <w:r>
        <w:rPr>
          <w:rFonts w:ascii="Arial" w:hAnsi="Arial" w:cs="Arial"/>
          <w:sz w:val="20"/>
          <w:szCs w:val="20"/>
          <w:lang w:val="es-ES"/>
        </w:rPr>
        <w:t>e</w:t>
      </w:r>
      <w:r w:rsidRPr="006763AC">
        <w:rPr>
          <w:rFonts w:ascii="Arial" w:hAnsi="Arial" w:cs="Arial"/>
          <w:sz w:val="20"/>
          <w:szCs w:val="20"/>
          <w:lang w:val="es-ES"/>
        </w:rPr>
        <w:t xml:space="preserve">s el punto central de referencia en la OMPI para todas las cuestiones relacionadas con las pymes y la P.I. en los países en desarrollo, PMA y países con economías en transición, siguiendo la orientación de los Estados miembros y las recomendaciones 1, 4 y 11 de la A.D.  El programa continuará trabajando para crear una plataforma sólida con datos y mecanismos de apoyo en materia de P.I. en relación con las pymes, las universidades y la I+D con el fin de orientar las actividades de formación y fortalecimiento de capacidades llevadas a cabo por el propio programa y los programas 9 (Oficinas regionales) y 10 (Cooperación con determinados países de Europa y Asia), en estrecha colaboración con la Academia de la OMPI (Programa 11).  Ello comprenderá la creación de material hecho a medida para atender las necesidades de las pymes, y la determinación de las mejoras prácticas (que deberán figurar, entre otros, en la base de datos </w:t>
      </w:r>
      <w:r w:rsidRPr="006763AC">
        <w:rPr>
          <w:rFonts w:ascii="Arial" w:hAnsi="Arial" w:cs="Arial"/>
          <w:i/>
          <w:sz w:val="20"/>
          <w:szCs w:val="20"/>
          <w:lang w:val="es-ES"/>
        </w:rPr>
        <w:t xml:space="preserve">IP </w:t>
      </w:r>
      <w:proofErr w:type="spellStart"/>
      <w:r w:rsidRPr="006763AC">
        <w:rPr>
          <w:rFonts w:ascii="Arial" w:hAnsi="Arial" w:cs="Arial"/>
          <w:i/>
          <w:sz w:val="20"/>
          <w:szCs w:val="20"/>
          <w:lang w:val="es-ES"/>
        </w:rPr>
        <w:t>Advantage</w:t>
      </w:r>
      <w:proofErr w:type="spellEnd"/>
      <w:r w:rsidRPr="006763AC">
        <w:rPr>
          <w:rFonts w:ascii="Arial" w:hAnsi="Arial" w:cs="Arial"/>
          <w:sz w:val="20"/>
          <w:szCs w:val="20"/>
          <w:lang w:val="es-ES"/>
        </w:rPr>
        <w:t xml:space="preserve">) en lo relativo al uso del sistema de P.I. con el fin de demostrar que inciden positivamente en la economía, la generación de empleo y la competitividad.  También se explorará la posibilidad de colaborar con otras organizaciones regionales e internacionales y con asociaciones profesionales que cuenten con programas de apoyo a las pymes y a la capacidad empresarial a fin de reforzar la creación de contenido pertinente y su divulgación </w:t>
      </w:r>
      <w:r>
        <w:rPr>
          <w:rFonts w:ascii="Arial" w:hAnsi="Arial" w:cs="Arial"/>
          <w:sz w:val="20"/>
          <w:szCs w:val="20"/>
          <w:lang w:val="es-ES"/>
        </w:rPr>
        <w:t>para lograr</w:t>
      </w:r>
      <w:r w:rsidRPr="006763AC">
        <w:rPr>
          <w:rFonts w:ascii="Arial" w:hAnsi="Arial" w:cs="Arial"/>
          <w:sz w:val="20"/>
          <w:szCs w:val="20"/>
          <w:lang w:val="es-ES"/>
        </w:rPr>
        <w:t xml:space="preserve"> resultados de alta calidad.  Las actividades de formación y fortalecimiento de capacidad se basarán en el material elaborado en el marco de este programa.</w:t>
      </w:r>
    </w:p>
    <w:p w:rsidR="00236E18" w:rsidRPr="006763AC" w:rsidRDefault="00236E18" w:rsidP="00236E18">
      <w:pPr>
        <w:widowControl w:val="0"/>
        <w:tabs>
          <w:tab w:val="left" w:pos="709"/>
        </w:tabs>
        <w:jc w:val="both"/>
        <w:rPr>
          <w:sz w:val="20"/>
        </w:rPr>
      </w:pPr>
    </w:p>
    <w:p w:rsidR="00236E18" w:rsidRPr="006763AC" w:rsidRDefault="00236E18" w:rsidP="00236E18">
      <w:pPr>
        <w:pStyle w:val="ListParagraph"/>
        <w:widowControl w:val="0"/>
        <w:numPr>
          <w:ilvl w:val="0"/>
          <w:numId w:val="25"/>
        </w:numPr>
        <w:tabs>
          <w:tab w:val="left" w:pos="709"/>
        </w:tabs>
        <w:ind w:left="0" w:firstLine="0"/>
        <w:jc w:val="both"/>
        <w:rPr>
          <w:rFonts w:ascii="Arial" w:hAnsi="Arial" w:cs="Arial"/>
          <w:sz w:val="20"/>
          <w:szCs w:val="20"/>
          <w:lang w:val="es-ES"/>
        </w:rPr>
      </w:pPr>
      <w:r w:rsidRPr="006763AC">
        <w:rPr>
          <w:rFonts w:ascii="Arial" w:hAnsi="Arial" w:cs="Arial"/>
          <w:sz w:val="20"/>
          <w:szCs w:val="20"/>
          <w:lang w:val="es-ES"/>
        </w:rPr>
        <w:t xml:space="preserve">Con el fin de potenciar la divulgación de información directamente a las pymes, las universidades y las instituciones públicas de investigación, el programa renovará las páginas sobre pymes e iniciativa universitaria del sitio web de la OMPI para que puedan ser aprovechadas como plataformas de intercambio de información sobre gestión de P.I. en colaboración con instituciones nacionales de apoyo a las pymes, las universidades, las instituciones públicas de investigación y entidades de apoyo de la capacidad empresarial.  </w:t>
      </w:r>
      <w:r>
        <w:rPr>
          <w:rFonts w:ascii="Arial" w:hAnsi="Arial" w:cs="Arial"/>
          <w:sz w:val="20"/>
          <w:szCs w:val="20"/>
          <w:lang w:val="es-ES"/>
        </w:rPr>
        <w:t>Se</w:t>
      </w:r>
      <w:r w:rsidRPr="006763AC">
        <w:rPr>
          <w:rFonts w:ascii="Arial" w:hAnsi="Arial" w:cs="Arial"/>
          <w:sz w:val="20"/>
          <w:szCs w:val="20"/>
          <w:lang w:val="es-ES"/>
        </w:rPr>
        <w:t xml:space="preserve"> continuará publicando </w:t>
      </w:r>
      <w:r>
        <w:rPr>
          <w:rFonts w:ascii="Arial" w:hAnsi="Arial" w:cs="Arial"/>
          <w:sz w:val="20"/>
          <w:szCs w:val="20"/>
          <w:lang w:val="es-ES"/>
        </w:rPr>
        <w:t>el</w:t>
      </w:r>
      <w:r w:rsidRPr="006763AC">
        <w:rPr>
          <w:rFonts w:ascii="Arial" w:hAnsi="Arial" w:cs="Arial"/>
          <w:sz w:val="20"/>
          <w:szCs w:val="20"/>
          <w:lang w:val="es-ES"/>
        </w:rPr>
        <w:t xml:space="preserve"> Boletín para las pymes en los seis idiomas oficiales de las Naciones Unidas.</w:t>
      </w:r>
    </w:p>
    <w:p w:rsidR="00236E18" w:rsidRPr="006763AC" w:rsidRDefault="00236E18" w:rsidP="00236E18">
      <w:pPr>
        <w:widowControl w:val="0"/>
        <w:tabs>
          <w:tab w:val="left" w:pos="709"/>
        </w:tabs>
        <w:jc w:val="both"/>
        <w:rPr>
          <w:sz w:val="20"/>
        </w:rPr>
      </w:pPr>
    </w:p>
    <w:p w:rsidR="00236E18" w:rsidRDefault="00236E18" w:rsidP="00236E18">
      <w:pPr>
        <w:pStyle w:val="ListParagraph"/>
        <w:widowControl w:val="0"/>
        <w:numPr>
          <w:ilvl w:val="0"/>
          <w:numId w:val="25"/>
        </w:numPr>
        <w:tabs>
          <w:tab w:val="left" w:pos="709"/>
        </w:tabs>
        <w:ind w:left="0" w:firstLine="0"/>
        <w:jc w:val="both"/>
        <w:rPr>
          <w:rFonts w:ascii="Arial" w:hAnsi="Arial" w:cs="Arial"/>
          <w:sz w:val="20"/>
          <w:szCs w:val="20"/>
          <w:lang w:val="es-ES"/>
        </w:rPr>
      </w:pPr>
      <w:r w:rsidRPr="006763AC">
        <w:rPr>
          <w:rFonts w:ascii="Arial" w:hAnsi="Arial" w:cs="Arial"/>
          <w:sz w:val="20"/>
          <w:szCs w:val="20"/>
          <w:lang w:val="es-ES"/>
        </w:rPr>
        <w:t>A través de proyectos a medida de comercialización de la P.I. y de programas nacionales y regionales adaptados, las instituciones académicas de los Estados miembros de la OMPI recibirán apoyo a la capacidad empresarial para que desarrollen una infraestructura jurídica e institucional adecuada, y capital humano profesional para fomentar la gestión estratégica, desde el punto de vista de los derechos de P.I., de los conocimientos y los productos de investigación desde el principio con miras a los mercados de tecnología.  Como en el bienio anterior, se prestará asistencia a universidades e instituciones de I+D de los Estados miembros de la OMPI para que puedan crear sus propias políticas institucionales de P.I., y desarrollar su capacidad y capital humano con el fin de proteger y comercializar los conocimientos y productos resultantes de sus trabajos de investigación a través de procesos de protección de la P.I., valoración de la P.I., comercialización de la P.I., negociación de licencias, y creación de empresas, entre otros.</w:t>
      </w:r>
    </w:p>
    <w:p w:rsidR="00236E18" w:rsidRPr="003412FE" w:rsidRDefault="00236E18" w:rsidP="00236E18">
      <w:pPr>
        <w:pStyle w:val="ListParagraph"/>
        <w:rPr>
          <w:rFonts w:ascii="Arial" w:hAnsi="Arial" w:cs="Arial"/>
          <w:sz w:val="20"/>
          <w:szCs w:val="20"/>
          <w:lang w:val="es-ES"/>
        </w:rPr>
      </w:pPr>
    </w:p>
    <w:p w:rsidR="00236E18" w:rsidRPr="006763AC" w:rsidRDefault="00236E18" w:rsidP="00236E18">
      <w:pPr>
        <w:pStyle w:val="ListParagraph"/>
        <w:widowControl w:val="0"/>
        <w:numPr>
          <w:ilvl w:val="0"/>
          <w:numId w:val="25"/>
        </w:numPr>
        <w:tabs>
          <w:tab w:val="left" w:pos="709"/>
        </w:tabs>
        <w:ind w:left="0" w:firstLine="0"/>
        <w:jc w:val="both"/>
        <w:rPr>
          <w:rFonts w:ascii="Arial" w:hAnsi="Arial" w:cs="Arial"/>
          <w:sz w:val="20"/>
          <w:szCs w:val="20"/>
          <w:lang w:val="es-ES"/>
        </w:rPr>
      </w:pPr>
      <w:r>
        <w:rPr>
          <w:rFonts w:ascii="Arial" w:hAnsi="Arial" w:cs="Arial"/>
          <w:sz w:val="20"/>
          <w:szCs w:val="20"/>
          <w:lang w:val="es-ES"/>
        </w:rPr>
        <w:t>De conformidad con la recomendación 26 de la A.D., en el marco de este programa y de los programas 9 y 10, la OMPI ampliará el alcance de sus actividades para dar cabida al fomento de la creación de oficinas de transferencia tecnológica y aumentar el acceso y el uso de información de P.I. por las instituciones de P.I. y el público a los fines de promover la innovación y la creatividad.</w:t>
      </w:r>
    </w:p>
    <w:p w:rsidR="00236E18" w:rsidRPr="006763AC" w:rsidRDefault="00236E18" w:rsidP="00236E18">
      <w:pPr>
        <w:widowControl w:val="0"/>
        <w:tabs>
          <w:tab w:val="left" w:pos="709"/>
        </w:tabs>
        <w:jc w:val="both"/>
        <w:rPr>
          <w:sz w:val="20"/>
        </w:rPr>
      </w:pPr>
    </w:p>
    <w:p w:rsidR="00236E18" w:rsidRPr="006763AC" w:rsidRDefault="00236E18" w:rsidP="00236E18">
      <w:pPr>
        <w:pStyle w:val="ListParagraph"/>
        <w:widowControl w:val="0"/>
        <w:numPr>
          <w:ilvl w:val="0"/>
          <w:numId w:val="25"/>
        </w:numPr>
        <w:tabs>
          <w:tab w:val="left" w:pos="709"/>
        </w:tabs>
        <w:ind w:left="0" w:firstLine="0"/>
        <w:jc w:val="both"/>
        <w:rPr>
          <w:rFonts w:ascii="Arial" w:hAnsi="Arial" w:cs="Arial"/>
          <w:sz w:val="20"/>
          <w:szCs w:val="20"/>
          <w:lang w:val="es-ES"/>
        </w:rPr>
      </w:pPr>
      <w:r>
        <w:rPr>
          <w:rFonts w:ascii="Arial" w:hAnsi="Arial" w:cs="Arial"/>
          <w:sz w:val="20"/>
          <w:szCs w:val="20"/>
          <w:lang w:val="es-ES"/>
        </w:rPr>
        <w:t>Se</w:t>
      </w:r>
      <w:r w:rsidRPr="006763AC">
        <w:rPr>
          <w:rFonts w:ascii="Arial" w:hAnsi="Arial" w:cs="Arial"/>
          <w:sz w:val="20"/>
          <w:szCs w:val="20"/>
          <w:lang w:val="es-ES"/>
        </w:rPr>
        <w:t xml:space="preserve"> seguirán perfeccionándose los conocimientos especializados y desarrollando herramientas de amplio alcance destinados a los sectores de investigación (universidades e instituciones públicas de investigación).  Los sectores de investigación recibirán asistencia para aplicar modelos adaptados de estructuras de desarrollo, protección y comercialización estratégicos de la P.I., y para desarrollar un capital humano calificado que pueda comercializar de modo estratégico la P.I. con miras al crecimiento económico.</w:t>
      </w:r>
    </w:p>
    <w:p w:rsidR="00236E18" w:rsidRPr="006763AC" w:rsidRDefault="00236E18" w:rsidP="00236E18">
      <w:pPr>
        <w:widowControl w:val="0"/>
        <w:tabs>
          <w:tab w:val="left" w:pos="709"/>
        </w:tabs>
        <w:jc w:val="both"/>
        <w:rPr>
          <w:sz w:val="20"/>
        </w:rPr>
      </w:pPr>
    </w:p>
    <w:p w:rsidR="00236E18" w:rsidRDefault="00236E18" w:rsidP="00236E18">
      <w:pPr>
        <w:pStyle w:val="ListParagraph"/>
        <w:widowControl w:val="0"/>
        <w:numPr>
          <w:ilvl w:val="0"/>
          <w:numId w:val="25"/>
        </w:numPr>
        <w:tabs>
          <w:tab w:val="left" w:pos="709"/>
        </w:tabs>
        <w:ind w:left="0" w:firstLine="0"/>
        <w:jc w:val="both"/>
        <w:rPr>
          <w:rFonts w:ascii="Arial" w:hAnsi="Arial" w:cs="Arial"/>
          <w:sz w:val="20"/>
          <w:szCs w:val="20"/>
          <w:lang w:val="es-ES"/>
        </w:rPr>
      </w:pPr>
      <w:r w:rsidRPr="006763AC">
        <w:rPr>
          <w:rFonts w:ascii="Arial" w:hAnsi="Arial" w:cs="Arial"/>
          <w:sz w:val="20"/>
          <w:szCs w:val="20"/>
          <w:lang w:val="es-ES"/>
        </w:rPr>
        <w:t>En consonancia con el marco de la OMPI de gestión por resultados, durante el bienio 2016/17 se prestará particular atención a</w:t>
      </w:r>
      <w:r>
        <w:rPr>
          <w:rFonts w:ascii="Arial" w:hAnsi="Arial" w:cs="Arial"/>
          <w:sz w:val="20"/>
          <w:szCs w:val="20"/>
          <w:lang w:val="es-ES"/>
        </w:rPr>
        <w:t xml:space="preserve"> la labor</w:t>
      </w:r>
      <w:r w:rsidRPr="006763AC">
        <w:rPr>
          <w:rFonts w:ascii="Arial" w:hAnsi="Arial" w:cs="Arial"/>
          <w:sz w:val="20"/>
          <w:szCs w:val="20"/>
          <w:lang w:val="es-ES"/>
        </w:rPr>
        <w:t xml:space="preserve"> del programa 30 </w:t>
      </w:r>
      <w:r>
        <w:rPr>
          <w:rFonts w:ascii="Arial" w:hAnsi="Arial" w:cs="Arial"/>
          <w:sz w:val="20"/>
          <w:szCs w:val="20"/>
          <w:lang w:val="es-ES"/>
        </w:rPr>
        <w:t xml:space="preserve">en aras de lograr una incidencia </w:t>
      </w:r>
      <w:r w:rsidRPr="006763AC">
        <w:rPr>
          <w:rFonts w:ascii="Arial" w:hAnsi="Arial" w:cs="Arial"/>
          <w:sz w:val="20"/>
          <w:szCs w:val="20"/>
          <w:lang w:val="es-ES"/>
        </w:rPr>
        <w:t xml:space="preserve">y </w:t>
      </w:r>
      <w:r>
        <w:rPr>
          <w:rFonts w:ascii="Arial" w:hAnsi="Arial" w:cs="Arial"/>
          <w:sz w:val="20"/>
          <w:szCs w:val="20"/>
          <w:lang w:val="es-ES"/>
        </w:rPr>
        <w:t xml:space="preserve">de </w:t>
      </w:r>
      <w:r w:rsidRPr="006763AC">
        <w:rPr>
          <w:rFonts w:ascii="Arial" w:hAnsi="Arial" w:cs="Arial"/>
          <w:sz w:val="20"/>
          <w:szCs w:val="20"/>
          <w:lang w:val="es-ES"/>
        </w:rPr>
        <w:t>controlar y evaluar la labor de la OMPI en relación con las pymes, las universidades y las instituciones de investigación pública.</w:t>
      </w:r>
    </w:p>
    <w:p w:rsidR="00236E18" w:rsidRDefault="00236E18" w:rsidP="00236E18">
      <w:pPr>
        <w:pStyle w:val="ListParagraph"/>
        <w:widowControl w:val="0"/>
        <w:tabs>
          <w:tab w:val="left" w:pos="709"/>
        </w:tabs>
        <w:ind w:left="0"/>
        <w:jc w:val="both"/>
        <w:rPr>
          <w:rFonts w:ascii="Arial" w:hAnsi="Arial" w:cs="Arial"/>
          <w:sz w:val="20"/>
          <w:szCs w:val="20"/>
          <w:lang w:val="es-ES"/>
        </w:rPr>
      </w:pPr>
    </w:p>
    <w:p w:rsidR="00236E18" w:rsidRPr="00D463D6" w:rsidRDefault="00236E18" w:rsidP="00236E18">
      <w:pPr>
        <w:pStyle w:val="ListParagraph"/>
        <w:widowControl w:val="0"/>
        <w:numPr>
          <w:ilvl w:val="0"/>
          <w:numId w:val="25"/>
        </w:numPr>
        <w:tabs>
          <w:tab w:val="left" w:pos="709"/>
        </w:tabs>
        <w:ind w:left="0" w:firstLine="0"/>
        <w:jc w:val="both"/>
        <w:rPr>
          <w:rFonts w:ascii="Arial" w:hAnsi="Arial" w:cs="Arial"/>
          <w:sz w:val="20"/>
          <w:szCs w:val="20"/>
          <w:lang w:val="es-ES"/>
        </w:rPr>
      </w:pPr>
      <w:r>
        <w:rPr>
          <w:rFonts w:ascii="Arial" w:hAnsi="Arial" w:cs="Arial"/>
          <w:sz w:val="20"/>
          <w:szCs w:val="20"/>
          <w:lang w:val="es-ES"/>
        </w:rPr>
        <w:t>El p</w:t>
      </w:r>
      <w:r w:rsidRPr="00D463D6">
        <w:rPr>
          <w:rFonts w:ascii="Arial" w:hAnsi="Arial" w:cs="Arial"/>
          <w:sz w:val="20"/>
          <w:szCs w:val="20"/>
          <w:lang w:val="es-ES"/>
        </w:rPr>
        <w:t>rogram</w:t>
      </w:r>
      <w:r>
        <w:rPr>
          <w:rFonts w:ascii="Arial" w:hAnsi="Arial" w:cs="Arial"/>
          <w:sz w:val="20"/>
          <w:szCs w:val="20"/>
          <w:lang w:val="es-ES"/>
        </w:rPr>
        <w:t>a</w:t>
      </w:r>
      <w:r w:rsidRPr="00D463D6">
        <w:rPr>
          <w:rFonts w:ascii="Arial" w:hAnsi="Arial" w:cs="Arial"/>
          <w:sz w:val="20"/>
          <w:szCs w:val="20"/>
          <w:lang w:val="es-ES"/>
        </w:rPr>
        <w:t xml:space="preserve"> 30 colabora</w:t>
      </w:r>
      <w:r>
        <w:rPr>
          <w:rFonts w:ascii="Arial" w:hAnsi="Arial" w:cs="Arial"/>
          <w:sz w:val="20"/>
          <w:szCs w:val="20"/>
          <w:lang w:val="es-ES"/>
        </w:rPr>
        <w:t xml:space="preserve"> principalmente con los programas siguientes</w:t>
      </w:r>
      <w:r w:rsidRPr="00D463D6">
        <w:rPr>
          <w:rFonts w:ascii="Arial" w:hAnsi="Arial" w:cs="Arial"/>
          <w:sz w:val="20"/>
          <w:szCs w:val="20"/>
          <w:lang w:val="es-ES"/>
        </w:rPr>
        <w:t>:</w:t>
      </w:r>
    </w:p>
    <w:p w:rsidR="00236E18" w:rsidRPr="00D463D6" w:rsidRDefault="00236E18" w:rsidP="00236E18">
      <w:pPr>
        <w:widowControl w:val="0"/>
        <w:tabs>
          <w:tab w:val="left" w:pos="709"/>
        </w:tabs>
        <w:jc w:val="both"/>
        <w:rPr>
          <w:sz w:val="20"/>
        </w:rPr>
      </w:pPr>
    </w:p>
    <w:p w:rsidR="00236E18" w:rsidRPr="006A3CA4" w:rsidRDefault="00236E18" w:rsidP="00236E18">
      <w:pPr>
        <w:widowControl w:val="0"/>
        <w:jc w:val="center"/>
        <w:rPr>
          <w:rFonts w:eastAsia="Arial"/>
          <w:spacing w:val="-1"/>
          <w:szCs w:val="22"/>
          <w:lang w:val="es-ES_tradnl"/>
        </w:rPr>
      </w:pPr>
    </w:p>
    <w:p w:rsidR="00236E18" w:rsidRPr="006763AC" w:rsidRDefault="00236E18" w:rsidP="00236E18">
      <w:pPr>
        <w:widowControl w:val="0"/>
        <w:jc w:val="center"/>
        <w:rPr>
          <w:rFonts w:eastAsia="Arial"/>
          <w:spacing w:val="-1"/>
          <w:szCs w:val="22"/>
        </w:rPr>
      </w:pPr>
      <w:r w:rsidRPr="006763AC">
        <w:rPr>
          <w:noProof/>
          <w:lang w:val="en-US" w:eastAsia="en-US"/>
        </w:rPr>
        <w:drawing>
          <wp:inline distT="0" distB="0" distL="0" distR="0" wp14:anchorId="35055FF4" wp14:editId="2A3EE2FE">
            <wp:extent cx="5486400" cy="1657350"/>
            <wp:effectExtent l="0" t="19050" r="0" b="0"/>
            <wp:docPr id="977" name="Diagram 9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0" r:lo="rId121" r:qs="rId122" r:cs="rId123"/>
              </a:graphicData>
            </a:graphic>
          </wp:inline>
        </w:drawing>
      </w:r>
    </w:p>
    <w:p w:rsidR="00236E18" w:rsidRPr="006763AC" w:rsidRDefault="00236E18" w:rsidP="00236E18">
      <w:pPr>
        <w:rPr>
          <w:rFonts w:eastAsia="Arial"/>
          <w:szCs w:val="22"/>
        </w:rPr>
      </w:pPr>
      <w:r w:rsidRPr="006763AC">
        <w:rPr>
          <w:rFonts w:eastAsia="Arial"/>
          <w:szCs w:val="22"/>
        </w:rPr>
        <w:br w:type="page"/>
      </w:r>
    </w:p>
    <w:p w:rsidR="00236E18" w:rsidRPr="006763AC" w:rsidRDefault="00236E18" w:rsidP="00236E18">
      <w:pPr>
        <w:widowControl w:val="0"/>
        <w:rPr>
          <w:rFonts w:eastAsia="Arial"/>
          <w:szCs w:val="22"/>
        </w:rPr>
      </w:pPr>
      <w:r w:rsidRPr="006763AC">
        <w:rPr>
          <w:rFonts w:eastAsia="Arial"/>
          <w:szCs w:val="22"/>
        </w:rPr>
        <w:lastRenderedPageBreak/>
        <w:t xml:space="preserve">PRINCIPALES RIESGOS Y ESTRATEGIAS DE MITIGACIÓN </w:t>
      </w:r>
    </w:p>
    <w:p w:rsidR="00236E18" w:rsidRPr="006763AC" w:rsidRDefault="00236E18" w:rsidP="00236E18">
      <w:pPr>
        <w:widowControl w:val="0"/>
        <w:rPr>
          <w:rFonts w:eastAsia="Arial"/>
          <w:szCs w:val="22"/>
        </w:rPr>
      </w:pPr>
    </w:p>
    <w:tbl>
      <w:tblPr>
        <w:tblW w:w="9498" w:type="dxa"/>
        <w:tblInd w:w="108" w:type="dxa"/>
        <w:tblCellMar>
          <w:left w:w="0" w:type="dxa"/>
          <w:right w:w="0" w:type="dxa"/>
        </w:tblCellMar>
        <w:tblLook w:val="04A0" w:firstRow="1" w:lastRow="0" w:firstColumn="1" w:lastColumn="0" w:noHBand="0" w:noVBand="1"/>
      </w:tblPr>
      <w:tblGrid>
        <w:gridCol w:w="4253"/>
        <w:gridCol w:w="5245"/>
      </w:tblGrid>
      <w:tr w:rsidR="00236E18" w:rsidRPr="006763AC" w:rsidTr="00294272">
        <w:trPr>
          <w:trHeight w:val="577"/>
        </w:trPr>
        <w:tc>
          <w:tcPr>
            <w:tcW w:w="4253" w:type="dxa"/>
            <w:tcBorders>
              <w:top w:val="single" w:sz="8" w:space="0" w:color="auto"/>
              <w:left w:val="single" w:sz="8" w:space="0" w:color="auto"/>
              <w:bottom w:val="single" w:sz="8" w:space="0" w:color="auto"/>
              <w:right w:val="nil"/>
            </w:tcBorders>
            <w:shd w:val="clear" w:color="auto" w:fill="C6D9F1" w:themeFill="text2" w:themeFillTint="33"/>
            <w:tcMar>
              <w:top w:w="0" w:type="dxa"/>
              <w:left w:w="108" w:type="dxa"/>
              <w:bottom w:w="0" w:type="dxa"/>
              <w:right w:w="108" w:type="dxa"/>
            </w:tcMar>
            <w:vAlign w:val="center"/>
            <w:hideMark/>
          </w:tcPr>
          <w:p w:rsidR="00236E18" w:rsidRPr="006763AC" w:rsidRDefault="00236E18" w:rsidP="00294272">
            <w:pPr>
              <w:widowControl w:val="0"/>
              <w:spacing w:line="276" w:lineRule="auto"/>
              <w:jc w:val="center"/>
              <w:rPr>
                <w:rFonts w:ascii="Calibri" w:eastAsiaTheme="minorHAnsi" w:hAnsi="Calibri"/>
                <w:szCs w:val="22"/>
              </w:rPr>
            </w:pPr>
            <w:r w:rsidRPr="006763AC">
              <w:rPr>
                <w:rFonts w:ascii="Calibri" w:eastAsiaTheme="minorHAnsi" w:hAnsi="Calibri"/>
                <w:b/>
                <w:szCs w:val="22"/>
              </w:rPr>
              <w:t>Riesgo</w:t>
            </w:r>
          </w:p>
        </w:tc>
        <w:tc>
          <w:tcPr>
            <w:tcW w:w="5245" w:type="dxa"/>
            <w:tcBorders>
              <w:top w:val="single" w:sz="8" w:space="0" w:color="auto"/>
              <w:left w:val="nil"/>
              <w:bottom w:val="single" w:sz="8" w:space="0" w:color="auto"/>
              <w:right w:val="single" w:sz="8" w:space="0" w:color="auto"/>
            </w:tcBorders>
            <w:shd w:val="clear" w:color="auto" w:fill="C6D9F1" w:themeFill="text2" w:themeFillTint="33"/>
            <w:tcMar>
              <w:top w:w="0" w:type="dxa"/>
              <w:left w:w="108" w:type="dxa"/>
              <w:bottom w:w="0" w:type="dxa"/>
              <w:right w:w="108" w:type="dxa"/>
            </w:tcMar>
            <w:vAlign w:val="center"/>
            <w:hideMark/>
          </w:tcPr>
          <w:p w:rsidR="00236E18" w:rsidRPr="006763AC" w:rsidRDefault="00236E18" w:rsidP="00294272">
            <w:pPr>
              <w:widowControl w:val="0"/>
              <w:spacing w:line="276" w:lineRule="auto"/>
              <w:jc w:val="center"/>
              <w:rPr>
                <w:rFonts w:ascii="Calibri" w:eastAsiaTheme="minorHAnsi" w:hAnsi="Calibri"/>
                <w:szCs w:val="22"/>
              </w:rPr>
            </w:pPr>
            <w:r w:rsidRPr="006763AC">
              <w:rPr>
                <w:b/>
                <w:bCs/>
                <w:sz w:val="18"/>
                <w:szCs w:val="18"/>
              </w:rPr>
              <w:t>Mitigación</w:t>
            </w:r>
          </w:p>
        </w:tc>
      </w:tr>
      <w:tr w:rsidR="00236E18" w:rsidRPr="006763AC" w:rsidTr="00294272">
        <w:trPr>
          <w:trHeight w:val="533"/>
        </w:trPr>
        <w:tc>
          <w:tcPr>
            <w:tcW w:w="4253" w:type="dxa"/>
            <w:tcBorders>
              <w:top w:val="nil"/>
              <w:left w:val="single" w:sz="8" w:space="0" w:color="auto"/>
              <w:bottom w:val="single" w:sz="8" w:space="0" w:color="auto"/>
              <w:right w:val="nil"/>
            </w:tcBorders>
            <w:tcMar>
              <w:top w:w="113" w:type="dxa"/>
              <w:left w:w="108" w:type="dxa"/>
              <w:bottom w:w="113" w:type="dxa"/>
              <w:right w:w="108" w:type="dxa"/>
            </w:tcMar>
            <w:hideMark/>
          </w:tcPr>
          <w:p w:rsidR="00236E18" w:rsidRPr="006763AC" w:rsidRDefault="00236E18" w:rsidP="00294272">
            <w:pPr>
              <w:widowControl w:val="0"/>
              <w:spacing w:line="276" w:lineRule="auto"/>
              <w:rPr>
                <w:rFonts w:eastAsiaTheme="minorHAnsi"/>
                <w:sz w:val="16"/>
                <w:szCs w:val="16"/>
              </w:rPr>
            </w:pPr>
            <w:r w:rsidRPr="006763AC">
              <w:rPr>
                <w:rFonts w:eastAsiaTheme="minorHAnsi"/>
                <w:sz w:val="16"/>
                <w:szCs w:val="16"/>
              </w:rPr>
              <w:t xml:space="preserve">Los cambios políticos o económicos pueden suponer que se vuelvan a definir las prioridades respecto de la atención que recibe la formulación de estrategias nacionales de P.I. y de innovación. </w:t>
            </w:r>
          </w:p>
        </w:tc>
        <w:tc>
          <w:tcPr>
            <w:tcW w:w="5245" w:type="dxa"/>
            <w:tcBorders>
              <w:top w:val="nil"/>
              <w:left w:val="nil"/>
              <w:bottom w:val="single" w:sz="8" w:space="0" w:color="auto"/>
              <w:right w:val="single" w:sz="8" w:space="0" w:color="auto"/>
            </w:tcBorders>
            <w:tcMar>
              <w:top w:w="113" w:type="dxa"/>
              <w:left w:w="108" w:type="dxa"/>
              <w:bottom w:w="113" w:type="dxa"/>
              <w:right w:w="108" w:type="dxa"/>
            </w:tcMar>
            <w:hideMark/>
          </w:tcPr>
          <w:p w:rsidR="00236E18" w:rsidRPr="006763AC" w:rsidRDefault="00236E18" w:rsidP="00294272">
            <w:pPr>
              <w:widowControl w:val="0"/>
              <w:spacing w:line="276" w:lineRule="auto"/>
              <w:rPr>
                <w:rFonts w:ascii="Calibri" w:eastAsiaTheme="minorHAnsi" w:hAnsi="Calibri"/>
                <w:szCs w:val="22"/>
              </w:rPr>
            </w:pPr>
            <w:r w:rsidRPr="006763AC">
              <w:rPr>
                <w:sz w:val="16"/>
                <w:szCs w:val="16"/>
              </w:rPr>
              <w:t xml:space="preserve">Colaborar estrechamente con beneficiarios, donantes y Estados miembros.  Planificar y coordinar todas las cuestiones de P.I. con otras organizaciones y asociados en el plano internacional.  </w:t>
            </w:r>
          </w:p>
        </w:tc>
      </w:tr>
    </w:tbl>
    <w:p w:rsidR="00236E18" w:rsidRPr="006763AC" w:rsidRDefault="00236E18" w:rsidP="00236E18">
      <w:pPr>
        <w:widowControl w:val="0"/>
        <w:rPr>
          <w:rFonts w:ascii="Calibri" w:eastAsiaTheme="minorHAnsi" w:hAnsi="Calibri"/>
          <w:szCs w:val="22"/>
        </w:rPr>
      </w:pPr>
    </w:p>
    <w:p w:rsidR="00236E18" w:rsidRPr="006763AC" w:rsidRDefault="00236E18" w:rsidP="00236E18">
      <w:pPr>
        <w:widowControl w:val="0"/>
        <w:rPr>
          <w:rFonts w:eastAsia="Arial"/>
          <w:szCs w:val="22"/>
        </w:rPr>
      </w:pPr>
    </w:p>
    <w:p w:rsidR="00236E18" w:rsidRPr="006763AC" w:rsidRDefault="00236E18" w:rsidP="00236E18">
      <w:pPr>
        <w:widowControl w:val="0"/>
        <w:rPr>
          <w:rFonts w:eastAsia="Arial"/>
          <w:szCs w:val="22"/>
        </w:rPr>
      </w:pPr>
      <w:r w:rsidRPr="006763AC">
        <w:rPr>
          <w:rFonts w:eastAsia="Arial"/>
          <w:szCs w:val="22"/>
        </w:rPr>
        <w:t>MARCO DE RESULTADOS</w:t>
      </w:r>
    </w:p>
    <w:p w:rsidR="00236E18" w:rsidRPr="006763AC" w:rsidRDefault="00236E18" w:rsidP="00236E18">
      <w:pPr>
        <w:widowControl w:val="0"/>
        <w:rPr>
          <w:rFonts w:eastAsia="Arial"/>
          <w:szCs w:val="22"/>
        </w:rPr>
      </w:pPr>
    </w:p>
    <w:tbl>
      <w:tblPr>
        <w:tblW w:w="9360" w:type="dxa"/>
        <w:tblInd w:w="93" w:type="dxa"/>
        <w:tblLook w:val="04A0" w:firstRow="1" w:lastRow="0" w:firstColumn="1" w:lastColumn="0" w:noHBand="0" w:noVBand="1"/>
      </w:tblPr>
      <w:tblGrid>
        <w:gridCol w:w="2820"/>
        <w:gridCol w:w="2780"/>
        <w:gridCol w:w="1480"/>
        <w:gridCol w:w="2280"/>
      </w:tblGrid>
      <w:tr w:rsidR="00236E18" w:rsidRPr="006763AC" w:rsidTr="00294272">
        <w:trPr>
          <w:trHeight w:val="600"/>
          <w:tblHeader/>
        </w:trPr>
        <w:tc>
          <w:tcPr>
            <w:tcW w:w="2820" w:type="dxa"/>
            <w:tcBorders>
              <w:top w:val="single" w:sz="4" w:space="0" w:color="auto"/>
              <w:left w:val="single" w:sz="4" w:space="0" w:color="auto"/>
              <w:bottom w:val="single" w:sz="4" w:space="0" w:color="auto"/>
              <w:right w:val="nil"/>
            </w:tcBorders>
            <w:shd w:val="clear" w:color="000000" w:fill="C5D9F1"/>
            <w:vAlign w:val="center"/>
            <w:hideMark/>
          </w:tcPr>
          <w:p w:rsidR="00236E18" w:rsidRPr="006763AC" w:rsidRDefault="00236E18" w:rsidP="00294272">
            <w:pPr>
              <w:widowControl w:val="0"/>
              <w:jc w:val="center"/>
              <w:rPr>
                <w:rFonts w:eastAsia="Times New Roman"/>
                <w:b/>
                <w:bCs/>
                <w:sz w:val="18"/>
                <w:szCs w:val="18"/>
              </w:rPr>
            </w:pPr>
            <w:r w:rsidRPr="006763AC">
              <w:rPr>
                <w:rFonts w:eastAsia="Times New Roman"/>
                <w:b/>
                <w:bCs/>
                <w:sz w:val="18"/>
                <w:szCs w:val="18"/>
              </w:rPr>
              <w:t>Resultados previstos</w:t>
            </w:r>
          </w:p>
        </w:tc>
        <w:tc>
          <w:tcPr>
            <w:tcW w:w="2780" w:type="dxa"/>
            <w:tcBorders>
              <w:top w:val="single" w:sz="4" w:space="0" w:color="auto"/>
              <w:left w:val="nil"/>
              <w:bottom w:val="single" w:sz="4" w:space="0" w:color="auto"/>
              <w:right w:val="nil"/>
            </w:tcBorders>
            <w:shd w:val="clear" w:color="000000" w:fill="C5D9F1"/>
            <w:vAlign w:val="center"/>
            <w:hideMark/>
          </w:tcPr>
          <w:p w:rsidR="00236E18" w:rsidRPr="006763AC" w:rsidRDefault="00236E18" w:rsidP="00294272">
            <w:pPr>
              <w:widowControl w:val="0"/>
              <w:jc w:val="center"/>
              <w:rPr>
                <w:rFonts w:eastAsia="Times New Roman"/>
                <w:b/>
                <w:bCs/>
                <w:sz w:val="18"/>
                <w:szCs w:val="18"/>
              </w:rPr>
            </w:pPr>
            <w:r w:rsidRPr="006763AC">
              <w:rPr>
                <w:rFonts w:eastAsia="Times New Roman"/>
                <w:b/>
                <w:bCs/>
                <w:sz w:val="18"/>
                <w:szCs w:val="18"/>
              </w:rPr>
              <w:t>Indicadores de rendimiento</w:t>
            </w:r>
          </w:p>
        </w:tc>
        <w:tc>
          <w:tcPr>
            <w:tcW w:w="1480" w:type="dxa"/>
            <w:tcBorders>
              <w:top w:val="single" w:sz="4" w:space="0" w:color="auto"/>
              <w:left w:val="nil"/>
              <w:bottom w:val="single" w:sz="4" w:space="0" w:color="auto"/>
              <w:right w:val="nil"/>
            </w:tcBorders>
            <w:shd w:val="clear" w:color="000000" w:fill="C5D9F1"/>
            <w:vAlign w:val="center"/>
            <w:hideMark/>
          </w:tcPr>
          <w:p w:rsidR="00236E18" w:rsidRPr="006763AC" w:rsidRDefault="00236E18" w:rsidP="00294272">
            <w:pPr>
              <w:widowControl w:val="0"/>
              <w:jc w:val="center"/>
              <w:rPr>
                <w:rFonts w:eastAsia="Times New Roman"/>
                <w:b/>
                <w:bCs/>
                <w:sz w:val="18"/>
                <w:szCs w:val="18"/>
              </w:rPr>
            </w:pPr>
            <w:r w:rsidRPr="006763AC">
              <w:rPr>
                <w:rFonts w:eastAsia="Times New Roman"/>
                <w:b/>
                <w:bCs/>
                <w:sz w:val="18"/>
                <w:szCs w:val="18"/>
              </w:rPr>
              <w:t>Referencia</w:t>
            </w:r>
          </w:p>
        </w:tc>
        <w:tc>
          <w:tcPr>
            <w:tcW w:w="2280" w:type="dxa"/>
            <w:tcBorders>
              <w:top w:val="single" w:sz="4" w:space="0" w:color="auto"/>
              <w:left w:val="nil"/>
              <w:bottom w:val="single" w:sz="4" w:space="0" w:color="auto"/>
              <w:right w:val="single" w:sz="4" w:space="0" w:color="auto"/>
            </w:tcBorders>
            <w:shd w:val="clear" w:color="000000" w:fill="C5D9F1"/>
            <w:vAlign w:val="center"/>
            <w:hideMark/>
          </w:tcPr>
          <w:p w:rsidR="00236E18" w:rsidRPr="006763AC" w:rsidRDefault="00236E18" w:rsidP="00294272">
            <w:pPr>
              <w:widowControl w:val="0"/>
              <w:jc w:val="center"/>
              <w:rPr>
                <w:rFonts w:eastAsia="Times New Roman"/>
                <w:b/>
                <w:bCs/>
                <w:sz w:val="18"/>
                <w:szCs w:val="18"/>
              </w:rPr>
            </w:pPr>
            <w:r w:rsidRPr="006763AC">
              <w:rPr>
                <w:rFonts w:eastAsia="Times New Roman"/>
                <w:b/>
                <w:bCs/>
                <w:sz w:val="18"/>
                <w:szCs w:val="18"/>
              </w:rPr>
              <w:t>Objetivos</w:t>
            </w:r>
          </w:p>
        </w:tc>
      </w:tr>
      <w:tr w:rsidR="00236E18" w:rsidRPr="006763AC" w:rsidTr="00294272">
        <w:trPr>
          <w:trHeight w:val="1122"/>
        </w:trPr>
        <w:tc>
          <w:tcPr>
            <w:tcW w:w="2820" w:type="dxa"/>
            <w:tcBorders>
              <w:top w:val="nil"/>
              <w:left w:val="single" w:sz="4" w:space="0" w:color="auto"/>
              <w:bottom w:val="nil"/>
              <w:right w:val="nil"/>
            </w:tcBorders>
            <w:shd w:val="clear" w:color="000000" w:fill="FFFFFF"/>
            <w:hideMark/>
          </w:tcPr>
          <w:p w:rsidR="00236E18" w:rsidRPr="00D463D6" w:rsidRDefault="00236E18" w:rsidP="00294272">
            <w:pPr>
              <w:widowControl w:val="0"/>
              <w:rPr>
                <w:rFonts w:eastAsia="Times New Roman"/>
                <w:sz w:val="16"/>
                <w:szCs w:val="16"/>
              </w:rPr>
            </w:pPr>
          </w:p>
          <w:p w:rsidR="00236E18" w:rsidRPr="00D463D6" w:rsidRDefault="00236E18" w:rsidP="00294272">
            <w:pPr>
              <w:widowControl w:val="0"/>
              <w:rPr>
                <w:rFonts w:eastAsia="Times New Roman"/>
                <w:sz w:val="16"/>
                <w:szCs w:val="16"/>
              </w:rPr>
            </w:pPr>
            <w:r w:rsidRPr="00D463D6">
              <w:rPr>
                <w:rFonts w:eastAsia="Times New Roman"/>
                <w:sz w:val="16"/>
                <w:szCs w:val="16"/>
              </w:rPr>
              <w:t xml:space="preserve">III.1  </w:t>
            </w:r>
            <w:r w:rsidRPr="00D463D6">
              <w:rPr>
                <w:sz w:val="16"/>
                <w:szCs w:val="16"/>
                <w:lang w:val="es-ES_tradnl"/>
              </w:rPr>
              <w:t>Estrategias y planes nacionales de innovación y de P.I. que estén en sintonía con los objetivos nacionales de desarrollo</w:t>
            </w:r>
          </w:p>
        </w:tc>
        <w:tc>
          <w:tcPr>
            <w:tcW w:w="2780" w:type="dxa"/>
            <w:tcBorders>
              <w:top w:val="nil"/>
              <w:left w:val="nil"/>
              <w:bottom w:val="nil"/>
              <w:right w:val="nil"/>
            </w:tcBorders>
            <w:shd w:val="clear" w:color="000000" w:fill="FFFFFF"/>
            <w:hideMark/>
          </w:tcPr>
          <w:p w:rsidR="00236E18" w:rsidRPr="006763AC" w:rsidRDefault="00236E18" w:rsidP="00294272">
            <w:pPr>
              <w:widowControl w:val="0"/>
              <w:ind w:left="206" w:firstLineChars="71" w:firstLine="114"/>
              <w:rPr>
                <w:rFonts w:eastAsia="Times New Roman"/>
                <w:sz w:val="16"/>
                <w:szCs w:val="16"/>
              </w:rPr>
            </w:pPr>
          </w:p>
          <w:p w:rsidR="00236E18" w:rsidRPr="006763AC" w:rsidRDefault="00236E18" w:rsidP="00294272">
            <w:pPr>
              <w:widowControl w:val="0"/>
              <w:ind w:left="64"/>
              <w:rPr>
                <w:rFonts w:eastAsia="Times New Roman"/>
                <w:sz w:val="16"/>
                <w:szCs w:val="16"/>
              </w:rPr>
            </w:pPr>
            <w:r w:rsidRPr="006763AC">
              <w:rPr>
                <w:rFonts w:eastAsia="Times New Roman"/>
                <w:sz w:val="16"/>
                <w:szCs w:val="16"/>
              </w:rPr>
              <w:t>N</w:t>
            </w:r>
            <w:r>
              <w:rPr>
                <w:rFonts w:eastAsia="Times New Roman"/>
                <w:sz w:val="16"/>
                <w:szCs w:val="16"/>
              </w:rPr>
              <w:t>º</w:t>
            </w:r>
            <w:r w:rsidRPr="006763AC">
              <w:rPr>
                <w:rFonts w:eastAsia="Times New Roman"/>
                <w:sz w:val="16"/>
                <w:szCs w:val="16"/>
              </w:rPr>
              <w:t xml:space="preserve"> de estrategias nacionales de P.I. encaminadas a promover la creatividad, incluida la innovación. </w:t>
            </w:r>
          </w:p>
        </w:tc>
        <w:tc>
          <w:tcPr>
            <w:tcW w:w="1480" w:type="dxa"/>
            <w:tcBorders>
              <w:top w:val="nil"/>
              <w:left w:val="nil"/>
              <w:bottom w:val="nil"/>
              <w:right w:val="nil"/>
            </w:tcBorders>
            <w:shd w:val="clear" w:color="000000" w:fill="FFFFFF"/>
            <w:hideMark/>
          </w:tcPr>
          <w:p w:rsidR="00236E18" w:rsidRPr="006763AC" w:rsidRDefault="00236E18" w:rsidP="00294272">
            <w:pPr>
              <w:widowControl w:val="0"/>
              <w:ind w:left="261" w:firstLineChars="36" w:firstLine="58"/>
              <w:rPr>
                <w:rFonts w:eastAsia="Times New Roman"/>
                <w:sz w:val="16"/>
                <w:szCs w:val="16"/>
              </w:rPr>
            </w:pPr>
          </w:p>
          <w:p w:rsidR="00236E18" w:rsidRPr="006763AC" w:rsidRDefault="00236E18" w:rsidP="00294272">
            <w:pPr>
              <w:widowControl w:val="0"/>
              <w:ind w:left="119"/>
              <w:rPr>
                <w:rFonts w:eastAsia="Times New Roman"/>
                <w:sz w:val="16"/>
                <w:szCs w:val="16"/>
              </w:rPr>
            </w:pPr>
            <w:r>
              <w:rPr>
                <w:rFonts w:eastAsia="Times New Roman"/>
                <w:sz w:val="16"/>
                <w:szCs w:val="16"/>
              </w:rPr>
              <w:t>4 iniciadas (2014)</w:t>
            </w:r>
          </w:p>
        </w:tc>
        <w:tc>
          <w:tcPr>
            <w:tcW w:w="2280" w:type="dxa"/>
            <w:tcBorders>
              <w:top w:val="nil"/>
              <w:left w:val="nil"/>
              <w:bottom w:val="nil"/>
              <w:right w:val="single" w:sz="4" w:space="0" w:color="auto"/>
            </w:tcBorders>
            <w:shd w:val="clear" w:color="000000" w:fill="FFFFFF"/>
            <w:hideMark/>
          </w:tcPr>
          <w:p w:rsidR="00236E18" w:rsidRPr="006763AC" w:rsidRDefault="00236E18" w:rsidP="00294272">
            <w:pPr>
              <w:widowControl w:val="0"/>
              <w:ind w:leftChars="140" w:left="310" w:hangingChars="1" w:hanging="2"/>
              <w:rPr>
                <w:rFonts w:eastAsia="Times New Roman"/>
                <w:sz w:val="16"/>
                <w:szCs w:val="16"/>
              </w:rPr>
            </w:pPr>
          </w:p>
          <w:p w:rsidR="00236E18" w:rsidRPr="006763AC" w:rsidRDefault="00236E18" w:rsidP="00294272">
            <w:pPr>
              <w:widowControl w:val="0"/>
              <w:ind w:leftChars="140" w:left="310" w:hangingChars="1" w:hanging="2"/>
              <w:rPr>
                <w:rFonts w:eastAsia="Times New Roman"/>
                <w:sz w:val="16"/>
                <w:szCs w:val="16"/>
              </w:rPr>
            </w:pPr>
            <w:r w:rsidRPr="006763AC">
              <w:rPr>
                <w:rFonts w:eastAsia="Times New Roman"/>
                <w:sz w:val="16"/>
                <w:szCs w:val="16"/>
              </w:rPr>
              <w:t>5 países</w:t>
            </w:r>
          </w:p>
        </w:tc>
      </w:tr>
      <w:tr w:rsidR="00236E18" w:rsidRPr="006763AC" w:rsidTr="00294272">
        <w:trPr>
          <w:trHeight w:val="1449"/>
        </w:trPr>
        <w:tc>
          <w:tcPr>
            <w:tcW w:w="2820" w:type="dxa"/>
            <w:tcBorders>
              <w:top w:val="nil"/>
              <w:left w:val="single" w:sz="4" w:space="0" w:color="auto"/>
              <w:bottom w:val="nil"/>
              <w:right w:val="nil"/>
            </w:tcBorders>
            <w:shd w:val="clear" w:color="000000" w:fill="FFFFFF"/>
            <w:hideMark/>
          </w:tcPr>
          <w:p w:rsidR="00236E18" w:rsidRPr="00D463D6" w:rsidRDefault="00236E18" w:rsidP="00294272">
            <w:pPr>
              <w:widowControl w:val="0"/>
              <w:rPr>
                <w:rFonts w:eastAsia="Times New Roman"/>
                <w:sz w:val="16"/>
                <w:szCs w:val="16"/>
              </w:rPr>
            </w:pPr>
            <w:r w:rsidRPr="00D463D6">
              <w:rPr>
                <w:rFonts w:eastAsia="Times New Roman"/>
                <w:sz w:val="16"/>
                <w:szCs w:val="16"/>
              </w:rPr>
              <w:t xml:space="preserve">III.2  </w:t>
            </w:r>
            <w:r w:rsidRPr="00D463D6">
              <w:rPr>
                <w:sz w:val="16"/>
                <w:szCs w:val="16"/>
                <w:lang w:val="es-ES_tradnl"/>
              </w:rPr>
              <w:t>Aumento de las capacidades en recursos humanos para hacer frente a la gran diversidad de exigencias que supone la utilización eficaz de la P.I. para fomentar el desarrollo en los países en desarrollo, PMA y países con economías en transición</w:t>
            </w:r>
          </w:p>
        </w:tc>
        <w:tc>
          <w:tcPr>
            <w:tcW w:w="2780" w:type="dxa"/>
            <w:tcBorders>
              <w:top w:val="nil"/>
              <w:left w:val="nil"/>
              <w:bottom w:val="nil"/>
              <w:right w:val="nil"/>
            </w:tcBorders>
            <w:shd w:val="clear" w:color="000000" w:fill="FFFFFF"/>
            <w:hideMark/>
          </w:tcPr>
          <w:p w:rsidR="00236E18" w:rsidRPr="006763AC" w:rsidRDefault="00236E18" w:rsidP="00294272">
            <w:pPr>
              <w:widowControl w:val="0"/>
              <w:ind w:left="64"/>
              <w:rPr>
                <w:rFonts w:eastAsia="Times New Roman"/>
                <w:sz w:val="16"/>
                <w:szCs w:val="16"/>
              </w:rPr>
            </w:pPr>
            <w:r w:rsidRPr="006763AC">
              <w:rPr>
                <w:rFonts w:eastAsia="Times New Roman"/>
                <w:sz w:val="16"/>
                <w:szCs w:val="16"/>
              </w:rPr>
              <w:t xml:space="preserve">Porcentaje de profesionales de la P.I. formados que utilizan en su trabajo </w:t>
            </w:r>
            <w:r>
              <w:rPr>
                <w:rFonts w:eastAsia="Times New Roman"/>
                <w:sz w:val="16"/>
                <w:szCs w:val="16"/>
              </w:rPr>
              <w:t>las nuevas aptitudes adquiridas</w:t>
            </w:r>
          </w:p>
        </w:tc>
        <w:tc>
          <w:tcPr>
            <w:tcW w:w="1480" w:type="dxa"/>
            <w:tcBorders>
              <w:top w:val="nil"/>
              <w:left w:val="nil"/>
              <w:bottom w:val="nil"/>
              <w:right w:val="nil"/>
            </w:tcBorders>
            <w:shd w:val="clear" w:color="000000" w:fill="FFFFFF"/>
            <w:hideMark/>
          </w:tcPr>
          <w:p w:rsidR="00236E18" w:rsidRPr="006763AC" w:rsidRDefault="00236E18" w:rsidP="00294272">
            <w:pPr>
              <w:widowControl w:val="0"/>
              <w:ind w:left="119"/>
              <w:rPr>
                <w:rFonts w:eastAsia="Times New Roman"/>
                <w:sz w:val="16"/>
                <w:szCs w:val="16"/>
              </w:rPr>
            </w:pPr>
            <w:r>
              <w:rPr>
                <w:rFonts w:eastAsia="Times New Roman"/>
                <w:sz w:val="16"/>
                <w:szCs w:val="16"/>
              </w:rPr>
              <w:t>&gt; 60%</w:t>
            </w:r>
          </w:p>
        </w:tc>
        <w:tc>
          <w:tcPr>
            <w:tcW w:w="2280" w:type="dxa"/>
            <w:tcBorders>
              <w:top w:val="nil"/>
              <w:left w:val="nil"/>
              <w:bottom w:val="nil"/>
              <w:right w:val="single" w:sz="4" w:space="0" w:color="auto"/>
            </w:tcBorders>
            <w:shd w:val="clear" w:color="000000" w:fill="FFFFFF"/>
            <w:hideMark/>
          </w:tcPr>
          <w:p w:rsidR="00236E18" w:rsidRPr="006763AC" w:rsidRDefault="00236E18" w:rsidP="00294272">
            <w:pPr>
              <w:widowControl w:val="0"/>
              <w:ind w:firstLineChars="200" w:firstLine="320"/>
              <w:rPr>
                <w:rFonts w:eastAsia="Times New Roman"/>
                <w:sz w:val="16"/>
                <w:szCs w:val="16"/>
              </w:rPr>
            </w:pPr>
            <w:r w:rsidRPr="006763AC">
              <w:rPr>
                <w:rFonts w:eastAsia="Times New Roman"/>
                <w:sz w:val="16"/>
                <w:szCs w:val="16"/>
              </w:rPr>
              <w:t>50%</w:t>
            </w:r>
          </w:p>
        </w:tc>
      </w:tr>
      <w:tr w:rsidR="00236E18" w:rsidRPr="006763AC" w:rsidTr="00294272">
        <w:trPr>
          <w:trHeight w:val="1161"/>
        </w:trPr>
        <w:tc>
          <w:tcPr>
            <w:tcW w:w="2820" w:type="dxa"/>
            <w:tcBorders>
              <w:top w:val="nil"/>
              <w:left w:val="single" w:sz="4" w:space="0" w:color="auto"/>
              <w:bottom w:val="nil"/>
              <w:right w:val="nil"/>
            </w:tcBorders>
            <w:shd w:val="clear" w:color="000000" w:fill="FFFFFF"/>
            <w:hideMark/>
          </w:tcPr>
          <w:p w:rsidR="00236E18" w:rsidRPr="00D463D6" w:rsidRDefault="00236E18" w:rsidP="00294272">
            <w:pPr>
              <w:widowControl w:val="0"/>
              <w:rPr>
                <w:rFonts w:eastAsia="Times New Roman"/>
                <w:sz w:val="16"/>
                <w:szCs w:val="16"/>
              </w:rPr>
            </w:pPr>
          </w:p>
          <w:p w:rsidR="00236E18" w:rsidRPr="00D463D6" w:rsidRDefault="00236E18" w:rsidP="00294272">
            <w:pPr>
              <w:widowControl w:val="0"/>
              <w:rPr>
                <w:rFonts w:eastAsia="Times New Roman"/>
                <w:sz w:val="16"/>
                <w:szCs w:val="16"/>
              </w:rPr>
            </w:pPr>
            <w:r w:rsidRPr="00D463D6">
              <w:rPr>
                <w:rFonts w:eastAsia="Times New Roman"/>
                <w:sz w:val="16"/>
                <w:szCs w:val="16"/>
              </w:rPr>
              <w:t xml:space="preserve">III.6  </w:t>
            </w:r>
            <w:r w:rsidRPr="00D463D6">
              <w:rPr>
                <w:sz w:val="16"/>
                <w:szCs w:val="16"/>
                <w:lang w:val="es-ES_tradnl"/>
              </w:rPr>
              <w:t>Mayor capacidad de las pymes para utilizar con éxito la P.I. con el fin de apoyar la innovación</w:t>
            </w:r>
          </w:p>
        </w:tc>
        <w:tc>
          <w:tcPr>
            <w:tcW w:w="2780" w:type="dxa"/>
            <w:tcBorders>
              <w:top w:val="nil"/>
              <w:left w:val="nil"/>
              <w:bottom w:val="nil"/>
              <w:right w:val="nil"/>
            </w:tcBorders>
            <w:shd w:val="clear" w:color="000000" w:fill="FFFFFF"/>
            <w:hideMark/>
          </w:tcPr>
          <w:p w:rsidR="00236E18" w:rsidRPr="00A9639F" w:rsidRDefault="00236E18" w:rsidP="00294272">
            <w:pPr>
              <w:keepNext/>
              <w:keepLines/>
              <w:rPr>
                <w:sz w:val="16"/>
                <w:szCs w:val="16"/>
              </w:rPr>
            </w:pPr>
            <w:r w:rsidRPr="00A9639F">
              <w:rPr>
                <w:sz w:val="16"/>
                <w:szCs w:val="16"/>
              </w:rPr>
              <w:t>Número de suscripciones al Boletín sobre las pymes</w:t>
            </w:r>
          </w:p>
          <w:p w:rsidR="00236E18" w:rsidRPr="00A9639F" w:rsidRDefault="00236E18" w:rsidP="00294272">
            <w:pPr>
              <w:keepNext/>
              <w:keepLines/>
              <w:rPr>
                <w:sz w:val="16"/>
                <w:szCs w:val="16"/>
              </w:rPr>
            </w:pPr>
          </w:p>
          <w:p w:rsidR="00236E18" w:rsidRPr="00A9639F" w:rsidRDefault="00236E18" w:rsidP="00294272">
            <w:pPr>
              <w:keepNext/>
              <w:keepLines/>
              <w:rPr>
                <w:sz w:val="16"/>
                <w:szCs w:val="16"/>
              </w:rPr>
            </w:pPr>
          </w:p>
          <w:p w:rsidR="00236E18" w:rsidRPr="00A9639F" w:rsidRDefault="00236E18" w:rsidP="00294272">
            <w:pPr>
              <w:keepNext/>
              <w:keepLines/>
              <w:rPr>
                <w:sz w:val="16"/>
                <w:szCs w:val="16"/>
              </w:rPr>
            </w:pPr>
            <w:r w:rsidRPr="00A9639F">
              <w:rPr>
                <w:sz w:val="16"/>
                <w:szCs w:val="16"/>
              </w:rPr>
              <w:t>Número de consultas de material  de información y directrices en el ámbito de las pymes</w:t>
            </w:r>
          </w:p>
          <w:p w:rsidR="00236E18" w:rsidRPr="00A9639F" w:rsidRDefault="00236E18" w:rsidP="00294272">
            <w:pPr>
              <w:keepNext/>
              <w:keepLines/>
              <w:rPr>
                <w:sz w:val="16"/>
                <w:szCs w:val="16"/>
              </w:rPr>
            </w:pPr>
          </w:p>
          <w:p w:rsidR="00236E18" w:rsidRPr="00A9639F" w:rsidRDefault="00236E18" w:rsidP="00294272">
            <w:pPr>
              <w:keepNext/>
              <w:keepLines/>
              <w:rPr>
                <w:sz w:val="16"/>
                <w:szCs w:val="16"/>
              </w:rPr>
            </w:pPr>
          </w:p>
          <w:p w:rsidR="00236E18" w:rsidRPr="00A9639F" w:rsidRDefault="00236E18" w:rsidP="00294272">
            <w:pPr>
              <w:keepNext/>
              <w:keepLines/>
              <w:rPr>
                <w:sz w:val="16"/>
                <w:szCs w:val="16"/>
              </w:rPr>
            </w:pPr>
          </w:p>
          <w:p w:rsidR="00236E18" w:rsidRPr="00A9639F" w:rsidRDefault="00236E18" w:rsidP="00294272">
            <w:pPr>
              <w:keepNext/>
              <w:keepLines/>
              <w:rPr>
                <w:sz w:val="16"/>
                <w:szCs w:val="16"/>
              </w:rPr>
            </w:pPr>
          </w:p>
          <w:p w:rsidR="00236E18" w:rsidRPr="00A9639F" w:rsidRDefault="00236E18" w:rsidP="00294272">
            <w:pPr>
              <w:widowControl w:val="0"/>
              <w:rPr>
                <w:rFonts w:eastAsia="Times New Roman"/>
                <w:sz w:val="16"/>
                <w:szCs w:val="16"/>
              </w:rPr>
            </w:pPr>
          </w:p>
          <w:p w:rsidR="00236E18" w:rsidRPr="00A9639F" w:rsidRDefault="00236E18" w:rsidP="00294272">
            <w:pPr>
              <w:keepNext/>
              <w:keepLines/>
              <w:rPr>
                <w:sz w:val="16"/>
                <w:szCs w:val="16"/>
              </w:rPr>
            </w:pPr>
          </w:p>
          <w:p w:rsidR="00236E18" w:rsidRPr="00A9639F" w:rsidRDefault="00236E18" w:rsidP="00294272">
            <w:pPr>
              <w:keepNext/>
              <w:keepLines/>
              <w:rPr>
                <w:sz w:val="16"/>
                <w:szCs w:val="16"/>
              </w:rPr>
            </w:pPr>
          </w:p>
          <w:p w:rsidR="00236E18" w:rsidRPr="00A9639F" w:rsidRDefault="00236E18" w:rsidP="00294272">
            <w:pPr>
              <w:keepNext/>
              <w:keepLines/>
              <w:rPr>
                <w:sz w:val="16"/>
                <w:szCs w:val="16"/>
              </w:rPr>
            </w:pPr>
          </w:p>
          <w:p w:rsidR="00236E18" w:rsidRPr="00A9639F" w:rsidRDefault="00236E18" w:rsidP="00294272">
            <w:pPr>
              <w:keepNext/>
              <w:keepLines/>
              <w:rPr>
                <w:sz w:val="16"/>
                <w:szCs w:val="16"/>
              </w:rPr>
            </w:pPr>
          </w:p>
          <w:p w:rsidR="00236E18" w:rsidRPr="00A9639F" w:rsidRDefault="00236E18" w:rsidP="00294272">
            <w:pPr>
              <w:keepNext/>
              <w:keepLines/>
              <w:rPr>
                <w:sz w:val="16"/>
                <w:szCs w:val="16"/>
              </w:rPr>
            </w:pPr>
          </w:p>
          <w:p w:rsidR="00236E18" w:rsidRPr="00A9639F" w:rsidRDefault="00236E18" w:rsidP="00294272">
            <w:pPr>
              <w:keepNext/>
              <w:keepLines/>
              <w:rPr>
                <w:sz w:val="16"/>
                <w:szCs w:val="16"/>
              </w:rPr>
            </w:pPr>
            <w:r w:rsidRPr="00A9639F">
              <w:rPr>
                <w:sz w:val="16"/>
                <w:szCs w:val="16"/>
              </w:rPr>
              <w:t>Porcentaje de participantes en programas de formación destinados a instituciones de apoyo a las pymes que manifiestan satisfacción con el contenido y la organización de esos eventos.</w:t>
            </w:r>
          </w:p>
          <w:p w:rsidR="00236E18" w:rsidRPr="00A9639F" w:rsidRDefault="00236E18" w:rsidP="00294272">
            <w:pPr>
              <w:keepNext/>
              <w:keepLines/>
              <w:rPr>
                <w:rFonts w:eastAsia="Times New Roman"/>
                <w:sz w:val="16"/>
                <w:szCs w:val="16"/>
              </w:rPr>
            </w:pPr>
          </w:p>
        </w:tc>
        <w:tc>
          <w:tcPr>
            <w:tcW w:w="1480" w:type="dxa"/>
            <w:tcBorders>
              <w:top w:val="nil"/>
              <w:left w:val="nil"/>
              <w:bottom w:val="nil"/>
              <w:right w:val="nil"/>
            </w:tcBorders>
            <w:shd w:val="clear" w:color="000000" w:fill="FFFFFF"/>
            <w:hideMark/>
          </w:tcPr>
          <w:p w:rsidR="00236E18" w:rsidRPr="00A9639F" w:rsidRDefault="00236E18" w:rsidP="00294272">
            <w:pPr>
              <w:widowControl w:val="0"/>
              <w:ind w:left="119"/>
              <w:rPr>
                <w:rFonts w:eastAsia="Times New Roman"/>
                <w:sz w:val="16"/>
                <w:szCs w:val="16"/>
              </w:rPr>
            </w:pPr>
            <w:r w:rsidRPr="00A9639F">
              <w:rPr>
                <w:rFonts w:eastAsia="Times New Roman"/>
                <w:sz w:val="16"/>
                <w:szCs w:val="16"/>
              </w:rPr>
              <w:t>40.510 (2014)</w:t>
            </w:r>
          </w:p>
          <w:p w:rsidR="00236E18" w:rsidRPr="00A9639F" w:rsidRDefault="00236E18" w:rsidP="00294272">
            <w:pPr>
              <w:widowControl w:val="0"/>
              <w:ind w:left="119"/>
              <w:rPr>
                <w:rFonts w:eastAsia="Times New Roman"/>
                <w:sz w:val="16"/>
                <w:szCs w:val="16"/>
              </w:rPr>
            </w:pPr>
          </w:p>
          <w:p w:rsidR="00236E18" w:rsidRPr="00A9639F" w:rsidRDefault="00236E18" w:rsidP="00294272">
            <w:pPr>
              <w:widowControl w:val="0"/>
              <w:ind w:left="119"/>
              <w:rPr>
                <w:rFonts w:eastAsia="Times New Roman"/>
                <w:sz w:val="16"/>
                <w:szCs w:val="16"/>
              </w:rPr>
            </w:pPr>
          </w:p>
          <w:p w:rsidR="00236E18" w:rsidRPr="00A9639F" w:rsidRDefault="00236E18" w:rsidP="00294272">
            <w:pPr>
              <w:widowControl w:val="0"/>
              <w:ind w:left="119"/>
              <w:rPr>
                <w:rFonts w:eastAsia="Times New Roman"/>
                <w:sz w:val="16"/>
                <w:szCs w:val="16"/>
              </w:rPr>
            </w:pPr>
          </w:p>
          <w:p w:rsidR="00236E18" w:rsidRPr="00A9639F" w:rsidRDefault="00236E18" w:rsidP="00294272">
            <w:pPr>
              <w:widowControl w:val="0"/>
              <w:ind w:left="119"/>
              <w:rPr>
                <w:rFonts w:eastAsia="Times New Roman"/>
                <w:sz w:val="16"/>
                <w:szCs w:val="16"/>
              </w:rPr>
            </w:pPr>
            <w:r w:rsidRPr="00A9639F">
              <w:rPr>
                <w:rFonts w:eastAsia="Times New Roman"/>
                <w:sz w:val="16"/>
                <w:szCs w:val="16"/>
              </w:rPr>
              <w:t>2014:  Nº de consultas:  70.559</w:t>
            </w:r>
          </w:p>
          <w:p w:rsidR="00236E18" w:rsidRPr="00A9639F" w:rsidRDefault="00236E18" w:rsidP="00294272">
            <w:pPr>
              <w:widowControl w:val="0"/>
              <w:ind w:left="119"/>
              <w:rPr>
                <w:rFonts w:eastAsia="Times New Roman"/>
                <w:sz w:val="16"/>
                <w:szCs w:val="16"/>
              </w:rPr>
            </w:pPr>
          </w:p>
          <w:p w:rsidR="00236E18" w:rsidRPr="00A9639F" w:rsidRDefault="00236E18" w:rsidP="00294272">
            <w:pPr>
              <w:widowControl w:val="0"/>
              <w:ind w:left="119"/>
              <w:rPr>
                <w:rFonts w:eastAsia="Times New Roman"/>
                <w:sz w:val="16"/>
                <w:szCs w:val="16"/>
              </w:rPr>
            </w:pPr>
            <w:r w:rsidRPr="00A9639F">
              <w:rPr>
                <w:rFonts w:eastAsia="Times New Roman"/>
                <w:sz w:val="16"/>
                <w:szCs w:val="16"/>
              </w:rPr>
              <w:t>Nº de páginas consultadas del portal de Pymes de internet:  821.150</w:t>
            </w:r>
          </w:p>
          <w:p w:rsidR="00236E18" w:rsidRPr="00A9639F" w:rsidRDefault="00236E18" w:rsidP="00294272">
            <w:pPr>
              <w:widowControl w:val="0"/>
              <w:ind w:left="119"/>
              <w:rPr>
                <w:rFonts w:eastAsia="Times New Roman"/>
                <w:sz w:val="16"/>
                <w:szCs w:val="16"/>
              </w:rPr>
            </w:pPr>
          </w:p>
          <w:p w:rsidR="00236E18" w:rsidRPr="00A9639F" w:rsidRDefault="00236E18" w:rsidP="00294272">
            <w:pPr>
              <w:widowControl w:val="0"/>
              <w:ind w:left="119"/>
              <w:rPr>
                <w:rFonts w:eastAsia="Times New Roman"/>
                <w:sz w:val="16"/>
                <w:szCs w:val="16"/>
              </w:rPr>
            </w:pPr>
          </w:p>
          <w:p w:rsidR="00236E18" w:rsidRPr="00A9639F" w:rsidRDefault="00236E18" w:rsidP="00294272">
            <w:pPr>
              <w:widowControl w:val="0"/>
              <w:ind w:left="119"/>
              <w:rPr>
                <w:rFonts w:eastAsia="Times New Roman"/>
                <w:sz w:val="16"/>
                <w:szCs w:val="16"/>
              </w:rPr>
            </w:pPr>
          </w:p>
          <w:p w:rsidR="00236E18" w:rsidRPr="00A9639F" w:rsidRDefault="00236E18" w:rsidP="00294272">
            <w:pPr>
              <w:widowControl w:val="0"/>
              <w:ind w:left="119"/>
              <w:rPr>
                <w:rFonts w:eastAsia="Times New Roman"/>
                <w:sz w:val="16"/>
                <w:szCs w:val="16"/>
              </w:rPr>
            </w:pPr>
            <w:r w:rsidRPr="00A9639F">
              <w:rPr>
                <w:rFonts w:eastAsia="Times New Roman"/>
                <w:sz w:val="16"/>
                <w:szCs w:val="16"/>
              </w:rPr>
              <w:t>100%</w:t>
            </w:r>
          </w:p>
          <w:p w:rsidR="00236E18" w:rsidRPr="00A9639F" w:rsidRDefault="00236E18" w:rsidP="00294272">
            <w:pPr>
              <w:widowControl w:val="0"/>
              <w:ind w:left="119"/>
              <w:rPr>
                <w:rFonts w:eastAsia="Times New Roman"/>
                <w:sz w:val="16"/>
                <w:szCs w:val="16"/>
              </w:rPr>
            </w:pPr>
          </w:p>
          <w:p w:rsidR="00236E18" w:rsidRPr="00A9639F" w:rsidRDefault="00236E18" w:rsidP="00294272">
            <w:pPr>
              <w:widowControl w:val="0"/>
              <w:ind w:left="119"/>
              <w:rPr>
                <w:rFonts w:eastAsia="Times New Roman"/>
                <w:sz w:val="16"/>
                <w:szCs w:val="16"/>
              </w:rPr>
            </w:pPr>
          </w:p>
          <w:p w:rsidR="00236E18" w:rsidRPr="00A9639F" w:rsidRDefault="00236E18" w:rsidP="00294272">
            <w:pPr>
              <w:widowControl w:val="0"/>
              <w:ind w:left="119"/>
              <w:rPr>
                <w:rFonts w:eastAsia="Times New Roman"/>
                <w:sz w:val="16"/>
                <w:szCs w:val="16"/>
              </w:rPr>
            </w:pPr>
          </w:p>
        </w:tc>
        <w:tc>
          <w:tcPr>
            <w:tcW w:w="2280" w:type="dxa"/>
            <w:tcBorders>
              <w:top w:val="nil"/>
              <w:left w:val="nil"/>
              <w:bottom w:val="nil"/>
              <w:right w:val="single" w:sz="4" w:space="0" w:color="auto"/>
            </w:tcBorders>
            <w:shd w:val="clear" w:color="000000" w:fill="FFFFFF"/>
            <w:hideMark/>
          </w:tcPr>
          <w:p w:rsidR="00236E18" w:rsidRDefault="00236E18" w:rsidP="00294272">
            <w:pPr>
              <w:widowControl w:val="0"/>
              <w:ind w:firstLineChars="200" w:firstLine="320"/>
              <w:rPr>
                <w:rFonts w:eastAsia="Times New Roman"/>
                <w:sz w:val="16"/>
                <w:szCs w:val="16"/>
              </w:rPr>
            </w:pPr>
            <w:r>
              <w:rPr>
                <w:rFonts w:eastAsia="Times New Roman"/>
                <w:sz w:val="16"/>
                <w:szCs w:val="16"/>
              </w:rPr>
              <w:t>10%</w:t>
            </w: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r>
              <w:rPr>
                <w:rFonts w:eastAsia="Times New Roman"/>
                <w:sz w:val="16"/>
                <w:szCs w:val="16"/>
              </w:rPr>
              <w:t>10%</w:t>
            </w: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r>
              <w:rPr>
                <w:rFonts w:eastAsia="Times New Roman"/>
                <w:sz w:val="16"/>
                <w:szCs w:val="16"/>
              </w:rPr>
              <w:t>10%</w:t>
            </w:r>
          </w:p>
          <w:p w:rsidR="00236E18" w:rsidRPr="006763AC"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Pr="006763AC" w:rsidRDefault="00236E18" w:rsidP="00294272">
            <w:pPr>
              <w:widowControl w:val="0"/>
              <w:ind w:firstLineChars="200" w:firstLine="320"/>
              <w:rPr>
                <w:rFonts w:eastAsia="Times New Roman"/>
                <w:sz w:val="16"/>
                <w:szCs w:val="16"/>
              </w:rPr>
            </w:pPr>
            <w:r>
              <w:rPr>
                <w:rFonts w:eastAsia="Times New Roman"/>
                <w:sz w:val="16"/>
                <w:szCs w:val="16"/>
              </w:rPr>
              <w:t>90%</w:t>
            </w:r>
          </w:p>
        </w:tc>
      </w:tr>
      <w:tr w:rsidR="00236E18" w:rsidRPr="006763AC" w:rsidTr="00294272">
        <w:trPr>
          <w:trHeight w:val="1089"/>
        </w:trPr>
        <w:tc>
          <w:tcPr>
            <w:tcW w:w="2820" w:type="dxa"/>
            <w:tcBorders>
              <w:top w:val="nil"/>
              <w:left w:val="single" w:sz="4" w:space="0" w:color="auto"/>
              <w:right w:val="nil"/>
            </w:tcBorders>
            <w:shd w:val="clear" w:color="000000" w:fill="FFFFFF"/>
            <w:hideMark/>
          </w:tcPr>
          <w:p w:rsidR="00236E18" w:rsidRPr="006763AC" w:rsidRDefault="00236E18" w:rsidP="00294272">
            <w:pPr>
              <w:widowControl w:val="0"/>
              <w:rPr>
                <w:rFonts w:eastAsia="Times New Roman"/>
                <w:sz w:val="16"/>
                <w:szCs w:val="16"/>
              </w:rPr>
            </w:pPr>
            <w:r w:rsidRPr="006763AC">
              <w:rPr>
                <w:rFonts w:eastAsia="Times New Roman"/>
                <w:sz w:val="16"/>
                <w:szCs w:val="16"/>
              </w:rPr>
              <w:t> </w:t>
            </w:r>
          </w:p>
        </w:tc>
        <w:tc>
          <w:tcPr>
            <w:tcW w:w="2780" w:type="dxa"/>
            <w:tcBorders>
              <w:top w:val="nil"/>
              <w:left w:val="nil"/>
              <w:right w:val="nil"/>
            </w:tcBorders>
            <w:shd w:val="clear" w:color="000000" w:fill="FFFFFF"/>
            <w:hideMark/>
          </w:tcPr>
          <w:p w:rsidR="00236E18" w:rsidRPr="00A9639F" w:rsidRDefault="00236E18" w:rsidP="00294272">
            <w:pPr>
              <w:keepNext/>
              <w:keepLines/>
              <w:rPr>
                <w:rFonts w:eastAsia="Times New Roman"/>
                <w:sz w:val="16"/>
                <w:szCs w:val="16"/>
              </w:rPr>
            </w:pPr>
            <w:r w:rsidRPr="00A9639F">
              <w:rPr>
                <w:rFonts w:eastAsia="Times New Roman"/>
                <w:sz w:val="16"/>
                <w:szCs w:val="16"/>
              </w:rPr>
              <w:t xml:space="preserve">Porcentaje de instituciones de respaldo a las pymes que han recibido formación y, a su vez, proporcionan información y servicios de asesoramiento sobre la gestión de activos de P.I. </w:t>
            </w:r>
          </w:p>
          <w:p w:rsidR="00236E18" w:rsidRPr="00A9639F" w:rsidRDefault="00236E18" w:rsidP="00294272">
            <w:pPr>
              <w:keepNext/>
              <w:keepLines/>
              <w:rPr>
                <w:sz w:val="16"/>
                <w:szCs w:val="16"/>
              </w:rPr>
            </w:pPr>
          </w:p>
          <w:p w:rsidR="00236E18" w:rsidRPr="00A9639F" w:rsidRDefault="00236E18" w:rsidP="00294272">
            <w:pPr>
              <w:keepNext/>
              <w:keepLines/>
              <w:rPr>
                <w:rFonts w:eastAsia="Times New Roman"/>
                <w:sz w:val="16"/>
                <w:szCs w:val="16"/>
              </w:rPr>
            </w:pPr>
            <w:r w:rsidRPr="00A9639F">
              <w:rPr>
                <w:sz w:val="16"/>
                <w:szCs w:val="16"/>
              </w:rPr>
              <w:t xml:space="preserve">Porcentaje de participantes en programas de formación destinados a las </w:t>
            </w:r>
            <w:r w:rsidRPr="00A9639F">
              <w:rPr>
                <w:rFonts w:eastAsia="Times New Roman"/>
                <w:sz w:val="16"/>
                <w:szCs w:val="16"/>
              </w:rPr>
              <w:t>instituciones</w:t>
            </w:r>
            <w:r w:rsidRPr="00A9639F">
              <w:rPr>
                <w:sz w:val="16"/>
                <w:szCs w:val="16"/>
              </w:rPr>
              <w:t xml:space="preserve"> e apoyo a las pymes que han adquirido mayores conocimientos y perfeccionado habilidades para su trabajo</w:t>
            </w:r>
          </w:p>
          <w:p w:rsidR="00236E18" w:rsidRPr="00A9639F" w:rsidRDefault="00236E18" w:rsidP="00294272">
            <w:pPr>
              <w:keepNext/>
              <w:keepLines/>
              <w:rPr>
                <w:rFonts w:eastAsia="Times New Roman"/>
                <w:sz w:val="16"/>
                <w:szCs w:val="16"/>
              </w:rPr>
            </w:pPr>
          </w:p>
        </w:tc>
        <w:tc>
          <w:tcPr>
            <w:tcW w:w="1480" w:type="dxa"/>
            <w:tcBorders>
              <w:top w:val="nil"/>
              <w:left w:val="nil"/>
              <w:right w:val="nil"/>
            </w:tcBorders>
            <w:shd w:val="clear" w:color="000000" w:fill="FFFFFF"/>
            <w:hideMark/>
          </w:tcPr>
          <w:p w:rsidR="00236E18" w:rsidRDefault="00236E18" w:rsidP="00294272">
            <w:pPr>
              <w:widowControl w:val="0"/>
              <w:ind w:left="119"/>
              <w:rPr>
                <w:rFonts w:eastAsia="Times New Roman"/>
                <w:sz w:val="16"/>
                <w:szCs w:val="16"/>
              </w:rPr>
            </w:pPr>
            <w:r w:rsidRPr="00A9639F">
              <w:rPr>
                <w:rFonts w:eastAsia="Times New Roman"/>
                <w:sz w:val="16"/>
                <w:szCs w:val="16"/>
              </w:rPr>
              <w:t>100%</w:t>
            </w:r>
          </w:p>
          <w:p w:rsidR="00236E18" w:rsidRDefault="00236E18" w:rsidP="00294272">
            <w:pPr>
              <w:widowControl w:val="0"/>
              <w:ind w:left="119"/>
              <w:rPr>
                <w:rFonts w:eastAsia="Times New Roman"/>
                <w:sz w:val="16"/>
                <w:szCs w:val="16"/>
              </w:rPr>
            </w:pPr>
          </w:p>
          <w:p w:rsidR="00236E18" w:rsidRDefault="00236E18" w:rsidP="00294272">
            <w:pPr>
              <w:widowControl w:val="0"/>
              <w:ind w:left="119"/>
              <w:rPr>
                <w:rFonts w:eastAsia="Times New Roman"/>
                <w:sz w:val="16"/>
                <w:szCs w:val="16"/>
              </w:rPr>
            </w:pPr>
          </w:p>
          <w:p w:rsidR="00236E18" w:rsidRDefault="00236E18" w:rsidP="00294272">
            <w:pPr>
              <w:widowControl w:val="0"/>
              <w:ind w:left="119"/>
              <w:rPr>
                <w:rFonts w:eastAsia="Times New Roman"/>
                <w:sz w:val="16"/>
                <w:szCs w:val="16"/>
              </w:rPr>
            </w:pPr>
          </w:p>
          <w:p w:rsidR="00236E18" w:rsidRDefault="00236E18" w:rsidP="00294272">
            <w:pPr>
              <w:widowControl w:val="0"/>
              <w:ind w:left="119"/>
              <w:rPr>
                <w:rFonts w:eastAsia="Times New Roman"/>
                <w:sz w:val="16"/>
                <w:szCs w:val="16"/>
              </w:rPr>
            </w:pPr>
          </w:p>
          <w:p w:rsidR="00236E18" w:rsidRDefault="00236E18" w:rsidP="00294272">
            <w:pPr>
              <w:widowControl w:val="0"/>
              <w:ind w:left="119"/>
              <w:rPr>
                <w:rFonts w:eastAsia="Times New Roman"/>
                <w:sz w:val="16"/>
                <w:szCs w:val="16"/>
              </w:rPr>
            </w:pPr>
          </w:p>
          <w:p w:rsidR="00236E18" w:rsidRDefault="00236E18" w:rsidP="00294272">
            <w:pPr>
              <w:widowControl w:val="0"/>
              <w:ind w:left="119"/>
              <w:rPr>
                <w:rFonts w:eastAsia="Times New Roman"/>
                <w:sz w:val="16"/>
                <w:szCs w:val="16"/>
              </w:rPr>
            </w:pPr>
          </w:p>
          <w:p w:rsidR="00236E18" w:rsidRPr="00A9639F" w:rsidRDefault="00236E18" w:rsidP="00294272">
            <w:pPr>
              <w:widowControl w:val="0"/>
              <w:ind w:left="119"/>
              <w:rPr>
                <w:rFonts w:eastAsia="Times New Roman"/>
                <w:sz w:val="16"/>
                <w:szCs w:val="16"/>
              </w:rPr>
            </w:pPr>
            <w:proofErr w:type="spellStart"/>
            <w:r>
              <w:rPr>
                <w:rFonts w:eastAsia="Times New Roman"/>
                <w:sz w:val="16"/>
                <w:szCs w:val="16"/>
              </w:rPr>
              <w:t>n.d</w:t>
            </w:r>
            <w:proofErr w:type="spellEnd"/>
            <w:r>
              <w:rPr>
                <w:rFonts w:eastAsia="Times New Roman"/>
                <w:sz w:val="16"/>
                <w:szCs w:val="16"/>
              </w:rPr>
              <w:t>.</w:t>
            </w:r>
          </w:p>
        </w:tc>
        <w:tc>
          <w:tcPr>
            <w:tcW w:w="2280" w:type="dxa"/>
            <w:tcBorders>
              <w:top w:val="nil"/>
              <w:left w:val="nil"/>
              <w:right w:val="single" w:sz="4" w:space="0" w:color="auto"/>
            </w:tcBorders>
            <w:shd w:val="clear" w:color="000000" w:fill="FFFFFF"/>
            <w:hideMark/>
          </w:tcPr>
          <w:p w:rsidR="00236E18" w:rsidRDefault="00236E18" w:rsidP="00294272">
            <w:pPr>
              <w:widowControl w:val="0"/>
              <w:ind w:firstLineChars="200" w:firstLine="320"/>
              <w:rPr>
                <w:rFonts w:eastAsia="Times New Roman"/>
                <w:sz w:val="16"/>
                <w:szCs w:val="16"/>
              </w:rPr>
            </w:pPr>
            <w:r>
              <w:rPr>
                <w:rFonts w:eastAsia="Times New Roman"/>
                <w:sz w:val="16"/>
                <w:szCs w:val="16"/>
              </w:rPr>
              <w:t>80%</w:t>
            </w: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Default="00236E18" w:rsidP="00294272">
            <w:pPr>
              <w:widowControl w:val="0"/>
              <w:ind w:firstLineChars="200" w:firstLine="320"/>
              <w:rPr>
                <w:rFonts w:eastAsia="Times New Roman"/>
                <w:sz w:val="16"/>
                <w:szCs w:val="16"/>
              </w:rPr>
            </w:pPr>
          </w:p>
          <w:p w:rsidR="00236E18" w:rsidRPr="006763AC" w:rsidRDefault="00236E18" w:rsidP="00294272">
            <w:pPr>
              <w:widowControl w:val="0"/>
              <w:ind w:firstLineChars="200" w:firstLine="320"/>
              <w:rPr>
                <w:rFonts w:eastAsia="Times New Roman"/>
                <w:sz w:val="16"/>
                <w:szCs w:val="16"/>
              </w:rPr>
            </w:pPr>
            <w:r>
              <w:rPr>
                <w:rFonts w:eastAsia="Times New Roman"/>
                <w:sz w:val="16"/>
                <w:szCs w:val="16"/>
              </w:rPr>
              <w:t>50%</w:t>
            </w:r>
          </w:p>
        </w:tc>
      </w:tr>
      <w:tr w:rsidR="00236E18" w:rsidRPr="006763AC" w:rsidTr="00294272">
        <w:trPr>
          <w:trHeight w:val="720"/>
        </w:trPr>
        <w:tc>
          <w:tcPr>
            <w:tcW w:w="2820" w:type="dxa"/>
            <w:tcBorders>
              <w:top w:val="nil"/>
              <w:left w:val="single" w:sz="4" w:space="0" w:color="auto"/>
              <w:bottom w:val="single" w:sz="4" w:space="0" w:color="auto"/>
              <w:right w:val="nil"/>
            </w:tcBorders>
            <w:shd w:val="clear" w:color="000000" w:fill="FFFFFF"/>
            <w:hideMark/>
          </w:tcPr>
          <w:p w:rsidR="00236E18" w:rsidRPr="006763AC" w:rsidRDefault="00236E18" w:rsidP="00294272">
            <w:pPr>
              <w:widowControl w:val="0"/>
              <w:rPr>
                <w:rFonts w:eastAsia="Times New Roman"/>
                <w:sz w:val="16"/>
                <w:szCs w:val="16"/>
              </w:rPr>
            </w:pPr>
          </w:p>
        </w:tc>
        <w:tc>
          <w:tcPr>
            <w:tcW w:w="2780" w:type="dxa"/>
            <w:tcBorders>
              <w:top w:val="nil"/>
              <w:left w:val="nil"/>
              <w:bottom w:val="single" w:sz="4" w:space="0" w:color="auto"/>
              <w:right w:val="nil"/>
            </w:tcBorders>
            <w:shd w:val="clear" w:color="000000" w:fill="FFFFFF"/>
            <w:hideMark/>
          </w:tcPr>
          <w:p w:rsidR="00236E18" w:rsidRPr="006763AC" w:rsidRDefault="00236E18" w:rsidP="00294272">
            <w:pPr>
              <w:keepNext/>
              <w:keepLines/>
              <w:rPr>
                <w:rFonts w:eastAsia="Times New Roman"/>
                <w:sz w:val="16"/>
                <w:szCs w:val="16"/>
              </w:rPr>
            </w:pPr>
            <w:r w:rsidRPr="006763AC">
              <w:rPr>
                <w:rFonts w:eastAsia="Times New Roman"/>
                <w:sz w:val="16"/>
                <w:szCs w:val="16"/>
              </w:rPr>
              <w:t>N</w:t>
            </w:r>
            <w:r>
              <w:rPr>
                <w:rFonts w:eastAsia="Times New Roman"/>
                <w:sz w:val="16"/>
                <w:szCs w:val="16"/>
              </w:rPr>
              <w:t>º</w:t>
            </w:r>
            <w:r w:rsidRPr="006763AC">
              <w:rPr>
                <w:rFonts w:eastAsia="Times New Roman"/>
                <w:sz w:val="16"/>
                <w:szCs w:val="16"/>
              </w:rPr>
              <w:t xml:space="preserve"> de países que han establecido o perfeccionado programas de formación sobre P.I. para pymes.</w:t>
            </w:r>
          </w:p>
          <w:p w:rsidR="00236E18" w:rsidRPr="006763AC" w:rsidRDefault="00236E18" w:rsidP="00294272">
            <w:pPr>
              <w:keepNext/>
              <w:keepLines/>
              <w:rPr>
                <w:rFonts w:eastAsia="Times New Roman"/>
                <w:sz w:val="16"/>
                <w:szCs w:val="16"/>
              </w:rPr>
            </w:pPr>
          </w:p>
        </w:tc>
        <w:tc>
          <w:tcPr>
            <w:tcW w:w="1480" w:type="dxa"/>
            <w:tcBorders>
              <w:top w:val="nil"/>
              <w:left w:val="nil"/>
              <w:bottom w:val="single" w:sz="4" w:space="0" w:color="auto"/>
              <w:right w:val="nil"/>
            </w:tcBorders>
            <w:shd w:val="clear" w:color="000000" w:fill="FFFFFF"/>
            <w:hideMark/>
          </w:tcPr>
          <w:p w:rsidR="00236E18" w:rsidRPr="006763AC" w:rsidRDefault="00236E18" w:rsidP="00294272">
            <w:pPr>
              <w:widowControl w:val="0"/>
              <w:ind w:left="119"/>
              <w:rPr>
                <w:rFonts w:eastAsia="Times New Roman"/>
                <w:sz w:val="16"/>
                <w:szCs w:val="16"/>
              </w:rPr>
            </w:pPr>
            <w:r>
              <w:rPr>
                <w:rFonts w:eastAsia="Times New Roman"/>
                <w:sz w:val="16"/>
                <w:szCs w:val="16"/>
              </w:rPr>
              <w:t>13</w:t>
            </w:r>
          </w:p>
        </w:tc>
        <w:tc>
          <w:tcPr>
            <w:tcW w:w="2280" w:type="dxa"/>
            <w:tcBorders>
              <w:top w:val="nil"/>
              <w:left w:val="nil"/>
              <w:bottom w:val="single" w:sz="4" w:space="0" w:color="auto"/>
              <w:right w:val="single" w:sz="4" w:space="0" w:color="auto"/>
            </w:tcBorders>
            <w:shd w:val="clear" w:color="000000" w:fill="FFFFFF"/>
            <w:hideMark/>
          </w:tcPr>
          <w:p w:rsidR="00236E18" w:rsidRPr="006763AC" w:rsidRDefault="00236E18" w:rsidP="00294272">
            <w:pPr>
              <w:widowControl w:val="0"/>
              <w:ind w:firstLineChars="200" w:firstLine="320"/>
              <w:rPr>
                <w:rFonts w:eastAsia="Times New Roman"/>
                <w:sz w:val="16"/>
                <w:szCs w:val="16"/>
              </w:rPr>
            </w:pPr>
            <w:r w:rsidRPr="006763AC">
              <w:rPr>
                <w:rFonts w:eastAsia="Times New Roman"/>
                <w:sz w:val="16"/>
                <w:szCs w:val="16"/>
              </w:rPr>
              <w:t xml:space="preserve">10 </w:t>
            </w:r>
            <w:r>
              <w:rPr>
                <w:rFonts w:eastAsia="Times New Roman"/>
                <w:sz w:val="16"/>
                <w:szCs w:val="16"/>
              </w:rPr>
              <w:t>más</w:t>
            </w:r>
          </w:p>
        </w:tc>
      </w:tr>
      <w:tr w:rsidR="00236E18" w:rsidRPr="006763AC" w:rsidTr="00294272">
        <w:trPr>
          <w:trHeight w:val="729"/>
        </w:trPr>
        <w:tc>
          <w:tcPr>
            <w:tcW w:w="2820" w:type="dxa"/>
            <w:tcBorders>
              <w:top w:val="single" w:sz="4" w:space="0" w:color="auto"/>
              <w:left w:val="single" w:sz="4" w:space="0" w:color="auto"/>
              <w:right w:val="nil"/>
            </w:tcBorders>
            <w:shd w:val="clear" w:color="000000" w:fill="FFFFFF"/>
            <w:hideMark/>
          </w:tcPr>
          <w:p w:rsidR="00236E18" w:rsidRPr="006763AC" w:rsidRDefault="00236E18" w:rsidP="00294272">
            <w:pPr>
              <w:widowControl w:val="0"/>
              <w:rPr>
                <w:rFonts w:eastAsia="Times New Roman"/>
                <w:sz w:val="16"/>
                <w:szCs w:val="16"/>
              </w:rPr>
            </w:pPr>
            <w:r w:rsidRPr="006763AC">
              <w:rPr>
                <w:rFonts w:eastAsia="Times New Roman"/>
                <w:sz w:val="16"/>
                <w:szCs w:val="16"/>
              </w:rPr>
              <w:lastRenderedPageBreak/>
              <w:t> </w:t>
            </w:r>
          </w:p>
        </w:tc>
        <w:tc>
          <w:tcPr>
            <w:tcW w:w="2780" w:type="dxa"/>
            <w:tcBorders>
              <w:top w:val="single" w:sz="4" w:space="0" w:color="auto"/>
              <w:left w:val="nil"/>
              <w:right w:val="nil"/>
            </w:tcBorders>
            <w:shd w:val="clear" w:color="000000" w:fill="FFFFFF"/>
            <w:hideMark/>
          </w:tcPr>
          <w:p w:rsidR="00236E18" w:rsidRPr="006763AC" w:rsidRDefault="00236E18" w:rsidP="00294272">
            <w:pPr>
              <w:widowControl w:val="0"/>
              <w:ind w:left="64"/>
              <w:rPr>
                <w:rFonts w:eastAsia="Times New Roman"/>
                <w:sz w:val="16"/>
                <w:szCs w:val="16"/>
              </w:rPr>
            </w:pPr>
            <w:r w:rsidRPr="006763AC">
              <w:rPr>
                <w:rFonts w:eastAsia="Times New Roman"/>
                <w:sz w:val="16"/>
                <w:szCs w:val="16"/>
              </w:rPr>
              <w:t>N</w:t>
            </w:r>
            <w:r>
              <w:rPr>
                <w:rFonts w:eastAsia="Times New Roman"/>
                <w:sz w:val="16"/>
                <w:szCs w:val="16"/>
              </w:rPr>
              <w:t>º</w:t>
            </w:r>
            <w:r w:rsidRPr="006763AC">
              <w:rPr>
                <w:rFonts w:eastAsia="Times New Roman"/>
                <w:sz w:val="16"/>
                <w:szCs w:val="16"/>
              </w:rPr>
              <w:t xml:space="preserve"> de países que han desarrollado o adoptado políticas de P.I. para pymes. </w:t>
            </w:r>
          </w:p>
        </w:tc>
        <w:tc>
          <w:tcPr>
            <w:tcW w:w="1480" w:type="dxa"/>
            <w:tcBorders>
              <w:top w:val="single" w:sz="4" w:space="0" w:color="auto"/>
              <w:left w:val="nil"/>
              <w:right w:val="nil"/>
            </w:tcBorders>
            <w:shd w:val="clear" w:color="000000" w:fill="FFFFFF"/>
            <w:hideMark/>
          </w:tcPr>
          <w:p w:rsidR="00236E18" w:rsidRPr="006763AC" w:rsidRDefault="00236E18" w:rsidP="00294272">
            <w:pPr>
              <w:widowControl w:val="0"/>
              <w:ind w:left="119"/>
              <w:rPr>
                <w:rFonts w:eastAsia="Times New Roman"/>
                <w:sz w:val="16"/>
                <w:szCs w:val="16"/>
              </w:rPr>
            </w:pPr>
            <w:proofErr w:type="spellStart"/>
            <w:r>
              <w:rPr>
                <w:rFonts w:eastAsia="Times New Roman"/>
                <w:sz w:val="16"/>
                <w:szCs w:val="16"/>
              </w:rPr>
              <w:t>n.d</w:t>
            </w:r>
            <w:proofErr w:type="spellEnd"/>
            <w:r>
              <w:rPr>
                <w:rFonts w:eastAsia="Times New Roman"/>
                <w:sz w:val="16"/>
                <w:szCs w:val="16"/>
              </w:rPr>
              <w:t>.</w:t>
            </w:r>
          </w:p>
        </w:tc>
        <w:tc>
          <w:tcPr>
            <w:tcW w:w="2280" w:type="dxa"/>
            <w:tcBorders>
              <w:top w:val="single" w:sz="4" w:space="0" w:color="auto"/>
              <w:left w:val="nil"/>
              <w:right w:val="single" w:sz="4" w:space="0" w:color="auto"/>
            </w:tcBorders>
            <w:shd w:val="clear" w:color="000000" w:fill="FFFFFF"/>
            <w:hideMark/>
          </w:tcPr>
          <w:p w:rsidR="00236E18" w:rsidRPr="006763AC" w:rsidRDefault="00236E18" w:rsidP="00294272">
            <w:pPr>
              <w:widowControl w:val="0"/>
              <w:ind w:firstLineChars="200" w:firstLine="320"/>
              <w:rPr>
                <w:rFonts w:eastAsia="Times New Roman"/>
                <w:sz w:val="16"/>
                <w:szCs w:val="16"/>
              </w:rPr>
            </w:pPr>
            <w:r>
              <w:rPr>
                <w:rFonts w:eastAsia="Times New Roman"/>
                <w:sz w:val="16"/>
                <w:szCs w:val="16"/>
              </w:rPr>
              <w:t>5 países</w:t>
            </w:r>
          </w:p>
        </w:tc>
      </w:tr>
      <w:tr w:rsidR="00236E18" w:rsidRPr="006763AC" w:rsidTr="00294272">
        <w:trPr>
          <w:trHeight w:val="1062"/>
        </w:trPr>
        <w:tc>
          <w:tcPr>
            <w:tcW w:w="2820" w:type="dxa"/>
            <w:tcBorders>
              <w:left w:val="single" w:sz="4" w:space="0" w:color="auto"/>
              <w:bottom w:val="nil"/>
              <w:right w:val="nil"/>
            </w:tcBorders>
            <w:shd w:val="clear" w:color="000000" w:fill="FFFFFF"/>
            <w:hideMark/>
          </w:tcPr>
          <w:p w:rsidR="00236E18" w:rsidRPr="006763AC" w:rsidRDefault="00236E18" w:rsidP="00294272">
            <w:pPr>
              <w:keepNext/>
              <w:widowControl w:val="0"/>
              <w:rPr>
                <w:rFonts w:eastAsia="Times New Roman"/>
                <w:sz w:val="16"/>
                <w:szCs w:val="16"/>
              </w:rPr>
            </w:pPr>
            <w:r>
              <w:rPr>
                <w:rFonts w:eastAsia="Times New Roman"/>
                <w:sz w:val="16"/>
                <w:szCs w:val="16"/>
              </w:rPr>
              <w:t xml:space="preserve">IV.2  </w:t>
            </w:r>
            <w:r w:rsidRPr="00D463D6">
              <w:rPr>
                <w:sz w:val="16"/>
                <w:szCs w:val="16"/>
                <w:lang w:val="es-ES_tradnl"/>
              </w:rPr>
              <w:t>Mejora del acceso y uso de información de P.I. por parte de instituciones de P.I. y el público para fomentar la innovación y la creatividad</w:t>
            </w:r>
          </w:p>
        </w:tc>
        <w:tc>
          <w:tcPr>
            <w:tcW w:w="2780" w:type="dxa"/>
            <w:tcBorders>
              <w:left w:val="nil"/>
              <w:bottom w:val="nil"/>
              <w:right w:val="nil"/>
            </w:tcBorders>
            <w:shd w:val="clear" w:color="000000" w:fill="FFFFFF"/>
            <w:hideMark/>
          </w:tcPr>
          <w:p w:rsidR="00236E18" w:rsidRPr="006763AC" w:rsidRDefault="00236E18" w:rsidP="00294272">
            <w:pPr>
              <w:widowControl w:val="0"/>
              <w:ind w:left="64"/>
              <w:rPr>
                <w:rFonts w:eastAsia="Times New Roman"/>
                <w:sz w:val="16"/>
                <w:szCs w:val="16"/>
              </w:rPr>
            </w:pPr>
            <w:r w:rsidRPr="006763AC">
              <w:rPr>
                <w:rFonts w:eastAsia="Times New Roman"/>
                <w:sz w:val="16"/>
                <w:szCs w:val="16"/>
              </w:rPr>
              <w:t>N</w:t>
            </w:r>
            <w:r>
              <w:rPr>
                <w:rFonts w:eastAsia="Times New Roman"/>
                <w:sz w:val="16"/>
                <w:szCs w:val="16"/>
              </w:rPr>
              <w:t>º</w:t>
            </w:r>
            <w:r w:rsidRPr="006763AC">
              <w:rPr>
                <w:rFonts w:eastAsia="Times New Roman"/>
                <w:sz w:val="16"/>
                <w:szCs w:val="16"/>
              </w:rPr>
              <w:t xml:space="preserve"> de </w:t>
            </w:r>
            <w:r>
              <w:rPr>
                <w:rFonts w:eastAsia="Times New Roman"/>
                <w:sz w:val="16"/>
                <w:szCs w:val="16"/>
              </w:rPr>
              <w:t>OTT</w:t>
            </w:r>
            <w:r w:rsidRPr="006763AC">
              <w:rPr>
                <w:rFonts w:eastAsia="Times New Roman"/>
                <w:sz w:val="16"/>
                <w:szCs w:val="16"/>
              </w:rPr>
              <w:t xml:space="preserve"> que se han establecido o reforzado en universidades o instituciones de I+D en el marco del programa Iniciativa Universitaria de la OMPI.</w:t>
            </w:r>
          </w:p>
          <w:p w:rsidR="00236E18" w:rsidRPr="006763AC" w:rsidRDefault="00236E18" w:rsidP="00294272">
            <w:pPr>
              <w:keepNext/>
              <w:widowControl w:val="0"/>
              <w:ind w:left="206"/>
              <w:rPr>
                <w:rFonts w:eastAsia="Times New Roman"/>
                <w:sz w:val="16"/>
                <w:szCs w:val="16"/>
              </w:rPr>
            </w:pPr>
          </w:p>
        </w:tc>
        <w:tc>
          <w:tcPr>
            <w:tcW w:w="1480" w:type="dxa"/>
            <w:tcBorders>
              <w:left w:val="nil"/>
              <w:bottom w:val="nil"/>
              <w:right w:val="nil"/>
            </w:tcBorders>
            <w:shd w:val="clear" w:color="000000" w:fill="FFFFFF"/>
            <w:hideMark/>
          </w:tcPr>
          <w:p w:rsidR="00236E18" w:rsidRPr="006763AC" w:rsidRDefault="00236E18" w:rsidP="00294272">
            <w:pPr>
              <w:widowControl w:val="0"/>
              <w:ind w:left="119"/>
              <w:rPr>
                <w:rFonts w:eastAsia="Times New Roman"/>
                <w:sz w:val="16"/>
                <w:szCs w:val="16"/>
              </w:rPr>
            </w:pPr>
            <w:r w:rsidRPr="006763AC">
              <w:rPr>
                <w:rFonts w:eastAsia="Times New Roman"/>
                <w:sz w:val="16"/>
                <w:szCs w:val="16"/>
              </w:rPr>
              <w:t>Por determinar</w:t>
            </w:r>
          </w:p>
        </w:tc>
        <w:tc>
          <w:tcPr>
            <w:tcW w:w="2280" w:type="dxa"/>
            <w:tcBorders>
              <w:left w:val="nil"/>
              <w:bottom w:val="nil"/>
              <w:right w:val="single" w:sz="4" w:space="0" w:color="auto"/>
            </w:tcBorders>
            <w:shd w:val="clear" w:color="000000" w:fill="FFFFFF"/>
            <w:hideMark/>
          </w:tcPr>
          <w:p w:rsidR="00236E18" w:rsidRPr="006763AC" w:rsidRDefault="00236E18" w:rsidP="00294272">
            <w:pPr>
              <w:keepNext/>
              <w:widowControl w:val="0"/>
              <w:ind w:firstLineChars="200" w:firstLine="320"/>
              <w:rPr>
                <w:rFonts w:eastAsia="Times New Roman"/>
                <w:sz w:val="16"/>
                <w:szCs w:val="16"/>
              </w:rPr>
            </w:pPr>
            <w:r w:rsidRPr="006763AC">
              <w:rPr>
                <w:rFonts w:eastAsia="Times New Roman"/>
                <w:sz w:val="16"/>
                <w:szCs w:val="16"/>
              </w:rPr>
              <w:t xml:space="preserve">6 </w:t>
            </w:r>
            <w:r>
              <w:rPr>
                <w:rFonts w:eastAsia="Times New Roman"/>
                <w:sz w:val="16"/>
                <w:szCs w:val="16"/>
              </w:rPr>
              <w:t>OTT</w:t>
            </w:r>
          </w:p>
        </w:tc>
      </w:tr>
      <w:tr w:rsidR="00236E18" w:rsidRPr="006763AC" w:rsidTr="00294272">
        <w:trPr>
          <w:trHeight w:val="800"/>
        </w:trPr>
        <w:tc>
          <w:tcPr>
            <w:tcW w:w="2820" w:type="dxa"/>
            <w:tcBorders>
              <w:top w:val="nil"/>
              <w:left w:val="single" w:sz="4" w:space="0" w:color="auto"/>
              <w:bottom w:val="single" w:sz="4" w:space="0" w:color="auto"/>
              <w:right w:val="nil"/>
            </w:tcBorders>
            <w:shd w:val="clear" w:color="000000" w:fill="FFFFFF"/>
            <w:hideMark/>
          </w:tcPr>
          <w:p w:rsidR="00236E18" w:rsidRPr="006763AC" w:rsidRDefault="00236E18" w:rsidP="00294272">
            <w:pPr>
              <w:widowControl w:val="0"/>
              <w:rPr>
                <w:rFonts w:eastAsia="Times New Roman"/>
                <w:sz w:val="16"/>
                <w:szCs w:val="16"/>
              </w:rPr>
            </w:pPr>
            <w:r w:rsidRPr="006763AC">
              <w:rPr>
                <w:rFonts w:eastAsia="Times New Roman"/>
                <w:sz w:val="16"/>
                <w:szCs w:val="16"/>
              </w:rPr>
              <w:t> </w:t>
            </w:r>
          </w:p>
        </w:tc>
        <w:tc>
          <w:tcPr>
            <w:tcW w:w="2780" w:type="dxa"/>
            <w:tcBorders>
              <w:top w:val="nil"/>
              <w:left w:val="nil"/>
              <w:bottom w:val="single" w:sz="4" w:space="0" w:color="auto"/>
              <w:right w:val="nil"/>
            </w:tcBorders>
            <w:shd w:val="clear" w:color="000000" w:fill="FFFFFF"/>
            <w:hideMark/>
          </w:tcPr>
          <w:p w:rsidR="00236E18" w:rsidRPr="006763AC" w:rsidRDefault="00236E18" w:rsidP="00294272">
            <w:pPr>
              <w:widowControl w:val="0"/>
              <w:ind w:left="64"/>
              <w:rPr>
                <w:rFonts w:eastAsia="Times New Roman"/>
                <w:sz w:val="16"/>
                <w:szCs w:val="16"/>
              </w:rPr>
            </w:pPr>
            <w:r w:rsidRPr="006763AC">
              <w:rPr>
                <w:rFonts w:eastAsia="Times New Roman"/>
                <w:sz w:val="16"/>
                <w:szCs w:val="16"/>
              </w:rPr>
              <w:t>N</w:t>
            </w:r>
            <w:r>
              <w:rPr>
                <w:rFonts w:eastAsia="Times New Roman"/>
                <w:sz w:val="16"/>
                <w:szCs w:val="16"/>
              </w:rPr>
              <w:t>º</w:t>
            </w:r>
            <w:r w:rsidRPr="006763AC">
              <w:rPr>
                <w:rFonts w:eastAsia="Times New Roman"/>
                <w:sz w:val="16"/>
                <w:szCs w:val="16"/>
              </w:rPr>
              <w:t xml:space="preserve"> de universidades o instituciones de investigación que han desarrollado o mejorado sus políticas de P.I. </w:t>
            </w:r>
          </w:p>
        </w:tc>
        <w:tc>
          <w:tcPr>
            <w:tcW w:w="1480" w:type="dxa"/>
            <w:tcBorders>
              <w:top w:val="nil"/>
              <w:left w:val="nil"/>
              <w:bottom w:val="single" w:sz="4" w:space="0" w:color="auto"/>
              <w:right w:val="nil"/>
            </w:tcBorders>
            <w:shd w:val="clear" w:color="000000" w:fill="FFFFFF"/>
            <w:hideMark/>
          </w:tcPr>
          <w:p w:rsidR="00236E18" w:rsidRPr="006763AC" w:rsidRDefault="00236E18" w:rsidP="00294272">
            <w:pPr>
              <w:widowControl w:val="0"/>
              <w:ind w:left="119"/>
              <w:rPr>
                <w:rFonts w:eastAsia="Times New Roman"/>
                <w:sz w:val="16"/>
                <w:szCs w:val="16"/>
              </w:rPr>
            </w:pPr>
            <w:r>
              <w:rPr>
                <w:rFonts w:eastAsia="Times New Roman"/>
                <w:sz w:val="16"/>
                <w:szCs w:val="16"/>
              </w:rPr>
              <w:t>150 universidades en países en transición (2014).</w:t>
            </w:r>
          </w:p>
        </w:tc>
        <w:tc>
          <w:tcPr>
            <w:tcW w:w="2280" w:type="dxa"/>
            <w:tcBorders>
              <w:top w:val="nil"/>
              <w:left w:val="nil"/>
              <w:bottom w:val="single" w:sz="4" w:space="0" w:color="auto"/>
              <w:right w:val="single" w:sz="4" w:space="0" w:color="auto"/>
            </w:tcBorders>
            <w:shd w:val="clear" w:color="000000" w:fill="FFFFFF"/>
            <w:hideMark/>
          </w:tcPr>
          <w:p w:rsidR="00236E18" w:rsidRPr="006763AC" w:rsidRDefault="00236E18" w:rsidP="00294272">
            <w:pPr>
              <w:widowControl w:val="0"/>
              <w:ind w:leftChars="141" w:left="310"/>
              <w:rPr>
                <w:rFonts w:eastAsia="Times New Roman"/>
                <w:sz w:val="16"/>
                <w:szCs w:val="16"/>
              </w:rPr>
            </w:pPr>
            <w:r w:rsidRPr="006763AC">
              <w:rPr>
                <w:rFonts w:eastAsia="Times New Roman"/>
                <w:sz w:val="16"/>
                <w:szCs w:val="16"/>
              </w:rPr>
              <w:t xml:space="preserve">10 </w:t>
            </w:r>
            <w:r>
              <w:rPr>
                <w:rFonts w:eastAsia="Times New Roman"/>
                <w:sz w:val="16"/>
                <w:szCs w:val="16"/>
              </w:rPr>
              <w:t>más</w:t>
            </w:r>
          </w:p>
        </w:tc>
      </w:tr>
    </w:tbl>
    <w:p w:rsidR="00236E18" w:rsidRPr="006763AC" w:rsidRDefault="00236E18" w:rsidP="00236E18">
      <w:pPr>
        <w:widowControl w:val="0"/>
        <w:rPr>
          <w:rFonts w:eastAsia="Arial"/>
          <w:szCs w:val="22"/>
        </w:rPr>
      </w:pPr>
    </w:p>
    <w:p w:rsidR="00236E18" w:rsidRPr="006763AC" w:rsidRDefault="00236E18" w:rsidP="00236E18">
      <w:pPr>
        <w:widowControl w:val="0"/>
        <w:rPr>
          <w:rFonts w:eastAsia="Arial"/>
          <w:szCs w:val="22"/>
        </w:rPr>
      </w:pPr>
    </w:p>
    <w:p w:rsidR="00236E18" w:rsidRPr="006763AC" w:rsidRDefault="00236E18" w:rsidP="00236E18">
      <w:pPr>
        <w:keepNext/>
        <w:rPr>
          <w:rFonts w:eastAsia="Arial"/>
          <w:szCs w:val="22"/>
        </w:rPr>
      </w:pPr>
      <w:r w:rsidRPr="006763AC">
        <w:rPr>
          <w:rFonts w:eastAsia="Arial"/>
          <w:szCs w:val="22"/>
        </w:rPr>
        <w:t xml:space="preserve">RECURSOS PARA EL PROGRAMA 30 </w:t>
      </w:r>
    </w:p>
    <w:p w:rsidR="00236E18" w:rsidRPr="006763AC" w:rsidRDefault="00236E18" w:rsidP="00236E18">
      <w:pPr>
        <w:keepNext/>
        <w:rPr>
          <w:rFonts w:eastAsia="Arial"/>
          <w:szCs w:val="22"/>
        </w:rPr>
      </w:pPr>
    </w:p>
    <w:p w:rsidR="00236E18" w:rsidRDefault="00236E18" w:rsidP="00236E18">
      <w:pPr>
        <w:pStyle w:val="ListParagraph"/>
        <w:keepNext/>
        <w:numPr>
          <w:ilvl w:val="0"/>
          <w:numId w:val="25"/>
        </w:numPr>
        <w:tabs>
          <w:tab w:val="left" w:pos="709"/>
        </w:tabs>
        <w:ind w:left="0" w:firstLine="0"/>
        <w:jc w:val="both"/>
        <w:rPr>
          <w:rFonts w:ascii="Arial" w:eastAsia="Arial" w:hAnsi="Arial" w:cs="Arial"/>
          <w:sz w:val="20"/>
          <w:szCs w:val="20"/>
          <w:lang w:val="es-ES"/>
        </w:rPr>
      </w:pPr>
      <w:r w:rsidRPr="00EB43D0">
        <w:rPr>
          <w:rFonts w:ascii="Arial" w:eastAsia="Arial" w:hAnsi="Arial" w:cs="Arial"/>
          <w:sz w:val="20"/>
          <w:szCs w:val="20"/>
          <w:lang w:val="es-ES_tradnl"/>
        </w:rPr>
        <w:t xml:space="preserve">Se observa un aumento </w:t>
      </w:r>
      <w:r>
        <w:rPr>
          <w:rFonts w:ascii="Arial" w:eastAsia="Arial" w:hAnsi="Arial" w:cs="Arial"/>
          <w:sz w:val="20"/>
          <w:szCs w:val="20"/>
          <w:lang w:val="es-ES_tradnl"/>
        </w:rPr>
        <w:t>en la dotación global</w:t>
      </w:r>
      <w:r w:rsidRPr="00EB43D0">
        <w:rPr>
          <w:rFonts w:ascii="Arial" w:eastAsia="Arial" w:hAnsi="Arial" w:cs="Arial"/>
          <w:sz w:val="20"/>
          <w:szCs w:val="20"/>
          <w:lang w:val="es-ES_tradnl"/>
        </w:rPr>
        <w:t xml:space="preserve"> de</w:t>
      </w:r>
      <w:r>
        <w:rPr>
          <w:rFonts w:ascii="Arial" w:eastAsia="Arial" w:hAnsi="Arial" w:cs="Arial"/>
          <w:sz w:val="20"/>
          <w:szCs w:val="20"/>
          <w:lang w:val="es-ES_tradnl"/>
        </w:rPr>
        <w:t xml:space="preserve"> recursos para </w:t>
      </w:r>
      <w:r w:rsidRPr="00EB43D0">
        <w:rPr>
          <w:rFonts w:ascii="Arial" w:eastAsia="Arial" w:hAnsi="Arial" w:cs="Arial"/>
          <w:sz w:val="20"/>
          <w:szCs w:val="20"/>
          <w:lang w:val="es-ES_tradnl"/>
        </w:rPr>
        <w:t>el programa 30 en 2016/17 en relación con el presupuesto de 2014/</w:t>
      </w:r>
      <w:r>
        <w:rPr>
          <w:rFonts w:ascii="Arial" w:eastAsia="Arial" w:hAnsi="Arial" w:cs="Arial"/>
          <w:sz w:val="20"/>
          <w:szCs w:val="20"/>
          <w:lang w:val="es-ES_tradnl"/>
        </w:rPr>
        <w:t>15 tras las</w:t>
      </w:r>
      <w:r w:rsidRPr="00EB43D0">
        <w:rPr>
          <w:rFonts w:ascii="Arial" w:eastAsia="Arial" w:hAnsi="Arial" w:cs="Arial"/>
          <w:sz w:val="20"/>
          <w:szCs w:val="20"/>
          <w:lang w:val="es-ES_tradnl"/>
        </w:rPr>
        <w:t xml:space="preserve"> transferencias.  Esto refleja la redistribución de los recursos de personal al programa en el bienio 2014/15, con el objeto de reforzar particularmente la labor sobre las estrategias nacionales de P.I. y el fortalecimiento de la capacidad de las pymes, como queda reflejado en los resultados previstos III.1 y III.2.</w:t>
      </w:r>
    </w:p>
    <w:p w:rsidR="00236E18" w:rsidRDefault="00236E18" w:rsidP="00236E18">
      <w:pPr>
        <w:pStyle w:val="ListParagraph"/>
        <w:widowControl w:val="0"/>
        <w:tabs>
          <w:tab w:val="left" w:pos="709"/>
        </w:tabs>
        <w:ind w:left="0"/>
        <w:jc w:val="both"/>
        <w:rPr>
          <w:rFonts w:ascii="Arial" w:eastAsia="Arial" w:hAnsi="Arial" w:cs="Arial"/>
          <w:sz w:val="20"/>
          <w:szCs w:val="20"/>
          <w:lang w:val="es-ES"/>
        </w:rPr>
      </w:pPr>
    </w:p>
    <w:p w:rsidR="00236E18" w:rsidRPr="0052708D" w:rsidRDefault="00236E18" w:rsidP="00236E18">
      <w:pPr>
        <w:pStyle w:val="ListParagraph"/>
        <w:widowControl w:val="0"/>
        <w:numPr>
          <w:ilvl w:val="0"/>
          <w:numId w:val="25"/>
        </w:numPr>
        <w:tabs>
          <w:tab w:val="left" w:pos="709"/>
        </w:tabs>
        <w:ind w:left="0" w:firstLine="0"/>
        <w:jc w:val="both"/>
        <w:rPr>
          <w:rFonts w:ascii="Arial" w:eastAsia="Arial" w:hAnsi="Arial" w:cs="Arial"/>
          <w:sz w:val="20"/>
          <w:szCs w:val="20"/>
          <w:lang w:val="es-ES"/>
        </w:rPr>
      </w:pPr>
      <w:r w:rsidRPr="00EB43D0">
        <w:rPr>
          <w:rFonts w:ascii="Arial" w:eastAsia="Arial" w:hAnsi="Arial" w:cs="Arial"/>
          <w:sz w:val="20"/>
          <w:szCs w:val="20"/>
          <w:lang w:val="es-ES_tradnl"/>
        </w:rPr>
        <w:t>La disminución de los recursos de personal en el presupuesto de 2014/</w:t>
      </w:r>
      <w:r>
        <w:rPr>
          <w:rFonts w:ascii="Arial" w:eastAsia="Arial" w:hAnsi="Arial" w:cs="Arial"/>
          <w:sz w:val="20"/>
          <w:szCs w:val="20"/>
          <w:lang w:val="es-ES_tradnl"/>
        </w:rPr>
        <w:t>15 tras las</w:t>
      </w:r>
      <w:r w:rsidRPr="00EB43D0">
        <w:rPr>
          <w:rFonts w:ascii="Arial" w:eastAsia="Arial" w:hAnsi="Arial" w:cs="Arial"/>
          <w:sz w:val="20"/>
          <w:szCs w:val="20"/>
          <w:lang w:val="es-ES_tradnl"/>
        </w:rPr>
        <w:t xml:space="preserve"> transferencias, con respecto al presupuesto aprobado de 2014/15 se debe a:  i) la transferencia de las responsabilidades relativas a la ejecución de los </w:t>
      </w:r>
      <w:r w:rsidRPr="00EB43D0">
        <w:rPr>
          <w:rFonts w:ascii="Arial" w:eastAsia="Arial" w:hAnsi="Arial" w:cs="Arial"/>
          <w:bCs/>
          <w:sz w:val="20"/>
          <w:szCs w:val="20"/>
          <w:lang w:val="es-ES_tradnl"/>
        </w:rPr>
        <w:t>proyectos de la A.D. sobre colaboración abierta y los modelos de P.I.</w:t>
      </w:r>
      <w:r w:rsidRPr="00EB43D0">
        <w:rPr>
          <w:rFonts w:ascii="Arial" w:eastAsia="SimSun" w:hAnsi="Arial" w:cs="Arial"/>
          <w:bCs/>
          <w:sz w:val="20"/>
          <w:szCs w:val="20"/>
          <w:lang w:val="es-ES_tradnl" w:eastAsia="zh-CN"/>
        </w:rPr>
        <w:t xml:space="preserve"> y la </w:t>
      </w:r>
      <w:r w:rsidRPr="00EB43D0">
        <w:rPr>
          <w:rFonts w:ascii="Arial" w:eastAsia="Arial" w:hAnsi="Arial" w:cs="Arial"/>
          <w:bCs/>
          <w:sz w:val="20"/>
          <w:szCs w:val="20"/>
          <w:lang w:val="es-ES_tradnl"/>
        </w:rPr>
        <w:t xml:space="preserve">transferencia de tecnología al programa 5 </w:t>
      </w:r>
      <w:r w:rsidRPr="00EB43D0">
        <w:rPr>
          <w:rFonts w:ascii="Arial" w:eastAsia="Arial" w:hAnsi="Arial" w:cs="Arial"/>
          <w:sz w:val="20"/>
          <w:szCs w:val="20"/>
          <w:lang w:val="es-ES_tradnl"/>
        </w:rPr>
        <w:t>(Sistema del PCT), y ii) los retrasos en la determinación de las aptitudes y competencias necesarias para apoyar las actividades del programa para compensar la salida de un empleado del programa.</w:t>
      </w:r>
    </w:p>
    <w:p w:rsidR="00236E18" w:rsidRPr="0052708D" w:rsidRDefault="00236E18" w:rsidP="00236E18">
      <w:pPr>
        <w:widowControl w:val="0"/>
        <w:tabs>
          <w:tab w:val="left" w:pos="1427"/>
        </w:tabs>
        <w:jc w:val="center"/>
        <w:rPr>
          <w:b/>
          <w:sz w:val="20"/>
        </w:rPr>
      </w:pPr>
    </w:p>
    <w:p w:rsidR="00236E18" w:rsidRPr="0052708D" w:rsidRDefault="00236E18" w:rsidP="00236E18">
      <w:pPr>
        <w:widowControl w:val="0"/>
        <w:tabs>
          <w:tab w:val="left" w:pos="1427"/>
        </w:tabs>
        <w:jc w:val="center"/>
        <w:rPr>
          <w:b/>
          <w:sz w:val="20"/>
        </w:rPr>
      </w:pPr>
    </w:p>
    <w:p w:rsidR="00236E18" w:rsidRPr="006763AC" w:rsidRDefault="00236E18" w:rsidP="00236E18">
      <w:pPr>
        <w:widowControl w:val="0"/>
        <w:tabs>
          <w:tab w:val="left" w:pos="1427"/>
        </w:tabs>
        <w:jc w:val="center"/>
        <w:rPr>
          <w:sz w:val="20"/>
        </w:rPr>
      </w:pPr>
      <w:r>
        <w:rPr>
          <w:b/>
          <w:sz w:val="20"/>
        </w:rPr>
        <w:t xml:space="preserve">Programa </w:t>
      </w:r>
      <w:r w:rsidRPr="006763AC">
        <w:rPr>
          <w:b/>
          <w:sz w:val="20"/>
        </w:rPr>
        <w:t>30</w:t>
      </w:r>
      <w:proofErr w:type="gramStart"/>
      <w:r w:rsidRPr="006763AC">
        <w:rPr>
          <w:b/>
          <w:sz w:val="20"/>
        </w:rPr>
        <w:t>:  Recursos</w:t>
      </w:r>
      <w:proofErr w:type="gramEnd"/>
      <w:r w:rsidRPr="006763AC">
        <w:rPr>
          <w:b/>
          <w:sz w:val="20"/>
        </w:rPr>
        <w:t xml:space="preserve"> por resultado</w:t>
      </w:r>
    </w:p>
    <w:p w:rsidR="00236E18" w:rsidRPr="006763AC" w:rsidRDefault="00236E18" w:rsidP="00236E18">
      <w:pPr>
        <w:widowControl w:val="0"/>
        <w:tabs>
          <w:tab w:val="left" w:pos="1427"/>
        </w:tabs>
        <w:jc w:val="center"/>
        <w:rPr>
          <w:i/>
          <w:sz w:val="20"/>
          <w:lang w:eastAsia="ja-JP"/>
        </w:rPr>
      </w:pPr>
      <w:r w:rsidRPr="006763AC">
        <w:rPr>
          <w:i/>
          <w:sz w:val="20"/>
          <w:lang w:eastAsia="ja-JP"/>
        </w:rPr>
        <w:t>(</w:t>
      </w:r>
      <w:proofErr w:type="gramStart"/>
      <w:r w:rsidRPr="006763AC">
        <w:rPr>
          <w:i/>
          <w:sz w:val="20"/>
          <w:lang w:eastAsia="ja-JP"/>
        </w:rPr>
        <w:t>en</w:t>
      </w:r>
      <w:proofErr w:type="gramEnd"/>
      <w:r w:rsidRPr="006763AC">
        <w:rPr>
          <w:i/>
          <w:sz w:val="20"/>
          <w:lang w:eastAsia="ja-JP"/>
        </w:rPr>
        <w:t xml:space="preserve"> miles de francos suizos)</w:t>
      </w:r>
    </w:p>
    <w:p w:rsidR="00236E18" w:rsidRPr="006763AC" w:rsidRDefault="00236E18" w:rsidP="00236E18">
      <w:pPr>
        <w:widowControl w:val="0"/>
        <w:tabs>
          <w:tab w:val="left" w:pos="1427"/>
        </w:tabs>
        <w:jc w:val="center"/>
        <w:rPr>
          <w:i/>
          <w:sz w:val="20"/>
          <w:lang w:eastAsia="ja-JP"/>
        </w:rPr>
      </w:pPr>
    </w:p>
    <w:p w:rsidR="00236E18" w:rsidRPr="006763AC" w:rsidRDefault="00236E18" w:rsidP="00236E18">
      <w:pPr>
        <w:widowControl w:val="0"/>
        <w:tabs>
          <w:tab w:val="left" w:pos="1427"/>
        </w:tabs>
        <w:jc w:val="center"/>
        <w:rPr>
          <w:i/>
          <w:sz w:val="20"/>
          <w:lang w:eastAsia="ja-JP"/>
        </w:rPr>
      </w:pPr>
      <w:r w:rsidRPr="00E22F01">
        <w:rPr>
          <w:noProof/>
          <w:lang w:val="en-US" w:eastAsia="en-US"/>
        </w:rPr>
        <w:drawing>
          <wp:inline distT="0" distB="0" distL="0" distR="0" wp14:anchorId="3ECFEFAB" wp14:editId="4A2A4218">
            <wp:extent cx="5735320" cy="318960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35320" cy="3189605"/>
                    </a:xfrm>
                    <a:prstGeom prst="rect">
                      <a:avLst/>
                    </a:prstGeom>
                    <a:noFill/>
                    <a:ln>
                      <a:noFill/>
                    </a:ln>
                  </pic:spPr>
                </pic:pic>
              </a:graphicData>
            </a:graphic>
          </wp:inline>
        </w:drawing>
      </w:r>
    </w:p>
    <w:p w:rsidR="00236E18" w:rsidRPr="006763AC" w:rsidRDefault="00236E18" w:rsidP="00236E18">
      <w:pPr>
        <w:widowControl w:val="0"/>
        <w:tabs>
          <w:tab w:val="left" w:pos="1427"/>
        </w:tabs>
        <w:jc w:val="center"/>
        <w:rPr>
          <w:i/>
          <w:sz w:val="20"/>
          <w:lang w:eastAsia="ja-JP"/>
        </w:rPr>
      </w:pPr>
    </w:p>
    <w:p w:rsidR="00236E18" w:rsidRPr="006763AC" w:rsidRDefault="00236E18" w:rsidP="00236E18">
      <w:pPr>
        <w:widowControl w:val="0"/>
        <w:tabs>
          <w:tab w:val="left" w:pos="1427"/>
        </w:tabs>
        <w:jc w:val="center"/>
        <w:rPr>
          <w:b/>
          <w:sz w:val="20"/>
          <w:lang w:eastAsia="ja-JP"/>
        </w:rPr>
      </w:pPr>
    </w:p>
    <w:p w:rsidR="00236E18" w:rsidRPr="006763AC" w:rsidRDefault="00236E18" w:rsidP="00236E18">
      <w:pPr>
        <w:keepNext/>
        <w:widowControl w:val="0"/>
        <w:tabs>
          <w:tab w:val="left" w:pos="1427"/>
        </w:tabs>
        <w:jc w:val="center"/>
        <w:rPr>
          <w:sz w:val="20"/>
        </w:rPr>
      </w:pPr>
      <w:r w:rsidRPr="006763AC">
        <w:rPr>
          <w:b/>
          <w:sz w:val="20"/>
        </w:rPr>
        <w:lastRenderedPageBreak/>
        <w:t>Programa</w:t>
      </w:r>
      <w:r>
        <w:rPr>
          <w:b/>
          <w:sz w:val="20"/>
        </w:rPr>
        <w:t xml:space="preserve"> </w:t>
      </w:r>
      <w:r w:rsidRPr="006763AC">
        <w:rPr>
          <w:b/>
          <w:sz w:val="20"/>
        </w:rPr>
        <w:t>30</w:t>
      </w:r>
      <w:proofErr w:type="gramStart"/>
      <w:r w:rsidRPr="006763AC">
        <w:rPr>
          <w:b/>
          <w:sz w:val="20"/>
        </w:rPr>
        <w:t>:  Recursos</w:t>
      </w:r>
      <w:proofErr w:type="gramEnd"/>
      <w:r w:rsidRPr="006763AC">
        <w:rPr>
          <w:b/>
          <w:sz w:val="20"/>
        </w:rPr>
        <w:t xml:space="preserve"> por objeto de gasto</w:t>
      </w:r>
    </w:p>
    <w:p w:rsidR="00236E18" w:rsidRPr="006763AC" w:rsidRDefault="00236E18" w:rsidP="00236E18">
      <w:pPr>
        <w:keepNext/>
        <w:widowControl w:val="0"/>
        <w:tabs>
          <w:tab w:val="left" w:pos="1427"/>
        </w:tabs>
        <w:jc w:val="center"/>
        <w:rPr>
          <w:i/>
          <w:sz w:val="20"/>
          <w:lang w:eastAsia="ja-JP"/>
        </w:rPr>
      </w:pPr>
      <w:r w:rsidRPr="006763AC">
        <w:rPr>
          <w:i/>
          <w:sz w:val="20"/>
          <w:lang w:eastAsia="ja-JP"/>
        </w:rPr>
        <w:t>(</w:t>
      </w:r>
      <w:proofErr w:type="gramStart"/>
      <w:r w:rsidRPr="006763AC">
        <w:rPr>
          <w:i/>
          <w:sz w:val="20"/>
          <w:lang w:eastAsia="ja-JP"/>
        </w:rPr>
        <w:t>en</w:t>
      </w:r>
      <w:proofErr w:type="gramEnd"/>
      <w:r w:rsidRPr="006763AC">
        <w:rPr>
          <w:i/>
          <w:sz w:val="20"/>
          <w:lang w:eastAsia="ja-JP"/>
        </w:rPr>
        <w:t xml:space="preserve"> miles de francos suizos)</w:t>
      </w:r>
    </w:p>
    <w:p w:rsidR="00236E18" w:rsidRPr="006763AC" w:rsidRDefault="00236E18" w:rsidP="00236E18">
      <w:pPr>
        <w:keepNext/>
        <w:widowControl w:val="0"/>
        <w:tabs>
          <w:tab w:val="left" w:pos="1427"/>
        </w:tabs>
        <w:jc w:val="center"/>
        <w:rPr>
          <w:i/>
          <w:sz w:val="20"/>
          <w:lang w:eastAsia="ja-JP"/>
        </w:rPr>
      </w:pPr>
    </w:p>
    <w:p w:rsidR="00236E18" w:rsidRPr="006763AC" w:rsidRDefault="00236E18" w:rsidP="00236E18">
      <w:pPr>
        <w:widowControl w:val="0"/>
        <w:tabs>
          <w:tab w:val="left" w:pos="1427"/>
        </w:tabs>
        <w:jc w:val="center"/>
        <w:rPr>
          <w:i/>
          <w:sz w:val="20"/>
          <w:lang w:eastAsia="ja-JP"/>
        </w:rPr>
      </w:pPr>
      <w:r>
        <w:rPr>
          <w:noProof/>
          <w:lang w:val="en-US" w:eastAsia="en-US"/>
        </w:rPr>
        <w:drawing>
          <wp:inline distT="0" distB="0" distL="0" distR="0" wp14:anchorId="5A4775BC" wp14:editId="027C9274">
            <wp:extent cx="5940425" cy="6118130"/>
            <wp:effectExtent l="0" t="0" r="3175" b="0"/>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940425" cy="6118130"/>
                    </a:xfrm>
                    <a:prstGeom prst="rect">
                      <a:avLst/>
                    </a:prstGeom>
                    <a:noFill/>
                    <a:ln>
                      <a:noFill/>
                    </a:ln>
                  </pic:spPr>
                </pic:pic>
              </a:graphicData>
            </a:graphic>
          </wp:inline>
        </w:drawing>
      </w:r>
    </w:p>
    <w:p w:rsidR="00236E18" w:rsidRPr="006763AC" w:rsidRDefault="00236E18" w:rsidP="00236E18">
      <w:pPr>
        <w:widowControl w:val="0"/>
        <w:rPr>
          <w:rFonts w:eastAsia="Arial"/>
          <w:sz w:val="20"/>
          <w:szCs w:val="22"/>
        </w:rPr>
      </w:pPr>
    </w:p>
    <w:p w:rsidR="00236E18" w:rsidRPr="006763AC" w:rsidRDefault="00236E18" w:rsidP="00236E18">
      <w:pPr>
        <w:widowControl w:val="0"/>
        <w:rPr>
          <w:rFonts w:eastAsia="Arial"/>
          <w:sz w:val="20"/>
          <w:szCs w:val="22"/>
        </w:rPr>
      </w:pPr>
    </w:p>
    <w:p w:rsidR="00236E18" w:rsidRDefault="00236E18" w:rsidP="00236E18">
      <w:pPr>
        <w:rPr>
          <w:szCs w:val="22"/>
          <w:lang w:val="en-US"/>
        </w:rPr>
      </w:pPr>
      <w:r>
        <w:rPr>
          <w:szCs w:val="22"/>
          <w:lang w:val="en-US"/>
        </w:rPr>
        <w:br w:type="page"/>
      </w:r>
    </w:p>
    <w:p w:rsidR="00236E18" w:rsidRPr="005A7007" w:rsidRDefault="00236E18" w:rsidP="00236E18">
      <w:pPr>
        <w:pStyle w:val="StyleHeading3ComplexItalic"/>
        <w:tabs>
          <w:tab w:val="clear" w:pos="1985"/>
          <w:tab w:val="left" w:pos="3119"/>
        </w:tabs>
        <w:ind w:left="3119" w:hanging="3119"/>
        <w:rPr>
          <w:rStyle w:val="StyleStyleHeading3ComplexItalicLatin12ptChar"/>
          <w:rFonts w:eastAsia="SimSun"/>
          <w:b/>
          <w:lang w:val="es-ES_tradnl"/>
        </w:rPr>
      </w:pPr>
      <w:bookmarkStart w:id="73" w:name="_Toc367350587"/>
      <w:bookmarkStart w:id="74" w:name="_Toc419283256"/>
      <w:bookmarkStart w:id="75" w:name="_Toc431573555"/>
      <w:bookmarkStart w:id="76" w:name="_Toc431573956"/>
      <w:r w:rsidRPr="005A7007">
        <w:rPr>
          <w:rStyle w:val="StyleStyleHeading3ComplexItalicLatin12ptChar"/>
          <w:rFonts w:eastAsia="SimSun"/>
          <w:b/>
          <w:lang w:val="es-ES_tradnl"/>
        </w:rPr>
        <w:lastRenderedPageBreak/>
        <w:t>META ESTRATÉGICA IV</w:t>
      </w:r>
      <w:r w:rsidRPr="005A7007">
        <w:rPr>
          <w:rStyle w:val="StyleStyleHeading3ComplexItalicLatin12ptChar"/>
          <w:rFonts w:eastAsia="SimSun"/>
          <w:b/>
          <w:lang w:val="es-ES_tradnl"/>
        </w:rPr>
        <w:tab/>
      </w:r>
      <w:bookmarkEnd w:id="73"/>
      <w:bookmarkEnd w:id="74"/>
      <w:r w:rsidRPr="005A7007">
        <w:rPr>
          <w:rStyle w:val="StyleStyleHeading3ComplexItalicLatin12ptChar"/>
          <w:rFonts w:eastAsia="SimSun"/>
          <w:b/>
          <w:lang w:val="es-ES_tradnl"/>
        </w:rPr>
        <w:t>COORDINACIÓN Y DESARROLLO DE LA INFRAESTRUCTURA MUNDIAL DE LA P.I.</w:t>
      </w:r>
      <w:bookmarkEnd w:id="75"/>
      <w:bookmarkEnd w:id="76"/>
    </w:p>
    <w:p w:rsidR="00236E18" w:rsidRPr="0020391E" w:rsidRDefault="00236E18" w:rsidP="00236E18">
      <w:pPr>
        <w:tabs>
          <w:tab w:val="left" w:pos="1701"/>
        </w:tabs>
        <w:ind w:left="1701" w:hanging="1701"/>
        <w:rPr>
          <w:bCs/>
          <w:caps/>
          <w:szCs w:val="24"/>
          <w:highlight w:val="lightGray"/>
          <w:lang w:val="es-ES_tradnl"/>
        </w:rPr>
      </w:pPr>
    </w:p>
    <w:p w:rsidR="00236E18" w:rsidRPr="0020391E" w:rsidRDefault="00236E18" w:rsidP="00236E18">
      <w:pPr>
        <w:tabs>
          <w:tab w:val="left" w:pos="1701"/>
        </w:tabs>
        <w:ind w:left="1701" w:hanging="1701"/>
        <w:rPr>
          <w:bCs/>
          <w:caps/>
          <w:szCs w:val="24"/>
          <w:highlight w:val="lightGray"/>
          <w:lang w:val="es-ES_tradnl"/>
        </w:rPr>
      </w:pPr>
    </w:p>
    <w:p w:rsidR="00236E18" w:rsidRPr="000979DD" w:rsidRDefault="00236E18" w:rsidP="00236E18">
      <w:pPr>
        <w:autoSpaceDE w:val="0"/>
        <w:autoSpaceDN w:val="0"/>
        <w:adjustRightInd w:val="0"/>
        <w:jc w:val="both"/>
        <w:rPr>
          <w:sz w:val="20"/>
          <w:highlight w:val="lightGray"/>
          <w:lang w:val="es-ES_tradnl"/>
        </w:rPr>
      </w:pPr>
      <w:r w:rsidRPr="000979DD">
        <w:rPr>
          <w:sz w:val="20"/>
          <w:lang w:val="es-ES_tradnl"/>
        </w:rPr>
        <w:t>Las tecnologías de la información y la comunicación (TIC) han permitido incrementar la eficiencia en el sistema internacional de P.I., facilitar el acceso a las ventajas que se derivan del sistema e intensificar la participación de los países menos adelantados, países en desarrollo y países con economías en transición.  El propósito de esta meta estratégica es fortalecer la infraestructura de los Estados miembros, en particular los países citados, intensificar la cooperación internacional para mejorar la infraestructura y el flujo de datos en el sistema y establecer bases de datos mundiales de P.I. y plataformas de participación voluntaria para incrementar la cooperación técnica.</w:t>
      </w:r>
    </w:p>
    <w:p w:rsidR="00236E18" w:rsidRPr="005376EA" w:rsidRDefault="00236E18" w:rsidP="00236E18">
      <w:pPr>
        <w:autoSpaceDE w:val="0"/>
        <w:autoSpaceDN w:val="0"/>
        <w:adjustRightInd w:val="0"/>
        <w:spacing w:before="120"/>
        <w:jc w:val="both"/>
        <w:rPr>
          <w:i/>
          <w:iCs/>
          <w:sz w:val="20"/>
          <w:highlight w:val="lightGray"/>
          <w:lang w:val="es-ES_tradnl"/>
        </w:rPr>
      </w:pPr>
      <w:r w:rsidRPr="000979DD">
        <w:rPr>
          <w:iCs/>
          <w:sz w:val="20"/>
          <w:lang w:val="es-ES_tradnl"/>
        </w:rPr>
        <w:t>La coordinación y desarrollo de la infraestructura mundial de P.I. también contribuye al logro de la meta estratégica III (Facilitar el uso de la P.I. en aras del desarrollo), la meta estratégica II (Prestación de servicios mundiales de P.I. de calidad.) y la meta estratégica V (Fuente de referencia en el mundo de información y análisis en materia de P.I.).  Abarca también la aplicación de varias recomendaciones  de la Agenda para el Desarrollo.</w:t>
      </w:r>
    </w:p>
    <w:p w:rsidR="00236E18" w:rsidRPr="005376EA" w:rsidRDefault="00236E18" w:rsidP="00236E18">
      <w:pPr>
        <w:tabs>
          <w:tab w:val="left" w:pos="1701"/>
        </w:tabs>
        <w:ind w:left="1701" w:hanging="1701"/>
        <w:rPr>
          <w:bCs/>
          <w:iCs/>
          <w:caps/>
          <w:sz w:val="20"/>
          <w:highlight w:val="lightGray"/>
          <w:lang w:val="es-ES_tradnl"/>
        </w:rPr>
      </w:pPr>
    </w:p>
    <w:p w:rsidR="00236E18" w:rsidRPr="005376EA" w:rsidRDefault="00236E18" w:rsidP="00236E18">
      <w:pPr>
        <w:rPr>
          <w:rFonts w:eastAsia="Arial"/>
          <w:sz w:val="20"/>
          <w:highlight w:val="lightGray"/>
          <w:lang w:val="es-ES_tradnl"/>
        </w:rPr>
      </w:pPr>
    </w:p>
    <w:tbl>
      <w:tblPr>
        <w:tblW w:w="485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15"/>
        <w:gridCol w:w="2722"/>
        <w:gridCol w:w="3058"/>
      </w:tblGrid>
      <w:tr w:rsidR="00236E18" w:rsidRPr="000979DD" w:rsidTr="00294272">
        <w:trPr>
          <w:cantSplit/>
          <w:trHeight w:val="334"/>
          <w:tblHeader/>
        </w:trPr>
        <w:tc>
          <w:tcPr>
            <w:tcW w:w="1891" w:type="pct"/>
            <w:tcBorders>
              <w:top w:val="single" w:sz="4" w:space="0" w:color="auto"/>
              <w:bottom w:val="single" w:sz="4" w:space="0" w:color="auto"/>
            </w:tcBorders>
            <w:shd w:val="clear" w:color="auto" w:fill="C6D9F1" w:themeFill="text2" w:themeFillTint="33"/>
            <w:tcMar>
              <w:top w:w="85" w:type="dxa"/>
              <w:bottom w:w="85" w:type="dxa"/>
            </w:tcMar>
            <w:vAlign w:val="center"/>
          </w:tcPr>
          <w:p w:rsidR="00236E18" w:rsidRPr="000979DD" w:rsidRDefault="00236E18" w:rsidP="00294272">
            <w:pPr>
              <w:spacing w:after="120"/>
              <w:jc w:val="center"/>
              <w:rPr>
                <w:b/>
                <w:bCs/>
                <w:sz w:val="18"/>
                <w:szCs w:val="18"/>
              </w:rPr>
            </w:pPr>
            <w:r w:rsidRPr="000979DD">
              <w:rPr>
                <w:b/>
                <w:bCs/>
                <w:sz w:val="18"/>
                <w:szCs w:val="18"/>
                <w:lang w:val="es-ES_tradnl"/>
              </w:rPr>
              <w:t>Resultados previstos</w:t>
            </w:r>
          </w:p>
        </w:tc>
        <w:tc>
          <w:tcPr>
            <w:tcW w:w="1464" w:type="pct"/>
            <w:tcBorders>
              <w:top w:val="single" w:sz="4" w:space="0" w:color="auto"/>
              <w:bottom w:val="single" w:sz="4" w:space="0" w:color="auto"/>
            </w:tcBorders>
            <w:shd w:val="clear" w:color="auto" w:fill="C6D9F1" w:themeFill="text2" w:themeFillTint="33"/>
            <w:tcMar>
              <w:top w:w="85" w:type="dxa"/>
              <w:bottom w:w="85" w:type="dxa"/>
            </w:tcMar>
            <w:vAlign w:val="center"/>
          </w:tcPr>
          <w:p w:rsidR="00236E18" w:rsidRPr="000979DD" w:rsidRDefault="00236E18" w:rsidP="00294272">
            <w:pPr>
              <w:spacing w:after="120"/>
              <w:jc w:val="center"/>
              <w:rPr>
                <w:b/>
                <w:sz w:val="18"/>
                <w:szCs w:val="18"/>
              </w:rPr>
            </w:pPr>
            <w:r w:rsidRPr="000979DD">
              <w:rPr>
                <w:b/>
                <w:sz w:val="18"/>
                <w:szCs w:val="18"/>
                <w:lang w:val="es-ES_tradnl"/>
              </w:rPr>
              <w:t>Indicadores de rendimiento</w:t>
            </w:r>
          </w:p>
        </w:tc>
        <w:tc>
          <w:tcPr>
            <w:tcW w:w="1645" w:type="pct"/>
            <w:tcBorders>
              <w:top w:val="single" w:sz="4" w:space="0" w:color="auto"/>
              <w:bottom w:val="single" w:sz="4" w:space="0" w:color="auto"/>
            </w:tcBorders>
            <w:shd w:val="clear" w:color="auto" w:fill="C6D9F1" w:themeFill="text2" w:themeFillTint="33"/>
            <w:tcMar>
              <w:top w:w="85" w:type="dxa"/>
              <w:bottom w:w="85" w:type="dxa"/>
            </w:tcMar>
            <w:vAlign w:val="center"/>
          </w:tcPr>
          <w:p w:rsidR="00236E18" w:rsidRPr="000979DD" w:rsidRDefault="00236E18" w:rsidP="00294272">
            <w:pPr>
              <w:spacing w:after="120"/>
              <w:ind w:left="85"/>
              <w:jc w:val="center"/>
              <w:rPr>
                <w:sz w:val="18"/>
                <w:szCs w:val="18"/>
              </w:rPr>
            </w:pPr>
            <w:r w:rsidRPr="000979DD">
              <w:rPr>
                <w:b/>
                <w:sz w:val="18"/>
                <w:szCs w:val="18"/>
                <w:lang w:val="es-ES_tradnl"/>
              </w:rPr>
              <w:t>Programas responsables</w:t>
            </w:r>
          </w:p>
        </w:tc>
      </w:tr>
      <w:tr w:rsidR="00236E18" w:rsidRPr="000979DD" w:rsidTr="00294272">
        <w:trPr>
          <w:cantSplit/>
          <w:trHeight w:val="949"/>
        </w:trPr>
        <w:tc>
          <w:tcPr>
            <w:tcW w:w="1891" w:type="pct"/>
            <w:tcBorders>
              <w:top w:val="single" w:sz="4" w:space="0" w:color="auto"/>
            </w:tcBorders>
            <w:shd w:val="clear" w:color="auto" w:fill="auto"/>
            <w:tcMar>
              <w:top w:w="85" w:type="dxa"/>
              <w:bottom w:w="85" w:type="dxa"/>
            </w:tcMar>
          </w:tcPr>
          <w:p w:rsidR="00236E18" w:rsidRPr="00E22F01" w:rsidRDefault="00236E18" w:rsidP="00294272">
            <w:pPr>
              <w:rPr>
                <w:sz w:val="16"/>
                <w:szCs w:val="16"/>
              </w:rPr>
            </w:pPr>
            <w:r w:rsidRPr="00E22F01">
              <w:rPr>
                <w:sz w:val="16"/>
                <w:szCs w:val="16"/>
                <w:lang w:val="es-ES_tradnl"/>
              </w:rPr>
              <w:t>IV.1  Sistema actualizado y aceptado mundialmente de clasificaciones internacionales y normas técnicas de la OMPI para facilitar el acceso, el uso y la difusión de información de P.I. entre las partes interesadas de todo el mundo</w:t>
            </w:r>
          </w:p>
        </w:tc>
        <w:tc>
          <w:tcPr>
            <w:tcW w:w="1464" w:type="pct"/>
            <w:tcBorders>
              <w:top w:val="single" w:sz="4" w:space="0" w:color="auto"/>
            </w:tcBorders>
            <w:shd w:val="clear" w:color="auto" w:fill="auto"/>
            <w:tcMar>
              <w:top w:w="85" w:type="dxa"/>
              <w:bottom w:w="85" w:type="dxa"/>
            </w:tcMar>
          </w:tcPr>
          <w:p w:rsidR="00236E18" w:rsidRPr="000979DD" w:rsidRDefault="00236E18" w:rsidP="00294272">
            <w:pPr>
              <w:rPr>
                <w:sz w:val="16"/>
                <w:szCs w:val="16"/>
                <w:lang w:val="es-ES_tradnl"/>
              </w:rPr>
            </w:pPr>
            <w:r w:rsidRPr="000979DD">
              <w:rPr>
                <w:sz w:val="16"/>
                <w:szCs w:val="16"/>
                <w:lang w:val="es-ES_tradnl"/>
              </w:rPr>
              <w:t>N</w:t>
            </w:r>
            <w:r>
              <w:rPr>
                <w:sz w:val="16"/>
                <w:szCs w:val="16"/>
                <w:lang w:val="es-ES_tradnl"/>
              </w:rPr>
              <w:t>º</w:t>
            </w:r>
            <w:r w:rsidRPr="000979DD">
              <w:rPr>
                <w:sz w:val="16"/>
                <w:szCs w:val="16"/>
                <w:lang w:val="es-ES_tradnl"/>
              </w:rPr>
              <w:t xml:space="preserve"> de modificaciones y ficheros de información introducidos en la Clasificación de Niza </w:t>
            </w:r>
          </w:p>
          <w:p w:rsidR="00236E18" w:rsidRPr="000979DD" w:rsidRDefault="00236E18" w:rsidP="00294272">
            <w:pPr>
              <w:rPr>
                <w:sz w:val="16"/>
                <w:szCs w:val="16"/>
                <w:lang w:val="es-ES_tradnl"/>
              </w:rPr>
            </w:pPr>
          </w:p>
          <w:p w:rsidR="00236E18" w:rsidRPr="000979DD" w:rsidRDefault="00236E18" w:rsidP="00294272">
            <w:pPr>
              <w:rPr>
                <w:sz w:val="16"/>
                <w:szCs w:val="16"/>
                <w:lang w:val="es-ES_tradnl"/>
              </w:rPr>
            </w:pPr>
            <w:r w:rsidRPr="000979DD">
              <w:rPr>
                <w:sz w:val="16"/>
                <w:szCs w:val="16"/>
                <w:lang w:val="es-ES_tradnl"/>
              </w:rPr>
              <w:t>N</w:t>
            </w:r>
            <w:r>
              <w:rPr>
                <w:sz w:val="16"/>
                <w:szCs w:val="16"/>
                <w:lang w:val="es-ES_tradnl"/>
              </w:rPr>
              <w:t>º</w:t>
            </w:r>
            <w:r w:rsidRPr="000979DD">
              <w:rPr>
                <w:sz w:val="16"/>
                <w:szCs w:val="16"/>
                <w:lang w:val="es-ES_tradnl"/>
              </w:rPr>
              <w:t xml:space="preserve"> de nuevas subdivisiones introducidas anualmente en la CIP</w:t>
            </w:r>
          </w:p>
        </w:tc>
        <w:tc>
          <w:tcPr>
            <w:tcW w:w="1645" w:type="pct"/>
            <w:tcBorders>
              <w:top w:val="single" w:sz="4" w:space="0" w:color="auto"/>
            </w:tcBorders>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12</w:t>
            </w:r>
          </w:p>
          <w:p w:rsidR="00236E18" w:rsidRPr="000979DD" w:rsidRDefault="00236E18" w:rsidP="00294272">
            <w:pPr>
              <w:ind w:left="660"/>
              <w:rPr>
                <w:sz w:val="16"/>
                <w:szCs w:val="16"/>
                <w:lang w:bidi="th-TH"/>
              </w:rPr>
            </w:pPr>
          </w:p>
          <w:p w:rsidR="00236E18" w:rsidRPr="000979DD" w:rsidRDefault="00236E18" w:rsidP="00294272">
            <w:pPr>
              <w:ind w:left="660"/>
              <w:rPr>
                <w:sz w:val="16"/>
                <w:szCs w:val="16"/>
                <w:lang w:bidi="th-TH"/>
              </w:rPr>
            </w:pPr>
          </w:p>
          <w:p w:rsidR="00236E18" w:rsidRPr="000979DD" w:rsidRDefault="00236E18" w:rsidP="00294272">
            <w:pPr>
              <w:ind w:left="660"/>
              <w:rPr>
                <w:sz w:val="16"/>
                <w:szCs w:val="16"/>
                <w:lang w:bidi="th-TH"/>
              </w:rPr>
            </w:pPr>
          </w:p>
          <w:p w:rsidR="00236E18" w:rsidRPr="000979DD" w:rsidRDefault="00236E18" w:rsidP="00294272">
            <w:pPr>
              <w:ind w:left="660"/>
              <w:rPr>
                <w:sz w:val="16"/>
                <w:szCs w:val="16"/>
              </w:rPr>
            </w:pPr>
            <w:r w:rsidRPr="000979DD">
              <w:rPr>
                <w:sz w:val="16"/>
                <w:szCs w:val="16"/>
                <w:lang w:bidi="th-TH"/>
              </w:rPr>
              <w:t>Programa 12</w:t>
            </w:r>
          </w:p>
        </w:tc>
      </w:tr>
      <w:tr w:rsidR="00236E18" w:rsidRPr="000979DD" w:rsidTr="00294272">
        <w:trPr>
          <w:cantSplit/>
          <w:trHeight w:val="454"/>
        </w:trPr>
        <w:tc>
          <w:tcPr>
            <w:tcW w:w="1891" w:type="pct"/>
            <w:shd w:val="clear" w:color="auto" w:fill="auto"/>
            <w:tcMar>
              <w:top w:w="85" w:type="dxa"/>
              <w:bottom w:w="85" w:type="dxa"/>
            </w:tcMar>
          </w:tcPr>
          <w:p w:rsidR="00236E18" w:rsidRPr="00E22F01"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lang w:val="es-ES_tradnl"/>
              </w:rPr>
            </w:pPr>
            <w:r w:rsidRPr="000979DD">
              <w:rPr>
                <w:sz w:val="16"/>
                <w:szCs w:val="16"/>
                <w:lang w:val="es-ES_tradnl"/>
              </w:rPr>
              <w:t>N</w:t>
            </w:r>
            <w:r>
              <w:rPr>
                <w:sz w:val="16"/>
                <w:szCs w:val="16"/>
                <w:lang w:val="es-ES_tradnl"/>
              </w:rPr>
              <w:t>º</w:t>
            </w:r>
            <w:r w:rsidRPr="000979DD">
              <w:rPr>
                <w:sz w:val="16"/>
                <w:szCs w:val="16"/>
                <w:lang w:val="es-ES_tradnl"/>
              </w:rPr>
              <w:t xml:space="preserve"> de normas técnicas modificadas y nuevas normas técnicas adoptadas</w:t>
            </w:r>
          </w:p>
        </w:tc>
        <w:tc>
          <w:tcPr>
            <w:tcW w:w="1645" w:type="pct"/>
            <w:shd w:val="clear" w:color="auto" w:fill="FFFFFF"/>
            <w:tcMar>
              <w:top w:w="85" w:type="dxa"/>
              <w:bottom w:w="85" w:type="dxa"/>
            </w:tcMar>
          </w:tcPr>
          <w:p w:rsidR="00236E18" w:rsidRPr="000979DD" w:rsidRDefault="00236E18" w:rsidP="00294272">
            <w:pPr>
              <w:ind w:left="660"/>
              <w:rPr>
                <w:sz w:val="16"/>
                <w:szCs w:val="16"/>
              </w:rPr>
            </w:pPr>
            <w:r w:rsidRPr="000979DD">
              <w:rPr>
                <w:sz w:val="16"/>
                <w:szCs w:val="16"/>
                <w:lang w:bidi="th-TH"/>
              </w:rPr>
              <w:t>Programa 12</w:t>
            </w:r>
          </w:p>
        </w:tc>
      </w:tr>
      <w:tr w:rsidR="00236E18" w:rsidRPr="000979DD" w:rsidTr="00294272">
        <w:trPr>
          <w:cantSplit/>
          <w:trHeight w:val="883"/>
        </w:trPr>
        <w:tc>
          <w:tcPr>
            <w:tcW w:w="1891" w:type="pct"/>
            <w:shd w:val="clear" w:color="auto" w:fill="auto"/>
            <w:tcMar>
              <w:top w:w="85" w:type="dxa"/>
              <w:bottom w:w="85" w:type="dxa"/>
            </w:tcMar>
          </w:tcPr>
          <w:p w:rsidR="00236E18" w:rsidRPr="00E22F01"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lang w:val="es-ES_tradnl"/>
              </w:rPr>
            </w:pPr>
            <w:r w:rsidRPr="000979DD">
              <w:rPr>
                <w:sz w:val="16"/>
                <w:szCs w:val="16"/>
                <w:lang w:val="es-ES_tradnl"/>
              </w:rPr>
              <w:t>N</w:t>
            </w:r>
            <w:r>
              <w:rPr>
                <w:sz w:val="16"/>
                <w:szCs w:val="16"/>
                <w:lang w:val="es-ES_tradnl"/>
              </w:rPr>
              <w:t>º</w:t>
            </w:r>
            <w:r w:rsidRPr="000979DD">
              <w:rPr>
                <w:sz w:val="16"/>
                <w:szCs w:val="16"/>
                <w:lang w:val="es-ES_tradnl"/>
              </w:rPr>
              <w:t xml:space="preserve"> de usuarios que acceden a las publicaciones en Internet de las clasificaciones y normas internacionales, especialmente de países en desarrollo</w:t>
            </w:r>
          </w:p>
        </w:tc>
        <w:tc>
          <w:tcPr>
            <w:tcW w:w="1645" w:type="pct"/>
            <w:shd w:val="clear" w:color="auto" w:fill="FFFFFF"/>
            <w:tcMar>
              <w:top w:w="85" w:type="dxa"/>
              <w:bottom w:w="85" w:type="dxa"/>
            </w:tcMar>
          </w:tcPr>
          <w:p w:rsidR="00236E18" w:rsidRPr="000979DD" w:rsidRDefault="00236E18" w:rsidP="00294272">
            <w:pPr>
              <w:ind w:left="660"/>
              <w:rPr>
                <w:sz w:val="16"/>
                <w:szCs w:val="16"/>
              </w:rPr>
            </w:pPr>
            <w:r w:rsidRPr="000979DD">
              <w:rPr>
                <w:sz w:val="16"/>
                <w:szCs w:val="16"/>
                <w:lang w:bidi="th-TH"/>
              </w:rPr>
              <w:t>Programa 12</w:t>
            </w:r>
          </w:p>
        </w:tc>
      </w:tr>
      <w:tr w:rsidR="00236E18" w:rsidRPr="000979DD" w:rsidTr="00294272">
        <w:trPr>
          <w:cantSplit/>
          <w:trHeight w:val="696"/>
        </w:trPr>
        <w:tc>
          <w:tcPr>
            <w:tcW w:w="1891" w:type="pct"/>
            <w:shd w:val="clear" w:color="auto" w:fill="auto"/>
            <w:tcMar>
              <w:top w:w="85" w:type="dxa"/>
              <w:bottom w:w="85" w:type="dxa"/>
            </w:tcMar>
          </w:tcPr>
          <w:p w:rsidR="00236E18" w:rsidRPr="00E22F01" w:rsidRDefault="00236E18" w:rsidP="00294272">
            <w:pPr>
              <w:rPr>
                <w:sz w:val="16"/>
                <w:szCs w:val="16"/>
                <w:lang w:val="es-ES_tradnl"/>
              </w:rPr>
            </w:pPr>
            <w:r w:rsidRPr="00E22F01">
              <w:rPr>
                <w:sz w:val="16"/>
                <w:szCs w:val="16"/>
                <w:lang w:val="es-ES_tradnl"/>
              </w:rPr>
              <w:t>IV.2  Mejora del acceso y uso de información de P.I. por parte de instituciones de P.I. y el público para fomentar la innovación y la creatividad</w:t>
            </w: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rPr>
              <w:t>N</w:t>
            </w:r>
            <w:r>
              <w:rPr>
                <w:sz w:val="16"/>
                <w:szCs w:val="16"/>
              </w:rPr>
              <w:t>º</w:t>
            </w:r>
            <w:r w:rsidRPr="000979DD">
              <w:rPr>
                <w:sz w:val="16"/>
                <w:szCs w:val="16"/>
              </w:rPr>
              <w:t xml:space="preserve"> de miembros constitutivos del Consorcio</w:t>
            </w:r>
            <w:r>
              <w:rPr>
                <w:sz w:val="16"/>
                <w:szCs w:val="16"/>
              </w:rPr>
              <w:t xml:space="preserve"> de Libros Accesibles (</w:t>
            </w:r>
            <w:r w:rsidRPr="000979DD">
              <w:rPr>
                <w:sz w:val="16"/>
                <w:szCs w:val="16"/>
              </w:rPr>
              <w:t>ABC</w:t>
            </w:r>
            <w:r>
              <w:rPr>
                <w:sz w:val="16"/>
                <w:szCs w:val="16"/>
              </w:rPr>
              <w:t>)</w:t>
            </w:r>
            <w:r w:rsidRPr="000979DD">
              <w:rPr>
                <w:sz w:val="16"/>
                <w:szCs w:val="16"/>
              </w:rPr>
              <w:br/>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3</w:t>
            </w:r>
          </w:p>
        </w:tc>
      </w:tr>
      <w:tr w:rsidR="00236E18" w:rsidRPr="000979DD" w:rsidTr="00294272">
        <w:trPr>
          <w:cantSplit/>
          <w:trHeight w:val="326"/>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lang w:val="es-ES_tradnl"/>
              </w:rPr>
              <w:t>N</w:t>
            </w:r>
            <w:r>
              <w:rPr>
                <w:sz w:val="16"/>
                <w:szCs w:val="16"/>
                <w:lang w:val="es-ES_tradnl"/>
              </w:rPr>
              <w:t>º</w:t>
            </w:r>
            <w:r w:rsidRPr="000979DD">
              <w:rPr>
                <w:sz w:val="16"/>
                <w:szCs w:val="16"/>
                <w:lang w:val="es-ES_tradnl"/>
              </w:rPr>
              <w:t xml:space="preserve"> de </w:t>
            </w:r>
            <w:r w:rsidRPr="000979DD">
              <w:rPr>
                <w:sz w:val="16"/>
                <w:szCs w:val="16"/>
              </w:rPr>
              <w:t>donantes</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3</w:t>
            </w:r>
          </w:p>
        </w:tc>
      </w:tr>
      <w:tr w:rsidR="00236E18" w:rsidRPr="000979DD" w:rsidTr="00294272">
        <w:trPr>
          <w:cantSplit/>
          <w:trHeight w:val="620"/>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rPr>
              <w:t>N</w:t>
            </w:r>
            <w:r>
              <w:rPr>
                <w:sz w:val="16"/>
                <w:szCs w:val="16"/>
              </w:rPr>
              <w:t>º</w:t>
            </w:r>
            <w:r w:rsidRPr="000979DD">
              <w:rPr>
                <w:sz w:val="16"/>
                <w:szCs w:val="16"/>
              </w:rPr>
              <w:t xml:space="preserve"> de instrumentos jurídicos, directrices y declaraciones de principios, aparte de los instrumentos vinculantes, con la participación de las partes interesadas en cuestión, en ámbitos como los nuevos tratados de derecho de autor y el derecho de autor en el entorno digital.</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3</w:t>
            </w:r>
          </w:p>
        </w:tc>
      </w:tr>
      <w:tr w:rsidR="00236E18" w:rsidRPr="000979DD" w:rsidTr="00294272">
        <w:trPr>
          <w:cantSplit/>
          <w:trHeight w:val="620"/>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rPr>
              <w:t>Porcentaje de participantes en seminarios y talleres sobre derecho de autor en el entorno digital que han formulado comentarios favorables.</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3</w:t>
            </w:r>
          </w:p>
        </w:tc>
      </w:tr>
      <w:tr w:rsidR="00236E18" w:rsidRPr="000979DD" w:rsidTr="00294272">
        <w:trPr>
          <w:cantSplit/>
          <w:trHeight w:val="437"/>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rPr>
              <w:t>N</w:t>
            </w:r>
            <w:r>
              <w:rPr>
                <w:sz w:val="16"/>
                <w:szCs w:val="16"/>
              </w:rPr>
              <w:t>º</w:t>
            </w:r>
            <w:r w:rsidRPr="000979DD">
              <w:rPr>
                <w:sz w:val="16"/>
                <w:szCs w:val="16"/>
              </w:rPr>
              <w:t xml:space="preserve"> de redes </w:t>
            </w:r>
            <w:r w:rsidRPr="001E701B">
              <w:rPr>
                <w:sz w:val="16"/>
                <w:szCs w:val="16"/>
              </w:rPr>
              <w:t xml:space="preserve">nacionales </w:t>
            </w:r>
            <w:r w:rsidRPr="000979DD">
              <w:rPr>
                <w:sz w:val="16"/>
                <w:szCs w:val="16"/>
              </w:rPr>
              <w:t>de CATI</w:t>
            </w:r>
            <w:r>
              <w:rPr>
                <w:sz w:val="16"/>
                <w:szCs w:val="16"/>
              </w:rPr>
              <w:t xml:space="preserve"> sostenibles</w:t>
            </w:r>
            <w:r w:rsidRPr="000979DD">
              <w:rPr>
                <w:sz w:val="16"/>
                <w:szCs w:val="16"/>
              </w:rPr>
              <w:t xml:space="preserve"> (cifras totales)</w:t>
            </w:r>
            <w:r>
              <w:rPr>
                <w:rStyle w:val="FootnoteReference"/>
                <w:sz w:val="16"/>
                <w:szCs w:val="16"/>
              </w:rPr>
              <w:footnoteReference w:id="21"/>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9</w:t>
            </w:r>
          </w:p>
          <w:p w:rsidR="00236E18" w:rsidRPr="000979DD" w:rsidRDefault="00236E18" w:rsidP="00294272">
            <w:pPr>
              <w:ind w:left="660"/>
              <w:rPr>
                <w:sz w:val="16"/>
                <w:szCs w:val="16"/>
                <w:lang w:bidi="th-TH"/>
              </w:rPr>
            </w:pPr>
            <w:r w:rsidRPr="000979DD">
              <w:rPr>
                <w:sz w:val="16"/>
                <w:szCs w:val="16"/>
                <w:lang w:bidi="th-TH"/>
              </w:rPr>
              <w:t>Programa 14</w:t>
            </w:r>
          </w:p>
          <w:p w:rsidR="00236E18" w:rsidRPr="000979DD" w:rsidRDefault="00236E18" w:rsidP="00294272">
            <w:pPr>
              <w:ind w:left="660"/>
              <w:rPr>
                <w:sz w:val="16"/>
                <w:szCs w:val="16"/>
                <w:lang w:bidi="th-TH"/>
              </w:rPr>
            </w:pPr>
            <w:r w:rsidRPr="000979DD">
              <w:rPr>
                <w:sz w:val="16"/>
                <w:szCs w:val="16"/>
                <w:lang w:bidi="th-TH"/>
              </w:rPr>
              <w:t xml:space="preserve">Programa 20 </w:t>
            </w:r>
          </w:p>
        </w:tc>
      </w:tr>
      <w:tr w:rsidR="00236E18" w:rsidRPr="000979DD" w:rsidTr="00294272">
        <w:trPr>
          <w:cantSplit/>
          <w:trHeight w:val="762"/>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rPr>
              <w:t>N</w:t>
            </w:r>
            <w:r>
              <w:rPr>
                <w:sz w:val="16"/>
                <w:szCs w:val="16"/>
              </w:rPr>
              <w:t>º</w:t>
            </w:r>
            <w:r w:rsidRPr="000979DD">
              <w:rPr>
                <w:sz w:val="16"/>
                <w:szCs w:val="16"/>
              </w:rPr>
              <w:t xml:space="preserve"> de organizaciones, comunidades y personas que aplicaron y usaron tecnologías apropiadas como solución para los desafíos de desarrollo identificados en los PMA</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9</w:t>
            </w:r>
          </w:p>
        </w:tc>
      </w:tr>
      <w:tr w:rsidR="00236E18" w:rsidRPr="000979DD" w:rsidTr="00294272">
        <w:trPr>
          <w:cantSplit/>
          <w:trHeight w:val="762"/>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rPr>
              <w:t>Uso de tecnologías apropiadas en pro del desarrollo mediante informes y búsquedas de patentes,  análisis de las tecnologías, planes operacionales (número de expertos, grupos de expertos nacionales en los PMA)</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9</w:t>
            </w:r>
          </w:p>
        </w:tc>
      </w:tr>
      <w:tr w:rsidR="00236E18" w:rsidRPr="000979DD" w:rsidTr="00294272">
        <w:trPr>
          <w:cantSplit/>
          <w:trHeight w:val="638"/>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rPr>
              <w:t>Determinación de tecnologías apropiadas comercializadas en los PMA</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9</w:t>
            </w:r>
          </w:p>
        </w:tc>
      </w:tr>
      <w:tr w:rsidR="00236E18" w:rsidRPr="000979DD" w:rsidTr="00294272">
        <w:trPr>
          <w:cantSplit/>
          <w:trHeight w:val="386"/>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rPr>
              <w:t>Proyectos reproducidos en otros ámbitos en los PMA</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9</w:t>
            </w:r>
          </w:p>
        </w:tc>
      </w:tr>
      <w:tr w:rsidR="00236E18" w:rsidRPr="000979DD" w:rsidTr="00294272">
        <w:trPr>
          <w:cantSplit/>
          <w:trHeight w:val="652"/>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rPr>
              <w:t>Establecimiento de instituciones que sigan trabajando sobre la tecnología apropiada en los PMA</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9</w:t>
            </w:r>
          </w:p>
        </w:tc>
      </w:tr>
      <w:tr w:rsidR="00236E18" w:rsidRPr="000979DD" w:rsidTr="00294272">
        <w:trPr>
          <w:cantSplit/>
          <w:trHeight w:val="762"/>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rPr>
              <w:t>Continuación y ampliación de los programas nacionales de fortalecimiento de capacidad tecnológica sobre las tecnologías apropiadas en los PMA</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9</w:t>
            </w:r>
          </w:p>
        </w:tc>
      </w:tr>
      <w:tr w:rsidR="00236E18" w:rsidRPr="000979DD" w:rsidTr="00294272">
        <w:trPr>
          <w:cantSplit/>
          <w:trHeight w:val="762"/>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rPr>
              <w:t>Utilización de tecnología apropiada para el desarrollo económico incluida en las políticas y estrategias nacionales de innovación y P.I. en los PMA</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9</w:t>
            </w:r>
          </w:p>
        </w:tc>
      </w:tr>
      <w:tr w:rsidR="00236E18" w:rsidRPr="000979DD" w:rsidTr="00294272">
        <w:trPr>
          <w:cantSplit/>
          <w:trHeight w:val="550"/>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rPr>
              <w:t>N</w:t>
            </w:r>
            <w:r>
              <w:rPr>
                <w:sz w:val="16"/>
                <w:szCs w:val="16"/>
              </w:rPr>
              <w:t>º</w:t>
            </w:r>
            <w:r w:rsidRPr="000979DD">
              <w:rPr>
                <w:sz w:val="16"/>
                <w:szCs w:val="16"/>
              </w:rPr>
              <w:t xml:space="preserve"> de usuarios por trimestre en todos los sistemas de bases de datos mundiales</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13</w:t>
            </w:r>
          </w:p>
        </w:tc>
      </w:tr>
      <w:tr w:rsidR="00236E18" w:rsidRPr="000979DD" w:rsidTr="00294272">
        <w:trPr>
          <w:cantSplit/>
          <w:trHeight w:val="399"/>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lang w:val="es-ES_tradnl"/>
              </w:rPr>
            </w:pPr>
            <w:r w:rsidRPr="000979DD">
              <w:rPr>
                <w:sz w:val="16"/>
                <w:szCs w:val="16"/>
                <w:lang w:val="es-ES_tradnl"/>
              </w:rPr>
              <w:t>N</w:t>
            </w:r>
            <w:r>
              <w:rPr>
                <w:sz w:val="16"/>
                <w:szCs w:val="16"/>
                <w:lang w:val="es-ES_tradnl"/>
              </w:rPr>
              <w:t>º</w:t>
            </w:r>
            <w:r w:rsidRPr="000979DD">
              <w:rPr>
                <w:sz w:val="16"/>
                <w:szCs w:val="16"/>
                <w:lang w:val="es-ES_tradnl"/>
              </w:rPr>
              <w:t xml:space="preserve"> de idiomas en los que se pueden efectuar búsquedas plurilingües</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13</w:t>
            </w:r>
          </w:p>
        </w:tc>
      </w:tr>
      <w:tr w:rsidR="00236E18" w:rsidRPr="000979DD" w:rsidTr="00294272">
        <w:trPr>
          <w:cantSplit/>
          <w:trHeight w:val="615"/>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rPr>
              <w:t>N</w:t>
            </w:r>
            <w:r>
              <w:rPr>
                <w:sz w:val="16"/>
                <w:szCs w:val="16"/>
              </w:rPr>
              <w:t>º</w:t>
            </w:r>
            <w:r w:rsidRPr="000979DD">
              <w:rPr>
                <w:sz w:val="16"/>
                <w:szCs w:val="16"/>
              </w:rPr>
              <w:t xml:space="preserve"> de pares de idiomas disponibles para la traducción de descripciones y reivindicaciones</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13</w:t>
            </w:r>
          </w:p>
        </w:tc>
      </w:tr>
      <w:tr w:rsidR="00236E18" w:rsidRPr="000979DD" w:rsidTr="00294272">
        <w:trPr>
          <w:cantSplit/>
          <w:trHeight w:val="420"/>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Default="00236E18" w:rsidP="00294272">
            <w:pPr>
              <w:rPr>
                <w:sz w:val="16"/>
                <w:szCs w:val="16"/>
                <w:lang w:val="es-ES_tradnl"/>
              </w:rPr>
            </w:pPr>
            <w:r w:rsidRPr="000979DD">
              <w:rPr>
                <w:sz w:val="16"/>
                <w:szCs w:val="16"/>
                <w:lang w:val="es-ES_tradnl"/>
              </w:rPr>
              <w:t>N</w:t>
            </w:r>
            <w:r>
              <w:rPr>
                <w:sz w:val="16"/>
                <w:szCs w:val="16"/>
                <w:lang w:val="es-ES_tradnl"/>
              </w:rPr>
              <w:t>º</w:t>
            </w:r>
            <w:r w:rsidRPr="000979DD">
              <w:rPr>
                <w:sz w:val="16"/>
                <w:szCs w:val="16"/>
                <w:lang w:val="es-ES_tradnl"/>
              </w:rPr>
              <w:t xml:space="preserve"> de registros contenidos en PATENSCOPE</w:t>
            </w:r>
          </w:p>
          <w:p w:rsidR="00236E18" w:rsidRDefault="00236E18" w:rsidP="00294272">
            <w:pPr>
              <w:rPr>
                <w:sz w:val="16"/>
                <w:szCs w:val="16"/>
                <w:lang w:val="es-ES_tradnl"/>
              </w:rPr>
            </w:pPr>
          </w:p>
          <w:p w:rsidR="00236E18" w:rsidRPr="000979DD" w:rsidRDefault="00236E18" w:rsidP="00294272">
            <w:pPr>
              <w:rPr>
                <w:sz w:val="16"/>
                <w:szCs w:val="16"/>
                <w:lang w:val="es-ES_tradnl"/>
              </w:rPr>
            </w:pPr>
            <w:r>
              <w:rPr>
                <w:sz w:val="16"/>
                <w:szCs w:val="16"/>
                <w:lang w:val="es-ES_tradnl"/>
              </w:rPr>
              <w:t>Puntualidad en la introducción de datos (retraso promedio en el número de días transcurridos entre la fecha de publicación de las inscripciones en el registro oficial y su disponibilidad en bases de datos mundiales respecto de un conjunto representativo de colecciones nacionales)</w:t>
            </w:r>
          </w:p>
        </w:tc>
        <w:tc>
          <w:tcPr>
            <w:tcW w:w="1645" w:type="pct"/>
            <w:shd w:val="clear" w:color="auto" w:fill="FFFFFF"/>
            <w:tcMar>
              <w:top w:w="85" w:type="dxa"/>
              <w:bottom w:w="85" w:type="dxa"/>
            </w:tcMar>
          </w:tcPr>
          <w:p w:rsidR="00236E18" w:rsidRDefault="00236E18" w:rsidP="00294272">
            <w:pPr>
              <w:ind w:left="660"/>
              <w:rPr>
                <w:sz w:val="16"/>
                <w:szCs w:val="16"/>
                <w:lang w:bidi="th-TH"/>
              </w:rPr>
            </w:pPr>
            <w:r w:rsidRPr="000979DD">
              <w:rPr>
                <w:sz w:val="16"/>
                <w:szCs w:val="16"/>
                <w:lang w:bidi="th-TH"/>
              </w:rPr>
              <w:t>Programa 13</w:t>
            </w:r>
          </w:p>
          <w:p w:rsidR="00236E18" w:rsidRDefault="00236E18" w:rsidP="00294272">
            <w:pPr>
              <w:ind w:left="660"/>
              <w:rPr>
                <w:sz w:val="16"/>
                <w:szCs w:val="16"/>
                <w:lang w:bidi="th-TH"/>
              </w:rPr>
            </w:pPr>
          </w:p>
          <w:p w:rsidR="00236E18" w:rsidRDefault="00236E18" w:rsidP="00294272">
            <w:pPr>
              <w:ind w:left="660"/>
              <w:rPr>
                <w:sz w:val="16"/>
                <w:szCs w:val="16"/>
                <w:lang w:bidi="th-TH"/>
              </w:rPr>
            </w:pPr>
          </w:p>
          <w:p w:rsidR="00236E18" w:rsidRPr="000979DD" w:rsidRDefault="00236E18" w:rsidP="00294272">
            <w:pPr>
              <w:ind w:left="660"/>
              <w:rPr>
                <w:sz w:val="16"/>
                <w:szCs w:val="16"/>
                <w:lang w:bidi="th-TH"/>
              </w:rPr>
            </w:pPr>
            <w:r>
              <w:rPr>
                <w:sz w:val="16"/>
                <w:szCs w:val="16"/>
                <w:lang w:bidi="th-TH"/>
              </w:rPr>
              <w:t>Programa 13</w:t>
            </w:r>
          </w:p>
        </w:tc>
      </w:tr>
      <w:tr w:rsidR="00236E18" w:rsidRPr="000979DD" w:rsidTr="00294272">
        <w:trPr>
          <w:cantSplit/>
          <w:trHeight w:val="389"/>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lang w:val="es-ES_tradnl"/>
              </w:rPr>
              <w:t>N</w:t>
            </w:r>
            <w:r>
              <w:rPr>
                <w:sz w:val="16"/>
                <w:szCs w:val="16"/>
                <w:lang w:val="es-ES_tradnl"/>
              </w:rPr>
              <w:t>º</w:t>
            </w:r>
            <w:r w:rsidRPr="000979DD">
              <w:rPr>
                <w:sz w:val="16"/>
                <w:szCs w:val="16"/>
                <w:lang w:val="es-ES_tradnl"/>
              </w:rPr>
              <w:t xml:space="preserve"> de usuarios anuales en promedio atendidos por los CATI</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14</w:t>
            </w:r>
          </w:p>
        </w:tc>
      </w:tr>
      <w:tr w:rsidR="00236E18" w:rsidRPr="000979DD" w:rsidTr="00294272">
        <w:trPr>
          <w:cantSplit/>
          <w:trHeight w:val="769"/>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lang w:val="es-ES_tradnl"/>
              </w:rPr>
              <w:t>N</w:t>
            </w:r>
            <w:r>
              <w:rPr>
                <w:sz w:val="16"/>
                <w:szCs w:val="16"/>
                <w:lang w:val="es-ES_tradnl"/>
              </w:rPr>
              <w:t>º</w:t>
            </w:r>
            <w:r w:rsidRPr="000979DD">
              <w:rPr>
                <w:sz w:val="16"/>
                <w:szCs w:val="16"/>
                <w:lang w:val="es-ES_tradnl"/>
              </w:rPr>
              <w:t xml:space="preserve"> de Estados miembros en sus respectivas regiones que colaboran con las bases de datos mundiales.</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14</w:t>
            </w:r>
          </w:p>
        </w:tc>
      </w:tr>
      <w:tr w:rsidR="00236E18" w:rsidRPr="000979DD" w:rsidTr="00294272">
        <w:trPr>
          <w:cantSplit/>
          <w:trHeight w:val="163"/>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lang w:val="es-ES_tradnl"/>
              </w:rPr>
            </w:pPr>
            <w:r w:rsidRPr="000979DD">
              <w:rPr>
                <w:sz w:val="16"/>
                <w:szCs w:val="16"/>
                <w:lang w:val="es-ES_tradnl"/>
              </w:rPr>
              <w:t>N</w:t>
            </w:r>
            <w:r>
              <w:rPr>
                <w:sz w:val="16"/>
                <w:szCs w:val="16"/>
                <w:lang w:val="es-ES_tradnl"/>
              </w:rPr>
              <w:t>º</w:t>
            </w:r>
            <w:r w:rsidRPr="000979DD">
              <w:rPr>
                <w:sz w:val="16"/>
                <w:szCs w:val="16"/>
                <w:lang w:val="es-ES_tradnl"/>
              </w:rPr>
              <w:t xml:space="preserve"> de usuarios inscritos en ARDI y ASPI que utilizan dichos instrumentos</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14</w:t>
            </w:r>
          </w:p>
        </w:tc>
      </w:tr>
      <w:tr w:rsidR="00236E18" w:rsidRPr="000979DD" w:rsidTr="00294272">
        <w:trPr>
          <w:cantSplit/>
          <w:trHeight w:val="163"/>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lang w:val="es-ES_tradnl"/>
              </w:rPr>
              <w:t>N</w:t>
            </w:r>
            <w:r>
              <w:rPr>
                <w:sz w:val="16"/>
                <w:szCs w:val="16"/>
                <w:lang w:val="es-ES_tradnl"/>
              </w:rPr>
              <w:t>º</w:t>
            </w:r>
            <w:r w:rsidRPr="000979DD">
              <w:rPr>
                <w:sz w:val="16"/>
                <w:szCs w:val="16"/>
                <w:lang w:val="es-ES_tradnl"/>
              </w:rPr>
              <w:t xml:space="preserve"> de solicitudes cursadas a los CATI</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14</w:t>
            </w:r>
          </w:p>
        </w:tc>
      </w:tr>
      <w:tr w:rsidR="00236E18" w:rsidRPr="000979DD" w:rsidTr="00294272">
        <w:trPr>
          <w:cantSplit/>
          <w:trHeight w:val="516"/>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lang w:val="es-ES_tradnl"/>
              </w:rPr>
              <w:t>N</w:t>
            </w:r>
            <w:r>
              <w:rPr>
                <w:sz w:val="16"/>
                <w:szCs w:val="16"/>
                <w:lang w:val="es-ES_tradnl"/>
              </w:rPr>
              <w:t>º</w:t>
            </w:r>
            <w:r w:rsidRPr="000979DD">
              <w:rPr>
                <w:sz w:val="16"/>
                <w:szCs w:val="16"/>
                <w:lang w:val="es-ES_tradnl"/>
              </w:rPr>
              <w:t xml:space="preserve"> de CATI que ofrecen servicios de análisis de patentes</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14</w:t>
            </w:r>
          </w:p>
        </w:tc>
      </w:tr>
      <w:tr w:rsidR="00236E18" w:rsidRPr="000979DD" w:rsidTr="00294272">
        <w:trPr>
          <w:cantSplit/>
          <w:trHeight w:val="163"/>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rPr>
            </w:pPr>
            <w:r w:rsidRPr="000979DD">
              <w:rPr>
                <w:sz w:val="16"/>
                <w:szCs w:val="16"/>
              </w:rPr>
              <w:t>N</w:t>
            </w:r>
            <w:r>
              <w:rPr>
                <w:sz w:val="16"/>
                <w:szCs w:val="16"/>
              </w:rPr>
              <w:t>º</w:t>
            </w:r>
            <w:r w:rsidRPr="000979DD">
              <w:rPr>
                <w:sz w:val="16"/>
                <w:szCs w:val="16"/>
              </w:rPr>
              <w:t xml:space="preserve"> de usuarios de las bases de datos mundiales de la OMPI: PATENTSCOPE, Base Mundial de Datos sobre Marcas, Base Mundial de Datos sobre Dibujos y Modelos Industriales  </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 xml:space="preserve">Programa 20 </w:t>
            </w:r>
          </w:p>
        </w:tc>
      </w:tr>
      <w:tr w:rsidR="00236E18" w:rsidRPr="000979DD" w:rsidTr="00294272">
        <w:trPr>
          <w:cantSplit/>
          <w:trHeight w:val="346"/>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lang w:val="es-ES_tradnl"/>
              </w:rPr>
            </w:pPr>
            <w:r w:rsidRPr="000979DD">
              <w:rPr>
                <w:sz w:val="16"/>
                <w:szCs w:val="16"/>
                <w:lang w:val="es-ES_tradnl"/>
              </w:rPr>
              <w:t xml:space="preserve">Aumento del número de usuarios de WIPO </w:t>
            </w:r>
            <w:proofErr w:type="spellStart"/>
            <w:r w:rsidRPr="000979DD">
              <w:rPr>
                <w:sz w:val="16"/>
                <w:szCs w:val="16"/>
                <w:lang w:val="es-ES_tradnl"/>
              </w:rPr>
              <w:t>Lex</w:t>
            </w:r>
            <w:proofErr w:type="spellEnd"/>
          </w:p>
          <w:p w:rsidR="00236E18" w:rsidRPr="000979DD" w:rsidRDefault="00236E18" w:rsidP="00294272">
            <w:pPr>
              <w:rPr>
                <w:sz w:val="16"/>
                <w:szCs w:val="16"/>
                <w:lang w:val="es-ES_tradnl"/>
              </w:rPr>
            </w:pPr>
          </w:p>
          <w:p w:rsidR="00236E18" w:rsidRPr="000979DD" w:rsidRDefault="00236E18" w:rsidP="00294272">
            <w:pPr>
              <w:rPr>
                <w:sz w:val="16"/>
                <w:szCs w:val="16"/>
              </w:rPr>
            </w:pPr>
            <w:r w:rsidRPr="000979DD">
              <w:rPr>
                <w:sz w:val="16"/>
                <w:szCs w:val="16"/>
              </w:rPr>
              <w:t>N</w:t>
            </w:r>
            <w:r>
              <w:rPr>
                <w:sz w:val="16"/>
                <w:szCs w:val="16"/>
              </w:rPr>
              <w:t>º</w:t>
            </w:r>
            <w:r w:rsidRPr="000979DD">
              <w:rPr>
                <w:sz w:val="16"/>
                <w:szCs w:val="16"/>
              </w:rPr>
              <w:t xml:space="preserve"> de</w:t>
            </w:r>
            <w:r>
              <w:rPr>
                <w:sz w:val="16"/>
                <w:szCs w:val="16"/>
              </w:rPr>
              <w:t xml:space="preserve"> oficinas de transferencia tecnológica</w:t>
            </w:r>
            <w:r w:rsidRPr="000979DD">
              <w:rPr>
                <w:sz w:val="16"/>
                <w:szCs w:val="16"/>
              </w:rPr>
              <w:t xml:space="preserve"> que se han establecido o reforzado en universidades o instituciones de I+D en el marco del programa Iniciativa Universitaria de la OMPI.</w:t>
            </w:r>
          </w:p>
          <w:p w:rsidR="00236E18" w:rsidRPr="000979DD" w:rsidRDefault="00236E18" w:rsidP="00294272">
            <w:pPr>
              <w:rPr>
                <w:sz w:val="16"/>
                <w:szCs w:val="16"/>
              </w:rPr>
            </w:pPr>
          </w:p>
          <w:p w:rsidR="00236E18" w:rsidRPr="000979DD" w:rsidRDefault="00236E18" w:rsidP="00294272">
            <w:pPr>
              <w:rPr>
                <w:sz w:val="16"/>
                <w:szCs w:val="16"/>
              </w:rPr>
            </w:pPr>
            <w:r w:rsidRPr="000979DD">
              <w:rPr>
                <w:sz w:val="16"/>
                <w:szCs w:val="16"/>
              </w:rPr>
              <w:t>N</w:t>
            </w:r>
            <w:r>
              <w:rPr>
                <w:sz w:val="16"/>
                <w:szCs w:val="16"/>
              </w:rPr>
              <w:t>º</w:t>
            </w:r>
            <w:r w:rsidRPr="000979DD">
              <w:rPr>
                <w:sz w:val="16"/>
                <w:szCs w:val="16"/>
              </w:rPr>
              <w:t xml:space="preserve"> de universidades o instituciones de investigación que han desarrollado o mejorado sus políticas de P.I.</w:t>
            </w:r>
          </w:p>
        </w:tc>
        <w:tc>
          <w:tcPr>
            <w:tcW w:w="1645" w:type="pct"/>
            <w:shd w:val="clear" w:color="auto" w:fill="FFFFFF"/>
            <w:tcMar>
              <w:top w:w="85" w:type="dxa"/>
              <w:bottom w:w="85" w:type="dxa"/>
            </w:tcMar>
          </w:tcPr>
          <w:p w:rsidR="00236E18" w:rsidRPr="000979DD" w:rsidRDefault="00236E18" w:rsidP="00294272">
            <w:pPr>
              <w:ind w:left="660"/>
              <w:rPr>
                <w:sz w:val="16"/>
                <w:szCs w:val="16"/>
                <w:lang w:val="en-US" w:bidi="th-TH"/>
              </w:rPr>
            </w:pPr>
            <w:r w:rsidRPr="00E22F01">
              <w:rPr>
                <w:sz w:val="16"/>
                <w:szCs w:val="16"/>
                <w:lang w:bidi="th-TH"/>
              </w:rPr>
              <w:t>Programa</w:t>
            </w:r>
            <w:r w:rsidRPr="000979DD">
              <w:rPr>
                <w:sz w:val="16"/>
                <w:szCs w:val="16"/>
                <w:lang w:val="en-US" w:bidi="th-TH"/>
              </w:rPr>
              <w:t xml:space="preserve"> 21</w:t>
            </w:r>
          </w:p>
          <w:p w:rsidR="00236E18" w:rsidRPr="000979DD" w:rsidRDefault="00236E18" w:rsidP="00294272">
            <w:pPr>
              <w:ind w:left="660"/>
              <w:rPr>
                <w:sz w:val="16"/>
                <w:szCs w:val="16"/>
                <w:lang w:val="en-US" w:bidi="th-TH"/>
              </w:rPr>
            </w:pPr>
          </w:p>
          <w:p w:rsidR="00236E18" w:rsidRPr="000979DD" w:rsidRDefault="00236E18" w:rsidP="00294272">
            <w:pPr>
              <w:ind w:left="660"/>
              <w:rPr>
                <w:sz w:val="16"/>
                <w:szCs w:val="16"/>
                <w:lang w:val="en-US" w:bidi="th-TH"/>
              </w:rPr>
            </w:pPr>
          </w:p>
          <w:p w:rsidR="00236E18" w:rsidRPr="000979DD" w:rsidRDefault="00236E18" w:rsidP="00294272">
            <w:pPr>
              <w:ind w:left="660"/>
              <w:rPr>
                <w:sz w:val="16"/>
                <w:szCs w:val="16"/>
                <w:lang w:val="en-US" w:bidi="th-TH"/>
              </w:rPr>
            </w:pPr>
            <w:r w:rsidRPr="00E22F01">
              <w:rPr>
                <w:sz w:val="16"/>
                <w:szCs w:val="16"/>
                <w:lang w:bidi="th-TH"/>
              </w:rPr>
              <w:t>Programa</w:t>
            </w:r>
            <w:r w:rsidRPr="000979DD">
              <w:rPr>
                <w:sz w:val="16"/>
                <w:szCs w:val="16"/>
                <w:lang w:val="en-US" w:bidi="th-TH"/>
              </w:rPr>
              <w:t xml:space="preserve"> 30</w:t>
            </w:r>
          </w:p>
          <w:p w:rsidR="00236E18" w:rsidRPr="000979DD" w:rsidRDefault="00236E18" w:rsidP="00294272">
            <w:pPr>
              <w:ind w:left="660"/>
              <w:rPr>
                <w:sz w:val="16"/>
                <w:szCs w:val="16"/>
                <w:lang w:val="en-US" w:bidi="th-TH"/>
              </w:rPr>
            </w:pPr>
          </w:p>
          <w:p w:rsidR="00236E18" w:rsidRPr="000979DD" w:rsidRDefault="00236E18" w:rsidP="00294272">
            <w:pPr>
              <w:ind w:left="660"/>
              <w:rPr>
                <w:sz w:val="16"/>
                <w:szCs w:val="16"/>
                <w:lang w:val="en-US" w:bidi="th-TH"/>
              </w:rPr>
            </w:pPr>
          </w:p>
          <w:p w:rsidR="00236E18" w:rsidRPr="000979DD" w:rsidRDefault="00236E18" w:rsidP="00294272">
            <w:pPr>
              <w:ind w:left="660"/>
              <w:rPr>
                <w:sz w:val="16"/>
                <w:szCs w:val="16"/>
                <w:lang w:val="en-US" w:bidi="th-TH"/>
              </w:rPr>
            </w:pPr>
          </w:p>
          <w:p w:rsidR="00236E18" w:rsidRPr="000979DD" w:rsidRDefault="00236E18" w:rsidP="00294272">
            <w:pPr>
              <w:ind w:left="660"/>
              <w:rPr>
                <w:sz w:val="16"/>
                <w:szCs w:val="16"/>
                <w:lang w:val="en-US" w:bidi="th-TH"/>
              </w:rPr>
            </w:pPr>
          </w:p>
          <w:p w:rsidR="00236E18" w:rsidRPr="000979DD" w:rsidRDefault="00236E18" w:rsidP="00294272">
            <w:pPr>
              <w:ind w:left="660"/>
              <w:rPr>
                <w:sz w:val="16"/>
                <w:szCs w:val="16"/>
                <w:lang w:val="en-US" w:bidi="th-TH"/>
              </w:rPr>
            </w:pPr>
          </w:p>
          <w:p w:rsidR="00236E18" w:rsidRPr="000979DD" w:rsidRDefault="00236E18" w:rsidP="00294272">
            <w:pPr>
              <w:ind w:left="660"/>
              <w:rPr>
                <w:sz w:val="16"/>
                <w:szCs w:val="16"/>
                <w:lang w:val="en-US" w:bidi="th-TH"/>
              </w:rPr>
            </w:pPr>
            <w:r w:rsidRPr="00E22F01">
              <w:rPr>
                <w:sz w:val="16"/>
                <w:szCs w:val="16"/>
                <w:lang w:bidi="th-TH"/>
              </w:rPr>
              <w:t>Programa</w:t>
            </w:r>
            <w:r w:rsidRPr="000979DD">
              <w:rPr>
                <w:sz w:val="16"/>
                <w:szCs w:val="16"/>
                <w:lang w:val="en-US" w:bidi="th-TH"/>
              </w:rPr>
              <w:t xml:space="preserve"> 30</w:t>
            </w:r>
          </w:p>
        </w:tc>
      </w:tr>
      <w:tr w:rsidR="00236E18" w:rsidRPr="000979DD" w:rsidTr="00294272">
        <w:trPr>
          <w:cantSplit/>
          <w:trHeight w:val="157"/>
        </w:trPr>
        <w:tc>
          <w:tcPr>
            <w:tcW w:w="1891" w:type="pct"/>
            <w:shd w:val="clear" w:color="auto" w:fill="auto"/>
            <w:tcMar>
              <w:top w:w="85" w:type="dxa"/>
              <w:bottom w:w="85" w:type="dxa"/>
            </w:tcMar>
          </w:tcPr>
          <w:p w:rsidR="00236E18" w:rsidRPr="00E22F01" w:rsidRDefault="00236E18" w:rsidP="00294272">
            <w:pPr>
              <w:rPr>
                <w:sz w:val="16"/>
                <w:szCs w:val="16"/>
              </w:rPr>
            </w:pPr>
            <w:r w:rsidRPr="00E22F01">
              <w:rPr>
                <w:sz w:val="16"/>
                <w:szCs w:val="16"/>
              </w:rPr>
              <w:t xml:space="preserve">IV.3  </w:t>
            </w:r>
            <w:r w:rsidRPr="00E22F01">
              <w:rPr>
                <w:sz w:val="16"/>
                <w:szCs w:val="16"/>
                <w:lang w:val="es-ES_tradnl"/>
              </w:rPr>
              <w:t>Amplia cobertura geográfica en cuanto al contenido y al uso de las bases de datos mundiales de la OMPI en materia de P.I.</w:t>
            </w:r>
          </w:p>
        </w:tc>
        <w:tc>
          <w:tcPr>
            <w:tcW w:w="1464" w:type="pct"/>
            <w:shd w:val="clear" w:color="auto" w:fill="auto"/>
            <w:tcMar>
              <w:top w:w="85" w:type="dxa"/>
              <w:bottom w:w="85" w:type="dxa"/>
            </w:tcMar>
          </w:tcPr>
          <w:p w:rsidR="00236E18" w:rsidRPr="000979DD" w:rsidRDefault="00236E18" w:rsidP="00294272">
            <w:pPr>
              <w:rPr>
                <w:sz w:val="16"/>
                <w:szCs w:val="16"/>
                <w:lang w:val="es-ES_tradnl"/>
              </w:rPr>
            </w:pPr>
            <w:r w:rsidRPr="000979DD">
              <w:rPr>
                <w:sz w:val="16"/>
                <w:szCs w:val="16"/>
                <w:lang w:val="es-ES_tradnl"/>
              </w:rPr>
              <w:t>N</w:t>
            </w:r>
            <w:r>
              <w:rPr>
                <w:sz w:val="16"/>
                <w:szCs w:val="16"/>
                <w:lang w:val="es-ES_tradnl"/>
              </w:rPr>
              <w:t>º</w:t>
            </w:r>
            <w:r w:rsidRPr="000979DD">
              <w:rPr>
                <w:sz w:val="16"/>
                <w:szCs w:val="16"/>
                <w:lang w:val="es-ES_tradnl"/>
              </w:rPr>
              <w:t xml:space="preserve"> de registros que figuran en la Base Mundial de Datos sobre Marcas</w:t>
            </w:r>
          </w:p>
          <w:p w:rsidR="00236E18" w:rsidRPr="000979DD" w:rsidRDefault="00236E18" w:rsidP="00294272">
            <w:pPr>
              <w:rPr>
                <w:sz w:val="16"/>
                <w:szCs w:val="16"/>
                <w:lang w:val="es-ES_tradnl"/>
              </w:rPr>
            </w:pPr>
          </w:p>
          <w:p w:rsidR="00236E18" w:rsidRPr="000979DD" w:rsidRDefault="00236E18" w:rsidP="00294272">
            <w:pPr>
              <w:rPr>
                <w:sz w:val="16"/>
                <w:szCs w:val="16"/>
              </w:rPr>
            </w:pPr>
            <w:r w:rsidRPr="000979DD">
              <w:rPr>
                <w:sz w:val="16"/>
                <w:szCs w:val="16"/>
              </w:rPr>
              <w:t>N</w:t>
            </w:r>
            <w:r>
              <w:rPr>
                <w:sz w:val="16"/>
                <w:szCs w:val="16"/>
              </w:rPr>
              <w:t>º</w:t>
            </w:r>
            <w:r w:rsidRPr="000979DD">
              <w:rPr>
                <w:sz w:val="16"/>
                <w:szCs w:val="16"/>
              </w:rPr>
              <w:t xml:space="preserve"> de registros que figuran en la Base Mundial de Datos sobre Dibujos y Modelos Industriales</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 xml:space="preserve">Programa 13 </w:t>
            </w:r>
          </w:p>
          <w:p w:rsidR="00236E18" w:rsidRPr="000979DD" w:rsidRDefault="00236E18" w:rsidP="00294272">
            <w:pPr>
              <w:ind w:left="660"/>
              <w:rPr>
                <w:sz w:val="16"/>
                <w:szCs w:val="16"/>
                <w:lang w:bidi="th-TH"/>
              </w:rPr>
            </w:pPr>
          </w:p>
          <w:p w:rsidR="00236E18" w:rsidRPr="000979DD" w:rsidRDefault="00236E18" w:rsidP="00294272">
            <w:pPr>
              <w:ind w:left="660"/>
              <w:rPr>
                <w:sz w:val="16"/>
                <w:szCs w:val="16"/>
                <w:lang w:bidi="th-TH"/>
              </w:rPr>
            </w:pPr>
          </w:p>
          <w:p w:rsidR="00236E18" w:rsidRPr="000979DD" w:rsidRDefault="00236E18" w:rsidP="00294272">
            <w:pPr>
              <w:ind w:left="660"/>
              <w:rPr>
                <w:sz w:val="16"/>
                <w:szCs w:val="16"/>
                <w:lang w:bidi="th-TH"/>
              </w:rPr>
            </w:pPr>
            <w:r w:rsidRPr="000979DD">
              <w:rPr>
                <w:sz w:val="16"/>
                <w:szCs w:val="16"/>
                <w:lang w:bidi="th-TH"/>
              </w:rPr>
              <w:t>Programa 13</w:t>
            </w:r>
          </w:p>
        </w:tc>
      </w:tr>
      <w:tr w:rsidR="00236E18" w:rsidRPr="000979DD" w:rsidTr="00294272">
        <w:trPr>
          <w:cantSplit/>
          <w:trHeight w:val="370"/>
        </w:trPr>
        <w:tc>
          <w:tcPr>
            <w:tcW w:w="1891" w:type="pct"/>
            <w:shd w:val="clear" w:color="auto" w:fill="auto"/>
            <w:tcMar>
              <w:top w:w="85" w:type="dxa"/>
              <w:bottom w:w="85" w:type="dxa"/>
            </w:tcMar>
          </w:tcPr>
          <w:p w:rsidR="00236E18" w:rsidRPr="00E22F01"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lang w:val="es-ES_tradnl"/>
              </w:rPr>
            </w:pPr>
            <w:r w:rsidRPr="000979DD">
              <w:rPr>
                <w:sz w:val="16"/>
                <w:szCs w:val="16"/>
                <w:lang w:val="es-ES_tradnl"/>
              </w:rPr>
              <w:t>N</w:t>
            </w:r>
            <w:r>
              <w:rPr>
                <w:sz w:val="16"/>
                <w:szCs w:val="16"/>
                <w:lang w:val="es-ES_tradnl"/>
              </w:rPr>
              <w:t>º</w:t>
            </w:r>
            <w:r w:rsidRPr="000979DD">
              <w:rPr>
                <w:sz w:val="16"/>
                <w:szCs w:val="16"/>
                <w:lang w:val="es-ES_tradnl"/>
              </w:rPr>
              <w:t xml:space="preserve"> de colecciones nacionales en PATENTSCOPE.</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13</w:t>
            </w:r>
          </w:p>
        </w:tc>
      </w:tr>
      <w:tr w:rsidR="00236E18" w:rsidRPr="000979DD" w:rsidTr="00294272">
        <w:trPr>
          <w:cantSplit/>
          <w:trHeight w:val="445"/>
        </w:trPr>
        <w:tc>
          <w:tcPr>
            <w:tcW w:w="1891" w:type="pct"/>
            <w:shd w:val="clear" w:color="auto" w:fill="auto"/>
            <w:tcMar>
              <w:top w:w="85" w:type="dxa"/>
              <w:bottom w:w="85" w:type="dxa"/>
            </w:tcMar>
          </w:tcPr>
          <w:p w:rsidR="00236E18" w:rsidRPr="00E22F01"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lang w:val="es-ES_tradnl"/>
              </w:rPr>
            </w:pPr>
            <w:r w:rsidRPr="000979DD">
              <w:rPr>
                <w:sz w:val="16"/>
                <w:szCs w:val="16"/>
                <w:lang w:val="es-ES_tradnl"/>
              </w:rPr>
              <w:t>N</w:t>
            </w:r>
            <w:r>
              <w:rPr>
                <w:sz w:val="16"/>
                <w:szCs w:val="16"/>
                <w:lang w:val="es-ES_tradnl"/>
              </w:rPr>
              <w:t>º</w:t>
            </w:r>
            <w:r w:rsidRPr="000979DD">
              <w:rPr>
                <w:sz w:val="16"/>
                <w:szCs w:val="16"/>
                <w:lang w:val="es-ES_tradnl"/>
              </w:rPr>
              <w:t xml:space="preserve"> de colecciones nacionales en la Base Mundial de Datos sobre Marcas</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13</w:t>
            </w:r>
          </w:p>
        </w:tc>
      </w:tr>
      <w:tr w:rsidR="00236E18" w:rsidRPr="0080529E" w:rsidTr="00294272">
        <w:trPr>
          <w:cantSplit/>
          <w:trHeight w:val="853"/>
        </w:trPr>
        <w:tc>
          <w:tcPr>
            <w:tcW w:w="1891" w:type="pct"/>
            <w:shd w:val="clear" w:color="auto" w:fill="auto"/>
            <w:tcMar>
              <w:top w:w="85" w:type="dxa"/>
              <w:bottom w:w="85" w:type="dxa"/>
            </w:tcMar>
          </w:tcPr>
          <w:p w:rsidR="00236E18" w:rsidRPr="00E22F01" w:rsidRDefault="00236E18" w:rsidP="00294272">
            <w:pPr>
              <w:rPr>
                <w:sz w:val="16"/>
                <w:szCs w:val="16"/>
              </w:rPr>
            </w:pPr>
            <w:r w:rsidRPr="00E22F01">
              <w:rPr>
                <w:sz w:val="16"/>
                <w:szCs w:val="16"/>
              </w:rPr>
              <w:t xml:space="preserve">IV.4  </w:t>
            </w:r>
            <w:r w:rsidRPr="00E22F01">
              <w:rPr>
                <w:sz w:val="16"/>
                <w:szCs w:val="16"/>
                <w:lang w:val="es-ES_tradnl"/>
              </w:rPr>
              <w:t>Mejora de la infraestructura técnica y de conocimientos de las Oficinas y demás instituciones de P.I. que les permita prestar mejores servicios (más baratos, más rápidos y de mejor calidad) a los sectores interesados y mejores resultados en la administración de la P.I.</w:t>
            </w:r>
          </w:p>
        </w:tc>
        <w:tc>
          <w:tcPr>
            <w:tcW w:w="1464" w:type="pct"/>
            <w:shd w:val="clear" w:color="auto" w:fill="auto"/>
            <w:tcMar>
              <w:top w:w="85" w:type="dxa"/>
              <w:bottom w:w="85" w:type="dxa"/>
            </w:tcMar>
          </w:tcPr>
          <w:p w:rsidR="00236E18" w:rsidRPr="0080529E" w:rsidRDefault="00236E18" w:rsidP="00294272">
            <w:pPr>
              <w:rPr>
                <w:sz w:val="16"/>
                <w:szCs w:val="16"/>
                <w:lang w:val="es-ES_tradnl"/>
              </w:rPr>
            </w:pPr>
            <w:r w:rsidRPr="0080529E">
              <w:rPr>
                <w:sz w:val="16"/>
                <w:szCs w:val="16"/>
                <w:lang w:val="es-ES_tradnl"/>
              </w:rPr>
              <w:t>N</w:t>
            </w:r>
            <w:r>
              <w:rPr>
                <w:sz w:val="16"/>
                <w:szCs w:val="16"/>
                <w:lang w:val="es-ES_tradnl"/>
              </w:rPr>
              <w:t>º</w:t>
            </w:r>
            <w:r w:rsidRPr="0080529E">
              <w:rPr>
                <w:sz w:val="16"/>
                <w:szCs w:val="16"/>
                <w:lang w:val="es-ES_tradnl"/>
              </w:rPr>
              <w:t xml:space="preserve"> de oficinas que utilizan las plataformas de infraestructura de la OMPI</w:t>
            </w:r>
          </w:p>
        </w:tc>
        <w:tc>
          <w:tcPr>
            <w:tcW w:w="1645" w:type="pct"/>
            <w:shd w:val="clear" w:color="auto" w:fill="FFFFFF"/>
            <w:tcMar>
              <w:top w:w="85" w:type="dxa"/>
              <w:bottom w:w="85" w:type="dxa"/>
            </w:tcMar>
          </w:tcPr>
          <w:p w:rsidR="00236E18" w:rsidRPr="0080529E" w:rsidRDefault="00236E18" w:rsidP="00294272">
            <w:pPr>
              <w:ind w:left="660"/>
              <w:rPr>
                <w:sz w:val="16"/>
                <w:szCs w:val="16"/>
                <w:lang w:bidi="th-TH"/>
              </w:rPr>
            </w:pPr>
            <w:r w:rsidRPr="0080529E">
              <w:rPr>
                <w:sz w:val="16"/>
                <w:szCs w:val="16"/>
                <w:lang w:bidi="th-TH"/>
              </w:rPr>
              <w:t>Programa 15</w:t>
            </w:r>
          </w:p>
          <w:p w:rsidR="00236E18" w:rsidRPr="0080529E" w:rsidRDefault="00236E18" w:rsidP="00294272">
            <w:pPr>
              <w:ind w:left="660"/>
              <w:rPr>
                <w:sz w:val="16"/>
                <w:szCs w:val="16"/>
                <w:lang w:bidi="th-TH"/>
              </w:rPr>
            </w:pPr>
            <w:r w:rsidRPr="0080529E">
              <w:rPr>
                <w:sz w:val="16"/>
                <w:szCs w:val="16"/>
                <w:lang w:bidi="th-TH"/>
              </w:rPr>
              <w:t xml:space="preserve">Programa 20 </w:t>
            </w:r>
          </w:p>
          <w:p w:rsidR="00236E18" w:rsidRPr="0080529E" w:rsidRDefault="00236E18" w:rsidP="00294272">
            <w:pPr>
              <w:ind w:left="660"/>
              <w:rPr>
                <w:sz w:val="16"/>
                <w:szCs w:val="16"/>
                <w:lang w:bidi="th-TH"/>
              </w:rPr>
            </w:pPr>
          </w:p>
        </w:tc>
      </w:tr>
      <w:tr w:rsidR="00236E18" w:rsidRPr="000979DD" w:rsidTr="00294272">
        <w:trPr>
          <w:cantSplit/>
          <w:trHeight w:val="546"/>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lang w:val="es-ES_tradnl"/>
              </w:rPr>
            </w:pPr>
            <w:r w:rsidRPr="000979DD">
              <w:rPr>
                <w:sz w:val="16"/>
                <w:szCs w:val="16"/>
                <w:lang w:val="es-ES_tradnl"/>
              </w:rPr>
              <w:t>Media del nivel de los servicios prestados por las Oficinas de P.I. que reciben asistencia (en una escala del 1 al 5</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9</w:t>
            </w:r>
          </w:p>
          <w:p w:rsidR="00236E18" w:rsidRPr="000979DD" w:rsidRDefault="00236E18" w:rsidP="00294272">
            <w:pPr>
              <w:ind w:left="660"/>
              <w:rPr>
                <w:sz w:val="16"/>
                <w:szCs w:val="16"/>
                <w:lang w:bidi="th-TH"/>
              </w:rPr>
            </w:pPr>
            <w:r w:rsidRPr="000979DD">
              <w:rPr>
                <w:sz w:val="16"/>
                <w:szCs w:val="16"/>
                <w:lang w:bidi="th-TH"/>
              </w:rPr>
              <w:t>Programa 15</w:t>
            </w:r>
          </w:p>
        </w:tc>
      </w:tr>
      <w:tr w:rsidR="00236E18" w:rsidRPr="000979DD" w:rsidTr="00294272">
        <w:trPr>
          <w:cantSplit/>
          <w:trHeight w:val="404"/>
        </w:trPr>
        <w:tc>
          <w:tcPr>
            <w:tcW w:w="1891" w:type="pct"/>
            <w:shd w:val="clear" w:color="auto" w:fill="auto"/>
            <w:tcMar>
              <w:top w:w="85" w:type="dxa"/>
              <w:bottom w:w="85" w:type="dxa"/>
            </w:tcMar>
          </w:tcPr>
          <w:p w:rsidR="00236E18" w:rsidRPr="000979DD" w:rsidRDefault="00236E18" w:rsidP="00294272">
            <w:pPr>
              <w:rPr>
                <w:sz w:val="16"/>
                <w:szCs w:val="16"/>
              </w:rPr>
            </w:pPr>
          </w:p>
        </w:tc>
        <w:tc>
          <w:tcPr>
            <w:tcW w:w="1464" w:type="pct"/>
            <w:shd w:val="clear" w:color="auto" w:fill="auto"/>
            <w:tcMar>
              <w:top w:w="85" w:type="dxa"/>
              <w:bottom w:w="85" w:type="dxa"/>
            </w:tcMar>
          </w:tcPr>
          <w:p w:rsidR="00236E18" w:rsidRPr="000979DD" w:rsidRDefault="00236E18" w:rsidP="00294272">
            <w:pPr>
              <w:rPr>
                <w:sz w:val="16"/>
                <w:szCs w:val="16"/>
                <w:lang w:val="es-ES_tradnl"/>
              </w:rPr>
            </w:pPr>
            <w:r w:rsidRPr="000979DD">
              <w:rPr>
                <w:sz w:val="16"/>
                <w:szCs w:val="16"/>
                <w:lang w:val="es-ES_tradnl"/>
              </w:rPr>
              <w:t>N</w:t>
            </w:r>
            <w:r>
              <w:rPr>
                <w:sz w:val="16"/>
                <w:szCs w:val="16"/>
                <w:lang w:val="es-ES_tradnl"/>
              </w:rPr>
              <w:t>º</w:t>
            </w:r>
            <w:r w:rsidRPr="000979DD">
              <w:rPr>
                <w:sz w:val="16"/>
                <w:szCs w:val="16"/>
                <w:lang w:val="es-ES_tradnl"/>
              </w:rPr>
              <w:t xml:space="preserve"> de </w:t>
            </w:r>
            <w:r>
              <w:rPr>
                <w:sz w:val="16"/>
                <w:szCs w:val="16"/>
                <w:lang w:val="es-ES_tradnl"/>
              </w:rPr>
              <w:t>organismos de gestión colectiva</w:t>
            </w:r>
            <w:r w:rsidRPr="000979DD">
              <w:rPr>
                <w:sz w:val="16"/>
                <w:szCs w:val="16"/>
                <w:lang w:val="es-ES_tradnl"/>
              </w:rPr>
              <w:t xml:space="preserve"> de países en desarrollo y PMA que participan en las redes regionales y mundiales facilitadas por la OMPI</w:t>
            </w:r>
          </w:p>
        </w:tc>
        <w:tc>
          <w:tcPr>
            <w:tcW w:w="1645" w:type="pct"/>
            <w:shd w:val="clear" w:color="auto" w:fill="FFFFFF"/>
            <w:tcMar>
              <w:top w:w="85" w:type="dxa"/>
              <w:bottom w:w="85" w:type="dxa"/>
            </w:tcMar>
          </w:tcPr>
          <w:p w:rsidR="00236E18" w:rsidRPr="000979DD" w:rsidRDefault="00236E18" w:rsidP="00294272">
            <w:pPr>
              <w:ind w:left="660"/>
              <w:rPr>
                <w:sz w:val="16"/>
                <w:szCs w:val="16"/>
                <w:lang w:bidi="th-TH"/>
              </w:rPr>
            </w:pPr>
            <w:r w:rsidRPr="000979DD">
              <w:rPr>
                <w:sz w:val="16"/>
                <w:szCs w:val="16"/>
                <w:lang w:bidi="th-TH"/>
              </w:rPr>
              <w:t>Programa 15</w:t>
            </w:r>
          </w:p>
        </w:tc>
      </w:tr>
    </w:tbl>
    <w:p w:rsidR="00236E18" w:rsidRPr="000979DD" w:rsidRDefault="00236E18" w:rsidP="00236E18">
      <w:pPr>
        <w:rPr>
          <w:rFonts w:eastAsia="Arial"/>
          <w:sz w:val="20"/>
        </w:rPr>
      </w:pPr>
    </w:p>
    <w:p w:rsidR="00236E18" w:rsidRPr="009B4A78" w:rsidRDefault="00236E18" w:rsidP="00236E18">
      <w:pPr>
        <w:rPr>
          <w:sz w:val="20"/>
        </w:rPr>
      </w:pPr>
      <w:r w:rsidRPr="009B4A78">
        <w:rPr>
          <w:sz w:val="20"/>
        </w:rPr>
        <w:br w:type="page"/>
      </w:r>
    </w:p>
    <w:p w:rsidR="00236E18" w:rsidRPr="000278D6" w:rsidRDefault="00236E18" w:rsidP="00236E18">
      <w:pPr>
        <w:pStyle w:val="StyleHeading3ComplexItalic"/>
        <w:ind w:left="1985" w:hanging="1985"/>
        <w:rPr>
          <w:rStyle w:val="StyleStyleHeading3ComplexItalicLatin12ptChar"/>
          <w:rFonts w:eastAsia="SimSun"/>
          <w:b/>
          <w:lang w:val="es-ES_tradnl"/>
        </w:rPr>
      </w:pPr>
      <w:bookmarkStart w:id="77" w:name="_Toc431573556"/>
      <w:bookmarkStart w:id="78" w:name="_Toc431573957"/>
      <w:r w:rsidRPr="000278D6">
        <w:rPr>
          <w:rStyle w:val="StyleStyleHeading3ComplexItalicLatin12ptChar"/>
          <w:rFonts w:eastAsia="SimSun"/>
          <w:b/>
          <w:lang w:val="es-ES_tradnl"/>
        </w:rPr>
        <w:lastRenderedPageBreak/>
        <w:t>PROGRAMA 12</w:t>
      </w:r>
      <w:r w:rsidRPr="000278D6">
        <w:rPr>
          <w:rStyle w:val="StyleStyleHeading3ComplexItalicLatin12ptChar"/>
          <w:rFonts w:eastAsia="SimSun"/>
          <w:b/>
          <w:lang w:val="es-ES_tradnl"/>
        </w:rPr>
        <w:tab/>
        <w:t>CLASIFICACIONES INTERNACIONALES Y NORMAS TÉCNICAS</w:t>
      </w:r>
      <w:bookmarkEnd w:id="77"/>
      <w:bookmarkEnd w:id="78"/>
    </w:p>
    <w:p w:rsidR="00236E18" w:rsidRPr="0098726F" w:rsidRDefault="00236E18" w:rsidP="00236E18">
      <w:pPr>
        <w:pStyle w:val="Body1"/>
        <w:rPr>
          <w:rFonts w:ascii="Arial" w:hAnsi="Arial" w:cs="Arial"/>
          <w:color w:val="auto"/>
          <w:lang w:val="es-ES"/>
        </w:rPr>
      </w:pPr>
    </w:p>
    <w:p w:rsidR="00236E18" w:rsidRPr="0098726F" w:rsidRDefault="00236E18" w:rsidP="00236E18">
      <w:pPr>
        <w:pStyle w:val="Body1"/>
        <w:rPr>
          <w:rFonts w:ascii="Arial" w:hAnsi="Arial" w:cs="Arial"/>
          <w:color w:val="auto"/>
          <w:lang w:val="es-ES"/>
        </w:rPr>
      </w:pPr>
    </w:p>
    <w:p w:rsidR="00236E18" w:rsidRPr="0098726F" w:rsidRDefault="00236E18" w:rsidP="00236E18">
      <w:pPr>
        <w:pStyle w:val="Body1"/>
        <w:rPr>
          <w:rFonts w:ascii="Arial" w:hAnsi="Arial" w:cs="Arial"/>
          <w:color w:val="auto"/>
          <w:sz w:val="22"/>
          <w:szCs w:val="24"/>
          <w:lang w:val="es-ES"/>
        </w:rPr>
      </w:pPr>
      <w:r w:rsidRPr="0098726F">
        <w:rPr>
          <w:rFonts w:ascii="Arial" w:hAnsi="Arial" w:cs="Arial"/>
          <w:color w:val="auto"/>
          <w:sz w:val="22"/>
          <w:szCs w:val="24"/>
          <w:lang w:val="es-ES"/>
        </w:rPr>
        <w:t>CONTEXTO DE PLANIFICACIÓN</w:t>
      </w:r>
    </w:p>
    <w:p w:rsidR="00236E18" w:rsidRPr="0098726F" w:rsidRDefault="00236E18" w:rsidP="00236E18">
      <w:pPr>
        <w:pStyle w:val="Body1"/>
        <w:jc w:val="both"/>
        <w:rPr>
          <w:rFonts w:ascii="Arial" w:hAnsi="Arial" w:cs="Arial"/>
          <w:color w:val="auto"/>
          <w:sz w:val="20"/>
          <w:szCs w:val="22"/>
          <w:lang w:val="es-ES"/>
        </w:rPr>
      </w:pPr>
    </w:p>
    <w:p w:rsidR="00236E18" w:rsidRPr="0098726F" w:rsidRDefault="00236E18" w:rsidP="00236E18">
      <w:pPr>
        <w:pStyle w:val="Body1"/>
        <w:numPr>
          <w:ilvl w:val="0"/>
          <w:numId w:val="26"/>
        </w:numPr>
        <w:tabs>
          <w:tab w:val="left" w:pos="709"/>
        </w:tabs>
        <w:ind w:left="0" w:firstLine="0"/>
        <w:jc w:val="both"/>
        <w:rPr>
          <w:rFonts w:ascii="Arial" w:hAnsi="Arial" w:cs="Arial"/>
          <w:color w:val="auto"/>
          <w:sz w:val="20"/>
          <w:szCs w:val="22"/>
          <w:lang w:val="es-ES"/>
        </w:rPr>
      </w:pPr>
      <w:r w:rsidRPr="0098726F">
        <w:rPr>
          <w:rFonts w:ascii="Arial" w:hAnsi="Arial" w:cs="Arial"/>
          <w:color w:val="auto"/>
          <w:sz w:val="20"/>
          <w:szCs w:val="22"/>
          <w:lang w:val="es-ES"/>
        </w:rPr>
        <w:t>La infraestructura mundial de sistemas de P.I. precisa cada vez más de plataformas y bases de datos interconectadas y compatibles entre sí.  Las clasificaciones internacionales y las normas técnicas son herramientas e instrumentos esenciales que permiten conectar distintas Oficinas de P.I. que utilizan distintos sistemas e idiomas y hacen posible el flujo de datos entre las Oficinas y las plataformas y bases de datos comunes.  Dados los constantes cambios que se producen en las tecnologías, las soluciones operativas y los acuerdos de colaboración entre las Oficinas de P.I., también es necesario que las clasificaciones internacionales y las normas técnicas se actualicen y revisen de manera continuada.</w:t>
      </w:r>
    </w:p>
    <w:p w:rsidR="00236E18" w:rsidRPr="0098726F" w:rsidRDefault="00236E18" w:rsidP="00236E18">
      <w:pPr>
        <w:pStyle w:val="Body1"/>
        <w:jc w:val="both"/>
        <w:rPr>
          <w:rFonts w:ascii="Arial" w:hAnsi="Arial" w:cs="Arial"/>
          <w:color w:val="auto"/>
          <w:sz w:val="20"/>
          <w:szCs w:val="22"/>
          <w:lang w:val="es-ES"/>
        </w:rPr>
      </w:pPr>
    </w:p>
    <w:p w:rsidR="00236E18" w:rsidRPr="0098726F" w:rsidRDefault="00236E18" w:rsidP="00236E18">
      <w:pPr>
        <w:pStyle w:val="Body1"/>
        <w:numPr>
          <w:ilvl w:val="0"/>
          <w:numId w:val="26"/>
        </w:numPr>
        <w:tabs>
          <w:tab w:val="left" w:pos="709"/>
        </w:tabs>
        <w:ind w:left="0" w:firstLine="0"/>
        <w:jc w:val="both"/>
        <w:rPr>
          <w:rFonts w:ascii="Arial" w:hAnsi="Arial" w:cs="Arial"/>
          <w:color w:val="auto"/>
          <w:sz w:val="20"/>
          <w:szCs w:val="22"/>
          <w:lang w:val="es-ES"/>
        </w:rPr>
      </w:pPr>
      <w:r w:rsidRPr="0098726F">
        <w:rPr>
          <w:rFonts w:ascii="Arial" w:hAnsi="Arial" w:cs="Arial"/>
          <w:color w:val="auto"/>
          <w:sz w:val="20"/>
          <w:szCs w:val="22"/>
          <w:lang w:val="es-ES"/>
        </w:rPr>
        <w:t>En ese contexto, la OMPI tiene como objetivo proporcionar a los Estados miembros el sistema más actualizado y mundialmente aceptado de clasificaciones internacionales y normas técnicas de la Organización para facilitar el acceso, el uso y la difusión de información sobre P.I. entre las distintas partes interesadas de todo el mundo.  A este respecto, las actividades de este programa tienen una vinculación directa con las recomendaciones 30 y 31 de la A.D.</w:t>
      </w:r>
    </w:p>
    <w:p w:rsidR="00236E18" w:rsidRPr="0098726F" w:rsidRDefault="00236E18" w:rsidP="00236E18">
      <w:pPr>
        <w:pStyle w:val="Body1"/>
        <w:jc w:val="both"/>
        <w:rPr>
          <w:rFonts w:ascii="Arial" w:hAnsi="Arial" w:cs="Arial"/>
          <w:color w:val="auto"/>
          <w:sz w:val="20"/>
          <w:szCs w:val="22"/>
          <w:lang w:val="es-ES"/>
        </w:rPr>
      </w:pPr>
    </w:p>
    <w:p w:rsidR="00236E18" w:rsidRPr="0098726F" w:rsidRDefault="00236E18" w:rsidP="00236E18">
      <w:pPr>
        <w:pStyle w:val="Body1"/>
        <w:jc w:val="both"/>
        <w:rPr>
          <w:rFonts w:ascii="Arial" w:hAnsi="Arial" w:cs="Arial"/>
          <w:color w:val="auto"/>
          <w:sz w:val="20"/>
          <w:szCs w:val="22"/>
          <w:lang w:val="es-ES"/>
        </w:rPr>
      </w:pPr>
    </w:p>
    <w:p w:rsidR="00236E18" w:rsidRPr="0098726F" w:rsidRDefault="00236E18" w:rsidP="00236E18">
      <w:pPr>
        <w:pStyle w:val="Body1"/>
        <w:jc w:val="both"/>
        <w:rPr>
          <w:rFonts w:ascii="Arial" w:hAnsi="Arial" w:cs="Arial"/>
          <w:color w:val="auto"/>
          <w:sz w:val="22"/>
          <w:szCs w:val="24"/>
          <w:lang w:val="es-ES"/>
        </w:rPr>
      </w:pPr>
      <w:r w:rsidRPr="0098726F">
        <w:rPr>
          <w:rFonts w:ascii="Arial" w:hAnsi="Arial" w:cs="Arial"/>
          <w:color w:val="auto"/>
          <w:sz w:val="22"/>
          <w:szCs w:val="24"/>
          <w:lang w:val="es-ES"/>
        </w:rPr>
        <w:t>ESTRATEGIAS DE EJECUCIÓN</w:t>
      </w:r>
    </w:p>
    <w:p w:rsidR="00236E18" w:rsidRPr="0098726F" w:rsidRDefault="00236E18" w:rsidP="00236E18">
      <w:pPr>
        <w:pStyle w:val="Body1"/>
        <w:jc w:val="both"/>
        <w:rPr>
          <w:rFonts w:ascii="Arial" w:hAnsi="Arial" w:cs="Arial"/>
          <w:color w:val="auto"/>
          <w:sz w:val="20"/>
          <w:lang w:val="es-ES"/>
        </w:rPr>
      </w:pPr>
    </w:p>
    <w:p w:rsidR="00236E18" w:rsidRPr="0098726F" w:rsidRDefault="00236E18" w:rsidP="00236E18">
      <w:pPr>
        <w:pStyle w:val="Body1"/>
        <w:numPr>
          <w:ilvl w:val="0"/>
          <w:numId w:val="26"/>
        </w:numPr>
        <w:tabs>
          <w:tab w:val="left" w:pos="709"/>
        </w:tabs>
        <w:ind w:left="0" w:firstLine="0"/>
        <w:jc w:val="both"/>
        <w:rPr>
          <w:rFonts w:ascii="Arial" w:hAnsi="Arial" w:cs="Arial"/>
          <w:color w:val="auto"/>
          <w:sz w:val="20"/>
          <w:lang w:val="es-ES"/>
        </w:rPr>
      </w:pPr>
      <w:r w:rsidRPr="0098726F">
        <w:rPr>
          <w:rFonts w:ascii="Arial" w:hAnsi="Arial" w:cs="Arial"/>
          <w:color w:val="auto"/>
          <w:sz w:val="20"/>
          <w:lang w:val="es-ES"/>
        </w:rPr>
        <w:t>En el bienio 2016/17 las estrategias se centrarán en seguir mejorando y desarrollando las clasificaciones internacionales y las normas técnicas de la OMPI haciendo un amplio uso de los foros electrónicos y las conferencias en Internet y de las reuniones de los comités pertinentes.  Se adoptarán medidas para fomentar el conocimiento de las clasificaciones y las normas técnicas entre todos los grupos de usuarios.  A este respecto, se impartirá formación en función de la demanda para facilitar la utilización de las clasificaciones y las normas técnicas, en particular en los países en desarrollo.</w:t>
      </w:r>
    </w:p>
    <w:p w:rsidR="00236E18" w:rsidRPr="0098726F" w:rsidRDefault="00236E18" w:rsidP="00236E18">
      <w:pPr>
        <w:pStyle w:val="Body1"/>
        <w:jc w:val="both"/>
        <w:rPr>
          <w:rFonts w:ascii="Arial" w:hAnsi="Arial" w:cs="Arial"/>
          <w:color w:val="auto"/>
          <w:sz w:val="20"/>
          <w:lang w:val="es-ES"/>
        </w:rPr>
      </w:pPr>
    </w:p>
    <w:p w:rsidR="00236E18" w:rsidRPr="0098726F" w:rsidRDefault="00236E18" w:rsidP="00236E18">
      <w:pPr>
        <w:pStyle w:val="Body1"/>
        <w:jc w:val="both"/>
        <w:rPr>
          <w:rFonts w:ascii="Arial" w:hAnsi="Arial" w:cs="Arial"/>
          <w:color w:val="auto"/>
          <w:sz w:val="20"/>
          <w:u w:val="single"/>
          <w:lang w:val="es-ES"/>
        </w:rPr>
      </w:pPr>
      <w:r w:rsidRPr="0098726F">
        <w:rPr>
          <w:rFonts w:ascii="Arial" w:hAnsi="Arial" w:cs="Arial"/>
          <w:color w:val="auto"/>
          <w:sz w:val="20"/>
          <w:u w:val="single"/>
          <w:lang w:val="es-ES"/>
        </w:rPr>
        <w:t>CIP (Clasificación Internacional de Patentes)</w:t>
      </w:r>
    </w:p>
    <w:p w:rsidR="00236E18" w:rsidRPr="0098726F" w:rsidRDefault="00236E18" w:rsidP="00236E18">
      <w:pPr>
        <w:pStyle w:val="Body1"/>
        <w:jc w:val="both"/>
        <w:rPr>
          <w:rFonts w:ascii="Arial" w:hAnsi="Arial" w:cs="Arial"/>
          <w:color w:val="auto"/>
          <w:sz w:val="20"/>
          <w:lang w:val="es-ES"/>
        </w:rPr>
      </w:pPr>
    </w:p>
    <w:p w:rsidR="00236E18" w:rsidRPr="0098726F" w:rsidRDefault="00236E18" w:rsidP="00236E18">
      <w:pPr>
        <w:pStyle w:val="Body1"/>
        <w:numPr>
          <w:ilvl w:val="0"/>
          <w:numId w:val="26"/>
        </w:numPr>
        <w:tabs>
          <w:tab w:val="left" w:pos="709"/>
        </w:tabs>
        <w:ind w:left="0" w:firstLine="0"/>
        <w:jc w:val="both"/>
        <w:rPr>
          <w:rFonts w:ascii="Arial" w:hAnsi="Arial" w:cs="Arial"/>
          <w:color w:val="auto"/>
          <w:sz w:val="20"/>
          <w:lang w:val="es-ES"/>
        </w:rPr>
      </w:pPr>
      <w:r w:rsidRPr="0098726F">
        <w:rPr>
          <w:rFonts w:ascii="Arial" w:hAnsi="Arial" w:cs="Arial"/>
          <w:color w:val="auto"/>
          <w:sz w:val="20"/>
          <w:lang w:val="es-ES"/>
        </w:rPr>
        <w:t>Se seguirán introduciendo mejoras en la CIP en el marco de la hoja de ruta de la revisión de la CIP, adoptada por el Comité de Expertos de la CIP en 2013.  La hoja de ruta tiene por objeto potenciar la CIP en los ámbitos técnicos en los que se presenta una gran cantidad de solicitudes de patente, y con un índice de crecimiento que va en aumento, en los países emergentes.  Bajo los auspicios del Comité de Expertos, la OMPI supervisará de cerca y facilitará la ejecución del plan y formará a los funcionarios de las Oficinas de P.I. a fin de que haya una participación más amplia en el proceso de revisión de la CIP.  Se impulsará la cooperación internacional en materia de reclasificación de documentos de patente, conforme a la última versión de la CIP, que estará además enteramente administrada por la OMPI.  La OMPI fomentará y facilitará además un uso más amplio del sistema de la CIP mediante la prestación de asistencia en la traducción de la CIP a los idiomas nacionales.</w:t>
      </w:r>
    </w:p>
    <w:p w:rsidR="00236E18" w:rsidRPr="0098726F" w:rsidRDefault="00236E18" w:rsidP="00236E18">
      <w:pPr>
        <w:pStyle w:val="Body1"/>
        <w:jc w:val="both"/>
        <w:rPr>
          <w:rFonts w:ascii="Arial" w:hAnsi="Arial" w:cs="Arial"/>
          <w:color w:val="auto"/>
          <w:sz w:val="20"/>
          <w:lang w:val="es-ES"/>
        </w:rPr>
      </w:pPr>
    </w:p>
    <w:p w:rsidR="00236E18" w:rsidRPr="0098726F" w:rsidRDefault="00236E18" w:rsidP="00236E18">
      <w:pPr>
        <w:pStyle w:val="Body1"/>
        <w:jc w:val="both"/>
        <w:rPr>
          <w:rFonts w:ascii="Arial" w:hAnsi="Arial" w:cs="Arial"/>
          <w:color w:val="auto"/>
          <w:sz w:val="20"/>
          <w:u w:val="single"/>
          <w:lang w:val="es-ES"/>
        </w:rPr>
      </w:pPr>
      <w:r w:rsidRPr="0098726F">
        <w:rPr>
          <w:rFonts w:ascii="Arial" w:hAnsi="Arial" w:cs="Arial"/>
          <w:color w:val="auto"/>
          <w:sz w:val="20"/>
          <w:u w:val="single"/>
          <w:lang w:val="es-ES"/>
        </w:rPr>
        <w:t>Clasificación de Niza (lista de productos y servicios para el registro de marcas)</w:t>
      </w:r>
    </w:p>
    <w:p w:rsidR="00236E18" w:rsidRPr="0098726F" w:rsidRDefault="00236E18" w:rsidP="00236E18">
      <w:pPr>
        <w:pStyle w:val="Body1"/>
        <w:jc w:val="both"/>
        <w:rPr>
          <w:rFonts w:ascii="Arial" w:hAnsi="Arial" w:cs="Arial"/>
          <w:color w:val="auto"/>
          <w:sz w:val="20"/>
          <w:lang w:val="es-ES"/>
        </w:rPr>
      </w:pPr>
    </w:p>
    <w:p w:rsidR="00236E18" w:rsidRPr="0098726F" w:rsidRDefault="00236E18" w:rsidP="00236E18">
      <w:pPr>
        <w:pStyle w:val="Body1"/>
        <w:numPr>
          <w:ilvl w:val="0"/>
          <w:numId w:val="26"/>
        </w:numPr>
        <w:tabs>
          <w:tab w:val="left" w:pos="709"/>
        </w:tabs>
        <w:ind w:left="0" w:firstLine="0"/>
        <w:jc w:val="both"/>
        <w:rPr>
          <w:rFonts w:ascii="Arial" w:hAnsi="Arial" w:cs="Arial"/>
          <w:color w:val="auto"/>
          <w:sz w:val="20"/>
          <w:lang w:val="es-ES"/>
        </w:rPr>
      </w:pPr>
      <w:r w:rsidRPr="0098726F">
        <w:rPr>
          <w:rFonts w:ascii="Arial" w:hAnsi="Arial" w:cs="Arial"/>
          <w:color w:val="auto"/>
          <w:sz w:val="20"/>
          <w:lang w:val="es-ES"/>
        </w:rPr>
        <w:t>Se seguirán introduciendo mejoras en la Clasificación de Niza bajo los auspicios del Comité de Expertos de la Clasificación de Niza.  Se atribuirá particular importancia a asegurar que en la lista de productos y servicios se tengan debidamente en cuenta las particularidades de los mercados emergentes y que en ella se integren con mayor rapidez las nuevas indicaciones que se utilizan asiduamente.   Para ello, deberán supervisarse de cerca las bases de datos nacionales y del Sistema de Madrid y suprimir las indicaciones obsoletas mediante un sistema de gestión de la revisión bien concebido y simplificado.  Se seguirá trabajando en la creación de una plataforma sin fisuras para los productos y servicios de la lista de la Clasificación de Niza y la base de datos del Gestor de Productos y Servicios de Madrid.  La OMPI participará activamente en las iniciativas regionales e internacionales de cooperación relativas a la clasificación de las marcas para facilitar la introducción, en la Clasificación de Niza, de las prácticas ampliamente aceptadas.  Se elaborará material claro y sencillo y se diseñarán cursos interactivos de formación sobre cómo llevar a cabo la clasificación, y se pondrán a disposición de los usuarios en Internet.  Las Oficinas de P.I. participarán más estrechamente en estos procesos.</w:t>
      </w:r>
    </w:p>
    <w:p w:rsidR="00236E18" w:rsidRPr="0098726F" w:rsidRDefault="00236E18" w:rsidP="00236E18">
      <w:pPr>
        <w:pStyle w:val="Body1"/>
        <w:jc w:val="both"/>
        <w:rPr>
          <w:rFonts w:ascii="Arial" w:hAnsi="Arial" w:cs="Arial"/>
          <w:color w:val="auto"/>
          <w:sz w:val="20"/>
          <w:lang w:val="es-ES"/>
        </w:rPr>
      </w:pPr>
    </w:p>
    <w:p w:rsidR="00236E18" w:rsidRPr="0098726F" w:rsidRDefault="00236E18" w:rsidP="00236E18">
      <w:pPr>
        <w:pStyle w:val="Body1"/>
        <w:keepNext/>
        <w:keepLines/>
        <w:jc w:val="both"/>
        <w:rPr>
          <w:rFonts w:ascii="Arial" w:hAnsi="Arial" w:cs="Arial"/>
          <w:color w:val="auto"/>
          <w:sz w:val="20"/>
          <w:u w:val="single"/>
          <w:lang w:val="es-ES"/>
        </w:rPr>
      </w:pPr>
      <w:r w:rsidRPr="0098726F">
        <w:rPr>
          <w:rFonts w:ascii="Arial" w:hAnsi="Arial" w:cs="Arial"/>
          <w:color w:val="auto"/>
          <w:sz w:val="20"/>
          <w:u w:val="single"/>
          <w:lang w:val="es-ES"/>
        </w:rPr>
        <w:lastRenderedPageBreak/>
        <w:t xml:space="preserve">Clasificación de Viena (elementos figurativos de las marcas) y Clasificación de </w:t>
      </w:r>
      <w:proofErr w:type="spellStart"/>
      <w:r w:rsidRPr="0098726F">
        <w:rPr>
          <w:rFonts w:ascii="Arial" w:hAnsi="Arial" w:cs="Arial"/>
          <w:color w:val="auto"/>
          <w:sz w:val="20"/>
          <w:u w:val="single"/>
          <w:lang w:val="es-ES"/>
        </w:rPr>
        <w:t>Locarno</w:t>
      </w:r>
      <w:proofErr w:type="spellEnd"/>
      <w:r w:rsidRPr="0098726F">
        <w:rPr>
          <w:rFonts w:ascii="Arial" w:hAnsi="Arial" w:cs="Arial"/>
          <w:color w:val="auto"/>
          <w:sz w:val="20"/>
          <w:u w:val="single"/>
          <w:lang w:val="es-ES"/>
        </w:rPr>
        <w:t xml:space="preserve"> (dibujos y modelos industriales)</w:t>
      </w:r>
    </w:p>
    <w:p w:rsidR="00236E18" w:rsidRPr="0098726F" w:rsidRDefault="00236E18" w:rsidP="00236E18">
      <w:pPr>
        <w:pStyle w:val="Body1"/>
        <w:keepNext/>
        <w:keepLines/>
        <w:jc w:val="both"/>
        <w:rPr>
          <w:rFonts w:ascii="Arial" w:hAnsi="Arial" w:cs="Arial"/>
          <w:color w:val="auto"/>
          <w:sz w:val="20"/>
          <w:u w:val="single"/>
          <w:lang w:val="es-ES"/>
        </w:rPr>
      </w:pPr>
    </w:p>
    <w:p w:rsidR="00236E18" w:rsidRPr="0098726F" w:rsidRDefault="00236E18" w:rsidP="00236E18">
      <w:pPr>
        <w:pStyle w:val="Body1"/>
        <w:keepNext/>
        <w:keepLines/>
        <w:numPr>
          <w:ilvl w:val="0"/>
          <w:numId w:val="26"/>
        </w:numPr>
        <w:tabs>
          <w:tab w:val="left" w:pos="709"/>
        </w:tabs>
        <w:ind w:left="0" w:firstLine="0"/>
        <w:jc w:val="both"/>
        <w:rPr>
          <w:rFonts w:ascii="Arial" w:hAnsi="Arial" w:cs="Arial"/>
          <w:color w:val="auto"/>
          <w:sz w:val="20"/>
          <w:lang w:val="es-ES"/>
        </w:rPr>
      </w:pPr>
      <w:r w:rsidRPr="0098726F">
        <w:rPr>
          <w:rFonts w:ascii="Arial" w:hAnsi="Arial" w:cs="Arial"/>
          <w:color w:val="auto"/>
          <w:sz w:val="20"/>
          <w:lang w:val="es-ES"/>
        </w:rPr>
        <w:t xml:space="preserve">Se finalizarán las nuevas plataformas de publicación para las Clasificaciones de Viena y de </w:t>
      </w:r>
      <w:proofErr w:type="spellStart"/>
      <w:r w:rsidRPr="0098726F">
        <w:rPr>
          <w:rFonts w:ascii="Arial" w:hAnsi="Arial" w:cs="Arial"/>
          <w:color w:val="auto"/>
          <w:sz w:val="20"/>
          <w:lang w:val="es-ES"/>
        </w:rPr>
        <w:t>Locarno</w:t>
      </w:r>
      <w:proofErr w:type="spellEnd"/>
      <w:r w:rsidRPr="0098726F">
        <w:rPr>
          <w:rFonts w:ascii="Arial" w:hAnsi="Arial" w:cs="Arial"/>
          <w:color w:val="auto"/>
          <w:sz w:val="20"/>
          <w:lang w:val="es-ES"/>
        </w:rPr>
        <w:t xml:space="preserve">, siguiendo el ejemplo de la Clasificación de Niza.  Las Oficinas de P.I. participarán más estrechamente en las labores de revisión de las Clasificaciones de Viena y de </w:t>
      </w:r>
      <w:proofErr w:type="spellStart"/>
      <w:r w:rsidRPr="0098726F">
        <w:rPr>
          <w:rFonts w:ascii="Arial" w:hAnsi="Arial" w:cs="Arial"/>
          <w:color w:val="auto"/>
          <w:sz w:val="20"/>
          <w:lang w:val="es-ES"/>
        </w:rPr>
        <w:t>Locarno</w:t>
      </w:r>
      <w:proofErr w:type="spellEnd"/>
      <w:r w:rsidRPr="0098726F">
        <w:rPr>
          <w:rFonts w:ascii="Arial" w:hAnsi="Arial" w:cs="Arial"/>
          <w:color w:val="auto"/>
          <w:sz w:val="20"/>
          <w:lang w:val="es-ES"/>
        </w:rPr>
        <w:t xml:space="preserve">.  Tras la decisión del Comité de Expertos de la Clasificación de </w:t>
      </w:r>
      <w:proofErr w:type="spellStart"/>
      <w:r w:rsidRPr="0098726F">
        <w:rPr>
          <w:rFonts w:ascii="Arial" w:hAnsi="Arial" w:cs="Arial"/>
          <w:color w:val="auto"/>
          <w:sz w:val="20"/>
          <w:lang w:val="es-ES"/>
        </w:rPr>
        <w:t>Locarno</w:t>
      </w:r>
      <w:proofErr w:type="spellEnd"/>
      <w:r w:rsidRPr="0098726F">
        <w:rPr>
          <w:rFonts w:ascii="Arial" w:hAnsi="Arial" w:cs="Arial"/>
          <w:color w:val="auto"/>
          <w:sz w:val="20"/>
          <w:lang w:val="es-ES"/>
        </w:rPr>
        <w:t xml:space="preserve">, en el otoño de 2015, las subclases de la Clasificación de </w:t>
      </w:r>
      <w:proofErr w:type="spellStart"/>
      <w:r w:rsidRPr="0098726F">
        <w:rPr>
          <w:rFonts w:ascii="Arial" w:hAnsi="Arial" w:cs="Arial"/>
          <w:color w:val="auto"/>
          <w:sz w:val="20"/>
          <w:lang w:val="es-ES"/>
        </w:rPr>
        <w:t>Locarno</w:t>
      </w:r>
      <w:proofErr w:type="spellEnd"/>
      <w:r w:rsidRPr="0098726F">
        <w:rPr>
          <w:rFonts w:ascii="Arial" w:hAnsi="Arial" w:cs="Arial"/>
          <w:color w:val="auto"/>
          <w:sz w:val="20"/>
          <w:lang w:val="es-ES"/>
        </w:rPr>
        <w:t xml:space="preserve"> se seguirán subdividiendo para que las búsquedas en las bases de datos de dibujos y modelos industriales sean más eficientes.   Se elaborará material claro y sencillo y se diseñarán cursos interactivos de formación sobre cómo llevar a cabo la clasificación, y se pondrán a disposición de los usuarios en Internet.</w:t>
      </w:r>
    </w:p>
    <w:p w:rsidR="00236E18" w:rsidRPr="0098726F" w:rsidRDefault="00236E18" w:rsidP="00236E18">
      <w:pPr>
        <w:pStyle w:val="Body1"/>
        <w:jc w:val="both"/>
        <w:rPr>
          <w:rFonts w:ascii="Arial" w:hAnsi="Arial" w:cs="Arial"/>
          <w:color w:val="auto"/>
          <w:sz w:val="20"/>
          <w:lang w:val="es-ES"/>
        </w:rPr>
      </w:pPr>
    </w:p>
    <w:p w:rsidR="00236E18" w:rsidRPr="0098726F" w:rsidRDefault="00236E18" w:rsidP="00236E18">
      <w:pPr>
        <w:pStyle w:val="Body1"/>
        <w:jc w:val="both"/>
        <w:rPr>
          <w:rFonts w:ascii="Arial" w:hAnsi="Arial" w:cs="Arial"/>
          <w:color w:val="auto"/>
          <w:sz w:val="20"/>
          <w:u w:val="single"/>
          <w:lang w:val="es-ES"/>
        </w:rPr>
      </w:pPr>
      <w:r w:rsidRPr="0098726F">
        <w:rPr>
          <w:rFonts w:ascii="Arial" w:hAnsi="Arial" w:cs="Arial"/>
          <w:color w:val="auto"/>
          <w:sz w:val="20"/>
          <w:u w:val="single"/>
          <w:lang w:val="es-ES"/>
        </w:rPr>
        <w:t>Normas técnicas de la OMPI</w:t>
      </w:r>
    </w:p>
    <w:p w:rsidR="00236E18" w:rsidRPr="0098726F" w:rsidRDefault="00236E18" w:rsidP="00236E18">
      <w:pPr>
        <w:pStyle w:val="Body1"/>
        <w:jc w:val="both"/>
        <w:rPr>
          <w:rFonts w:ascii="Arial" w:hAnsi="Arial" w:cs="Arial"/>
          <w:color w:val="auto"/>
          <w:sz w:val="20"/>
          <w:lang w:val="es-ES"/>
        </w:rPr>
      </w:pPr>
    </w:p>
    <w:p w:rsidR="00236E18" w:rsidRPr="0098726F" w:rsidRDefault="00236E18" w:rsidP="00236E18">
      <w:pPr>
        <w:pStyle w:val="Body1"/>
        <w:numPr>
          <w:ilvl w:val="0"/>
          <w:numId w:val="26"/>
        </w:numPr>
        <w:tabs>
          <w:tab w:val="left" w:pos="709"/>
        </w:tabs>
        <w:ind w:left="0" w:firstLine="0"/>
        <w:jc w:val="both"/>
        <w:rPr>
          <w:rFonts w:ascii="Arial" w:hAnsi="Arial" w:cs="Arial"/>
          <w:color w:val="auto"/>
          <w:sz w:val="20"/>
          <w:lang w:val="es-ES"/>
        </w:rPr>
      </w:pPr>
      <w:r w:rsidRPr="0098726F">
        <w:rPr>
          <w:rFonts w:ascii="Arial" w:hAnsi="Arial" w:cs="Arial"/>
          <w:color w:val="auto"/>
          <w:sz w:val="20"/>
          <w:lang w:val="es-ES"/>
        </w:rPr>
        <w:t xml:space="preserve">Las normas técnicas de la OMPI proporcionan una base para tramitar, transmitir, intercambiar, difundir y compartir información y documentos de P.I.  Al elaborar nuevas normas técnicas de la OMPI, o al revisar las existentes, la OMPI se coordinará con las Oficinas de P.I. de manera más flexible y eficiente a fin de satisfacer más adecuadamente las necesidades y las solicitudes de los usuarios.  Se fomentará además la utilización de medios electrónicos para la revisión y aprobación de las normas técnicas.  Entre las tareas de revisión de las actuales normas técnicas figurará la actualización de las normas sobre XML (a fin de disponer de un formato digital de datos estructurado más adecuadamente) y la elaboración de las herramientas pertinentes para facilitar su uso, mientras que en la elaboración de nuevas normas técnicas se tendrá en cuenta la difusión y el intercambio de información sobre la situación jurídica de las patentes y datos sobre nuevos tipos de marcas.  La OMPI seguirá colaborando con las Oficinas de P.I. para publicar información actualizada sobre las prácticas de dichas Oficinas en relación con las normas técnicas de la OMPI, y ayudará a las Oficinas en la aplicación de las mismas.  Se facilitará el acceso a las normas técnicas de la OMPI, así como a los estudios conexos, en las bases de datos de P.I. </w:t>
      </w:r>
    </w:p>
    <w:p w:rsidR="00236E18" w:rsidRPr="0098726F" w:rsidRDefault="00236E18" w:rsidP="00236E18">
      <w:pPr>
        <w:pStyle w:val="Body1"/>
        <w:jc w:val="both"/>
        <w:rPr>
          <w:rFonts w:ascii="Arial" w:hAnsi="Arial" w:cs="Arial"/>
          <w:color w:val="auto"/>
          <w:sz w:val="20"/>
          <w:lang w:val="es-ES"/>
        </w:rPr>
      </w:pPr>
    </w:p>
    <w:p w:rsidR="00236E18" w:rsidRPr="0098726F" w:rsidRDefault="00236E18" w:rsidP="00236E18">
      <w:pPr>
        <w:pStyle w:val="Body1"/>
        <w:jc w:val="both"/>
        <w:rPr>
          <w:rFonts w:ascii="Arial" w:hAnsi="Arial" w:cs="Arial"/>
          <w:color w:val="auto"/>
          <w:sz w:val="20"/>
          <w:u w:val="single"/>
          <w:lang w:val="es-ES"/>
        </w:rPr>
      </w:pPr>
      <w:r w:rsidRPr="0098726F">
        <w:rPr>
          <w:rFonts w:ascii="Arial" w:hAnsi="Arial" w:cs="Arial"/>
          <w:color w:val="auto"/>
          <w:sz w:val="20"/>
          <w:u w:val="single"/>
          <w:lang w:val="es-ES"/>
        </w:rPr>
        <w:t>Sistemas de TIC para las clasificaciones internacionales y las normas técnicas</w:t>
      </w:r>
    </w:p>
    <w:p w:rsidR="00236E18" w:rsidRPr="0098726F" w:rsidRDefault="00236E18" w:rsidP="00236E18">
      <w:pPr>
        <w:pStyle w:val="Body1"/>
        <w:jc w:val="both"/>
        <w:rPr>
          <w:rFonts w:ascii="Arial" w:hAnsi="Arial" w:cs="Arial"/>
          <w:color w:val="auto"/>
          <w:sz w:val="20"/>
          <w:lang w:val="es-ES"/>
        </w:rPr>
      </w:pPr>
    </w:p>
    <w:p w:rsidR="00236E18" w:rsidRDefault="00236E18" w:rsidP="00236E18">
      <w:pPr>
        <w:pStyle w:val="Body1"/>
        <w:numPr>
          <w:ilvl w:val="0"/>
          <w:numId w:val="26"/>
        </w:numPr>
        <w:tabs>
          <w:tab w:val="left" w:pos="709"/>
        </w:tabs>
        <w:ind w:left="0" w:firstLine="0"/>
        <w:jc w:val="both"/>
        <w:rPr>
          <w:rFonts w:ascii="Arial" w:hAnsi="Arial" w:cs="Arial"/>
          <w:color w:val="auto"/>
          <w:sz w:val="20"/>
          <w:lang w:val="es-ES"/>
        </w:rPr>
      </w:pPr>
      <w:r w:rsidRPr="0098726F">
        <w:rPr>
          <w:rFonts w:ascii="Arial" w:hAnsi="Arial" w:cs="Arial"/>
          <w:color w:val="auto"/>
          <w:sz w:val="20"/>
          <w:lang w:val="es-ES"/>
        </w:rPr>
        <w:t xml:space="preserve">Se renovarán y consolidarán los sistemas de TIC que sirven para administrar las clasificaciones internacionales y normas técnicas.  Se elaborarán nuevas herramientas para incrementar la eficacia de la cooperación internacional en la reclasificación de los documentos de patente.  Se crearán sistemas de gestión de la revisión con respecto a las Clasificaciones de Niza, Viena y </w:t>
      </w:r>
      <w:proofErr w:type="spellStart"/>
      <w:r w:rsidRPr="0098726F">
        <w:rPr>
          <w:rFonts w:ascii="Arial" w:hAnsi="Arial" w:cs="Arial"/>
          <w:color w:val="auto"/>
          <w:sz w:val="20"/>
          <w:lang w:val="es-ES"/>
        </w:rPr>
        <w:t>Locarno</w:t>
      </w:r>
      <w:proofErr w:type="spellEnd"/>
      <w:r w:rsidRPr="0098726F">
        <w:rPr>
          <w:rFonts w:ascii="Arial" w:hAnsi="Arial" w:cs="Arial"/>
          <w:color w:val="auto"/>
          <w:sz w:val="20"/>
          <w:lang w:val="es-ES"/>
        </w:rPr>
        <w:t xml:space="preserve"> a fin de facilitar el control, por parte de la OMPI, de los datos respectivos;  permitir un intercambio más eficiente con las Oficinas de P.I. durante el proceso de revisión, y fomentar el ahorro de tiempo y dinero en la publicación regular de las clasificaciones.  Se examinará la publicación de las normas técnicas y de los estudios para facilitar su integración en las bases de datos de información sobre P.I.</w:t>
      </w:r>
    </w:p>
    <w:p w:rsidR="00236E18" w:rsidRDefault="00236E18" w:rsidP="00236E18">
      <w:pPr>
        <w:pStyle w:val="Body1"/>
        <w:tabs>
          <w:tab w:val="left" w:pos="709"/>
        </w:tabs>
        <w:jc w:val="both"/>
        <w:rPr>
          <w:rFonts w:ascii="Arial" w:hAnsi="Arial" w:cs="Arial"/>
          <w:color w:val="auto"/>
          <w:sz w:val="20"/>
          <w:lang w:val="es-ES"/>
        </w:rPr>
      </w:pPr>
    </w:p>
    <w:p w:rsidR="00236E18" w:rsidRPr="00E22F01" w:rsidRDefault="00236E18" w:rsidP="00236E18">
      <w:pPr>
        <w:pStyle w:val="Body1"/>
        <w:numPr>
          <w:ilvl w:val="0"/>
          <w:numId w:val="26"/>
        </w:numPr>
        <w:tabs>
          <w:tab w:val="left" w:pos="709"/>
        </w:tabs>
        <w:ind w:left="0" w:firstLine="0"/>
        <w:jc w:val="both"/>
        <w:rPr>
          <w:rFonts w:ascii="Arial" w:hAnsi="Arial" w:cs="Arial"/>
          <w:color w:val="auto"/>
          <w:sz w:val="20"/>
          <w:lang w:val="es-ES"/>
        </w:rPr>
      </w:pPr>
      <w:r>
        <w:rPr>
          <w:rFonts w:ascii="Arial" w:hAnsi="Arial" w:cs="Arial"/>
          <w:sz w:val="20"/>
          <w:lang w:val="es-ES"/>
        </w:rPr>
        <w:t>El p</w:t>
      </w:r>
      <w:r w:rsidRPr="00E22F01">
        <w:rPr>
          <w:rFonts w:ascii="Arial" w:hAnsi="Arial" w:cs="Arial"/>
          <w:sz w:val="20"/>
          <w:lang w:val="es-ES"/>
        </w:rPr>
        <w:t>rogram</w:t>
      </w:r>
      <w:r>
        <w:rPr>
          <w:rFonts w:ascii="Arial" w:hAnsi="Arial" w:cs="Arial"/>
          <w:sz w:val="20"/>
          <w:lang w:val="es-ES"/>
        </w:rPr>
        <w:t>a</w:t>
      </w:r>
      <w:r w:rsidRPr="00E22F01">
        <w:rPr>
          <w:rFonts w:ascii="Arial" w:hAnsi="Arial" w:cs="Arial"/>
          <w:sz w:val="20"/>
          <w:lang w:val="es-ES"/>
        </w:rPr>
        <w:t xml:space="preserve"> 12 colabora</w:t>
      </w:r>
      <w:r>
        <w:rPr>
          <w:rFonts w:ascii="Arial" w:hAnsi="Arial" w:cs="Arial"/>
          <w:sz w:val="20"/>
          <w:lang w:val="es-ES"/>
        </w:rPr>
        <w:t xml:space="preserve"> principalmente con los programas siguientes</w:t>
      </w:r>
      <w:r w:rsidRPr="00E22F01">
        <w:rPr>
          <w:rFonts w:ascii="Arial" w:hAnsi="Arial" w:cs="Arial"/>
          <w:sz w:val="20"/>
          <w:lang w:val="es-ES"/>
        </w:rPr>
        <w:t>:</w:t>
      </w:r>
    </w:p>
    <w:p w:rsidR="00236E18" w:rsidRPr="006A3CA4" w:rsidRDefault="00236E18" w:rsidP="00236E18">
      <w:pPr>
        <w:pStyle w:val="Body1"/>
        <w:jc w:val="both"/>
        <w:rPr>
          <w:rFonts w:ascii="Arial" w:hAnsi="Arial" w:cs="Arial"/>
          <w:color w:val="auto"/>
          <w:sz w:val="22"/>
          <w:szCs w:val="22"/>
          <w:lang w:val="es-ES_tradnl"/>
        </w:rPr>
      </w:pPr>
    </w:p>
    <w:p w:rsidR="00236E18" w:rsidRPr="006A3CA4" w:rsidRDefault="00236E18" w:rsidP="00236E18">
      <w:pPr>
        <w:pStyle w:val="Body1"/>
        <w:jc w:val="both"/>
        <w:rPr>
          <w:rFonts w:ascii="Arial" w:hAnsi="Arial" w:cs="Arial"/>
          <w:color w:val="auto"/>
          <w:sz w:val="22"/>
          <w:szCs w:val="22"/>
          <w:lang w:val="es-ES_tradnl"/>
        </w:rPr>
      </w:pPr>
    </w:p>
    <w:p w:rsidR="00236E18" w:rsidRDefault="00236E18" w:rsidP="00236E18">
      <w:r w:rsidRPr="000229D9">
        <w:rPr>
          <w:noProof/>
          <w:lang w:val="en-US" w:eastAsia="en-US"/>
        </w:rPr>
        <w:drawing>
          <wp:inline distT="0" distB="0" distL="0" distR="0" wp14:anchorId="4A9FAB90" wp14:editId="6A85A08E">
            <wp:extent cx="5759533" cy="1769424"/>
            <wp:effectExtent l="57150" t="0" r="50800" b="78740"/>
            <wp:docPr id="25" name="Diagram 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7" r:lo="rId128" r:qs="rId129" r:cs="rId130"/>
              </a:graphicData>
            </a:graphic>
          </wp:inline>
        </w:drawing>
      </w:r>
    </w:p>
    <w:p w:rsidR="00236E18" w:rsidRPr="0098726F" w:rsidRDefault="00236E18" w:rsidP="00236E18">
      <w:r w:rsidRPr="0098726F">
        <w:br w:type="page"/>
      </w:r>
    </w:p>
    <w:p w:rsidR="00236E18" w:rsidRPr="004B371E" w:rsidRDefault="00236E18" w:rsidP="00236E18">
      <w:pPr>
        <w:pStyle w:val="Body1"/>
        <w:widowControl w:val="0"/>
        <w:rPr>
          <w:rFonts w:ascii="Arial" w:hAnsi="Arial" w:cs="Arial"/>
          <w:color w:val="auto"/>
          <w:sz w:val="22"/>
          <w:lang w:val="es-ES"/>
        </w:rPr>
      </w:pPr>
      <w:r w:rsidRPr="004B371E">
        <w:rPr>
          <w:rFonts w:ascii="Arial" w:hAnsi="Arial" w:cs="Arial"/>
          <w:color w:val="auto"/>
          <w:sz w:val="22"/>
          <w:lang w:val="es-ES"/>
        </w:rPr>
        <w:lastRenderedPageBreak/>
        <w:t>PRINCIPALES RIESGOS Y ESTRATEGIAS DE MITIGACIÓN</w:t>
      </w:r>
    </w:p>
    <w:p w:rsidR="00236E18" w:rsidRPr="0098726F" w:rsidRDefault="00236E18" w:rsidP="00236E18">
      <w:pPr>
        <w:rPr>
          <w:szCs w:val="22"/>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961"/>
      </w:tblGrid>
      <w:tr w:rsidR="00236E18" w:rsidRPr="0098726F" w:rsidTr="00294272">
        <w:trPr>
          <w:trHeight w:val="558"/>
        </w:trPr>
        <w:tc>
          <w:tcPr>
            <w:tcW w:w="4253" w:type="dxa"/>
            <w:tcBorders>
              <w:top w:val="single" w:sz="4" w:space="0" w:color="auto"/>
              <w:bottom w:val="single" w:sz="4" w:space="0" w:color="auto"/>
            </w:tcBorders>
            <w:shd w:val="clear" w:color="auto" w:fill="C6D9F1" w:themeFill="text2" w:themeFillTint="33"/>
            <w:vAlign w:val="center"/>
          </w:tcPr>
          <w:p w:rsidR="00236E18" w:rsidRPr="0098726F" w:rsidRDefault="00236E18" w:rsidP="00294272">
            <w:pPr>
              <w:jc w:val="center"/>
              <w:rPr>
                <w:b/>
                <w:bCs/>
                <w:sz w:val="18"/>
                <w:szCs w:val="18"/>
              </w:rPr>
            </w:pPr>
            <w:r w:rsidRPr="0098726F">
              <w:rPr>
                <w:b/>
                <w:bCs/>
                <w:sz w:val="18"/>
                <w:szCs w:val="18"/>
              </w:rPr>
              <w:t>Riesgo</w:t>
            </w:r>
          </w:p>
        </w:tc>
        <w:tc>
          <w:tcPr>
            <w:tcW w:w="4961" w:type="dxa"/>
            <w:tcBorders>
              <w:top w:val="single" w:sz="4" w:space="0" w:color="auto"/>
              <w:bottom w:val="single" w:sz="4" w:space="0" w:color="auto"/>
            </w:tcBorders>
            <w:shd w:val="clear" w:color="auto" w:fill="C6D9F1" w:themeFill="text2" w:themeFillTint="33"/>
            <w:vAlign w:val="center"/>
          </w:tcPr>
          <w:p w:rsidR="00236E18" w:rsidRPr="0098726F" w:rsidRDefault="00236E18" w:rsidP="00294272">
            <w:pPr>
              <w:jc w:val="center"/>
              <w:rPr>
                <w:b/>
                <w:bCs/>
                <w:sz w:val="18"/>
                <w:szCs w:val="18"/>
              </w:rPr>
            </w:pPr>
            <w:r w:rsidRPr="0098726F">
              <w:rPr>
                <w:b/>
                <w:bCs/>
                <w:sz w:val="18"/>
                <w:szCs w:val="18"/>
              </w:rPr>
              <w:t>Mitigación</w:t>
            </w:r>
          </w:p>
        </w:tc>
      </w:tr>
      <w:tr w:rsidR="00236E18" w:rsidRPr="00261379" w:rsidTr="00294272">
        <w:trPr>
          <w:trHeight w:val="145"/>
        </w:trPr>
        <w:tc>
          <w:tcPr>
            <w:tcW w:w="4253" w:type="dxa"/>
            <w:tcBorders>
              <w:top w:val="single" w:sz="4" w:space="0" w:color="auto"/>
              <w:left w:val="single" w:sz="4" w:space="0" w:color="auto"/>
              <w:bottom w:val="nil"/>
              <w:right w:val="nil"/>
            </w:tcBorders>
            <w:shd w:val="clear" w:color="auto" w:fill="auto"/>
            <w:tcMar>
              <w:top w:w="113" w:type="dxa"/>
              <w:bottom w:w="113" w:type="dxa"/>
            </w:tcMar>
          </w:tcPr>
          <w:p w:rsidR="00236E18" w:rsidRPr="0098726F" w:rsidRDefault="00236E18" w:rsidP="00294272">
            <w:pPr>
              <w:rPr>
                <w:sz w:val="16"/>
                <w:szCs w:val="16"/>
              </w:rPr>
            </w:pPr>
            <w:r w:rsidRPr="0098726F">
              <w:rPr>
                <w:sz w:val="16"/>
              </w:rPr>
              <w:t>Las diferencias de opinión entre los grupos de países traen aparejada una limitación del desarrollo técnico de las normas y las clasificaciones.</w:t>
            </w:r>
          </w:p>
        </w:tc>
        <w:tc>
          <w:tcPr>
            <w:tcW w:w="4961" w:type="dxa"/>
            <w:tcBorders>
              <w:top w:val="single" w:sz="4" w:space="0" w:color="auto"/>
              <w:left w:val="nil"/>
              <w:bottom w:val="nil"/>
              <w:right w:val="single" w:sz="4" w:space="0" w:color="auto"/>
            </w:tcBorders>
            <w:shd w:val="clear" w:color="auto" w:fill="auto"/>
            <w:tcMar>
              <w:top w:w="113" w:type="dxa"/>
              <w:bottom w:w="113" w:type="dxa"/>
            </w:tcMar>
          </w:tcPr>
          <w:p w:rsidR="00236E18" w:rsidRPr="0098726F" w:rsidRDefault="00236E18" w:rsidP="00294272">
            <w:pPr>
              <w:rPr>
                <w:sz w:val="16"/>
                <w:szCs w:val="16"/>
              </w:rPr>
            </w:pPr>
            <w:r w:rsidRPr="0098726F">
              <w:rPr>
                <w:sz w:val="16"/>
              </w:rPr>
              <w:t xml:space="preserve">Examen y solución de las cuestiones al margen de los comités. Intensificar los debates técnicos en el seno de estos.   Supervisión de la aplicación de los planes a largo plazo.  </w:t>
            </w:r>
          </w:p>
        </w:tc>
      </w:tr>
      <w:tr w:rsidR="00236E18" w:rsidRPr="00261379" w:rsidTr="00294272">
        <w:trPr>
          <w:trHeight w:val="145"/>
        </w:trPr>
        <w:tc>
          <w:tcPr>
            <w:tcW w:w="4253" w:type="dxa"/>
            <w:tcBorders>
              <w:top w:val="nil"/>
              <w:left w:val="single" w:sz="4" w:space="0" w:color="auto"/>
              <w:bottom w:val="single" w:sz="4" w:space="0" w:color="auto"/>
              <w:right w:val="nil"/>
            </w:tcBorders>
            <w:shd w:val="clear" w:color="auto" w:fill="auto"/>
            <w:tcMar>
              <w:top w:w="113" w:type="dxa"/>
              <w:bottom w:w="113" w:type="dxa"/>
            </w:tcMar>
          </w:tcPr>
          <w:p w:rsidR="00236E18" w:rsidRPr="0098726F" w:rsidRDefault="00236E18" w:rsidP="00294272">
            <w:pPr>
              <w:rPr>
                <w:sz w:val="16"/>
                <w:szCs w:val="16"/>
              </w:rPr>
            </w:pPr>
          </w:p>
        </w:tc>
        <w:tc>
          <w:tcPr>
            <w:tcW w:w="4961" w:type="dxa"/>
            <w:tcBorders>
              <w:top w:val="nil"/>
              <w:left w:val="nil"/>
              <w:bottom w:val="single" w:sz="4" w:space="0" w:color="auto"/>
              <w:right w:val="single" w:sz="4" w:space="0" w:color="auto"/>
            </w:tcBorders>
            <w:shd w:val="clear" w:color="auto" w:fill="auto"/>
            <w:tcMar>
              <w:top w:w="113" w:type="dxa"/>
              <w:bottom w:w="113" w:type="dxa"/>
            </w:tcMar>
          </w:tcPr>
          <w:p w:rsidR="00236E18" w:rsidRPr="0098726F" w:rsidRDefault="00236E18" w:rsidP="00294272">
            <w:pPr>
              <w:rPr>
                <w:sz w:val="16"/>
                <w:szCs w:val="16"/>
              </w:rPr>
            </w:pPr>
            <w:r w:rsidRPr="0098726F">
              <w:rPr>
                <w:sz w:val="16"/>
              </w:rPr>
              <w:t xml:space="preserve">Llevar a cabo misiones de formación en los países en desarrollo, en particular en el plano regional, para aumentar el conocimiento acerca de las clasificaciones y las normas técnicas.  Tener en cuenta las necesidades regionales en la elaboración de las clasificaciones y las normas técnicas. </w:t>
            </w:r>
          </w:p>
        </w:tc>
      </w:tr>
    </w:tbl>
    <w:p w:rsidR="00236E18" w:rsidRPr="0098726F" w:rsidRDefault="00236E18" w:rsidP="00236E18">
      <w:pPr>
        <w:widowControl w:val="0"/>
        <w:rPr>
          <w:sz w:val="20"/>
          <w:szCs w:val="22"/>
        </w:rPr>
      </w:pPr>
    </w:p>
    <w:p w:rsidR="00236E18" w:rsidRPr="0098726F" w:rsidRDefault="00236E18" w:rsidP="00236E18">
      <w:pPr>
        <w:pStyle w:val="Body1"/>
        <w:widowControl w:val="0"/>
        <w:rPr>
          <w:rFonts w:ascii="Arial" w:hAnsi="Arial" w:cs="Arial"/>
          <w:color w:val="auto"/>
          <w:sz w:val="20"/>
          <w:szCs w:val="22"/>
          <w:lang w:val="es-ES"/>
        </w:rPr>
      </w:pPr>
    </w:p>
    <w:p w:rsidR="00236E18" w:rsidRPr="0098726F" w:rsidRDefault="00236E18" w:rsidP="00236E18">
      <w:pPr>
        <w:pStyle w:val="Body1"/>
        <w:widowControl w:val="0"/>
        <w:rPr>
          <w:rFonts w:ascii="Arial" w:hAnsi="Arial" w:cs="Arial"/>
          <w:color w:val="auto"/>
          <w:sz w:val="22"/>
          <w:lang w:val="es-ES"/>
        </w:rPr>
      </w:pPr>
      <w:r w:rsidRPr="0098726F">
        <w:rPr>
          <w:rFonts w:ascii="Arial" w:hAnsi="Arial" w:cs="Arial"/>
          <w:color w:val="auto"/>
          <w:sz w:val="22"/>
          <w:lang w:val="es-ES"/>
        </w:rPr>
        <w:t>MARCO DE RESULTADOS</w:t>
      </w:r>
    </w:p>
    <w:p w:rsidR="00236E18" w:rsidRPr="0098726F" w:rsidRDefault="00236E18" w:rsidP="00236E18">
      <w:pPr>
        <w:pStyle w:val="Body1"/>
        <w:widowControl w:val="0"/>
        <w:rPr>
          <w:rFonts w:ascii="Arial" w:hAnsi="Arial" w:cs="Arial"/>
          <w:color w:val="auto"/>
          <w:sz w:val="20"/>
          <w:lang w:val="es-ES"/>
        </w:rPr>
      </w:pPr>
    </w:p>
    <w:tbl>
      <w:tblPr>
        <w:tblW w:w="9280" w:type="dxa"/>
        <w:tblInd w:w="93" w:type="dxa"/>
        <w:tblLook w:val="04A0" w:firstRow="1" w:lastRow="0" w:firstColumn="1" w:lastColumn="0" w:noHBand="0" w:noVBand="1"/>
      </w:tblPr>
      <w:tblGrid>
        <w:gridCol w:w="2200"/>
        <w:gridCol w:w="2640"/>
        <w:gridCol w:w="2300"/>
        <w:gridCol w:w="2140"/>
      </w:tblGrid>
      <w:tr w:rsidR="00236E18" w:rsidRPr="0098726F" w:rsidTr="00294272">
        <w:trPr>
          <w:trHeight w:val="630"/>
        </w:trPr>
        <w:tc>
          <w:tcPr>
            <w:tcW w:w="2200"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rsidR="00236E18" w:rsidRPr="0098726F" w:rsidRDefault="00236E18" w:rsidP="00294272">
            <w:pPr>
              <w:widowControl w:val="0"/>
              <w:rPr>
                <w:b/>
                <w:bCs/>
                <w:sz w:val="18"/>
                <w:szCs w:val="18"/>
              </w:rPr>
            </w:pPr>
            <w:r w:rsidRPr="0098726F">
              <w:rPr>
                <w:b/>
                <w:bCs/>
                <w:sz w:val="18"/>
                <w:szCs w:val="18"/>
              </w:rPr>
              <w:t xml:space="preserve">Resultados previstos </w:t>
            </w:r>
          </w:p>
        </w:tc>
        <w:tc>
          <w:tcPr>
            <w:tcW w:w="2640" w:type="dxa"/>
            <w:tcBorders>
              <w:top w:val="single" w:sz="4" w:space="0" w:color="auto"/>
              <w:left w:val="nil"/>
              <w:bottom w:val="single" w:sz="4" w:space="0" w:color="auto"/>
              <w:right w:val="nil"/>
            </w:tcBorders>
            <w:shd w:val="clear" w:color="auto" w:fill="C6D9F1" w:themeFill="text2" w:themeFillTint="33"/>
            <w:vAlign w:val="center"/>
            <w:hideMark/>
          </w:tcPr>
          <w:p w:rsidR="00236E18" w:rsidRPr="0098726F" w:rsidRDefault="00236E18" w:rsidP="00294272">
            <w:pPr>
              <w:keepNext/>
              <w:keepLines/>
              <w:jc w:val="center"/>
              <w:rPr>
                <w:b/>
                <w:bCs/>
                <w:sz w:val="18"/>
                <w:szCs w:val="18"/>
              </w:rPr>
            </w:pPr>
            <w:r w:rsidRPr="0098726F">
              <w:rPr>
                <w:b/>
                <w:bCs/>
                <w:sz w:val="18"/>
                <w:szCs w:val="18"/>
              </w:rPr>
              <w:t>Indicadores de rendimiento</w:t>
            </w:r>
          </w:p>
        </w:tc>
        <w:tc>
          <w:tcPr>
            <w:tcW w:w="2300" w:type="dxa"/>
            <w:tcBorders>
              <w:top w:val="single" w:sz="4" w:space="0" w:color="auto"/>
              <w:left w:val="nil"/>
              <w:bottom w:val="single" w:sz="4" w:space="0" w:color="auto"/>
              <w:right w:val="nil"/>
            </w:tcBorders>
            <w:shd w:val="clear" w:color="auto" w:fill="C6D9F1" w:themeFill="text2" w:themeFillTint="33"/>
            <w:vAlign w:val="center"/>
            <w:hideMark/>
          </w:tcPr>
          <w:p w:rsidR="00236E18" w:rsidRPr="0098726F" w:rsidRDefault="00236E18" w:rsidP="00294272">
            <w:pPr>
              <w:keepNext/>
              <w:keepLines/>
              <w:jc w:val="center"/>
              <w:rPr>
                <w:b/>
                <w:bCs/>
                <w:sz w:val="18"/>
                <w:szCs w:val="18"/>
              </w:rPr>
            </w:pPr>
            <w:r w:rsidRPr="0098726F">
              <w:rPr>
                <w:b/>
                <w:bCs/>
                <w:sz w:val="18"/>
                <w:szCs w:val="18"/>
              </w:rPr>
              <w:t>Referencia</w:t>
            </w:r>
          </w:p>
        </w:tc>
        <w:tc>
          <w:tcPr>
            <w:tcW w:w="214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36E18" w:rsidRPr="0098726F" w:rsidRDefault="00236E18" w:rsidP="00294272">
            <w:pPr>
              <w:keepNext/>
              <w:keepLines/>
              <w:jc w:val="center"/>
              <w:rPr>
                <w:b/>
                <w:bCs/>
                <w:sz w:val="18"/>
                <w:szCs w:val="18"/>
              </w:rPr>
            </w:pPr>
            <w:r w:rsidRPr="0098726F">
              <w:rPr>
                <w:b/>
                <w:bCs/>
                <w:sz w:val="18"/>
                <w:szCs w:val="18"/>
              </w:rPr>
              <w:t>Objetivos</w:t>
            </w:r>
          </w:p>
        </w:tc>
      </w:tr>
      <w:tr w:rsidR="00236E18" w:rsidRPr="00261379" w:rsidTr="00294272">
        <w:trPr>
          <w:trHeight w:val="1312"/>
        </w:trPr>
        <w:tc>
          <w:tcPr>
            <w:tcW w:w="2200" w:type="dxa"/>
            <w:vMerge w:val="restart"/>
            <w:tcBorders>
              <w:top w:val="nil"/>
              <w:left w:val="single" w:sz="4" w:space="0" w:color="auto"/>
              <w:bottom w:val="single" w:sz="4" w:space="0" w:color="000000"/>
              <w:right w:val="nil"/>
            </w:tcBorders>
            <w:shd w:val="clear" w:color="000000" w:fill="FFFFFF"/>
            <w:hideMark/>
          </w:tcPr>
          <w:p w:rsidR="00236E18" w:rsidRPr="0098726F" w:rsidRDefault="00236E18" w:rsidP="00294272">
            <w:pPr>
              <w:widowControl w:val="0"/>
              <w:rPr>
                <w:sz w:val="16"/>
                <w:szCs w:val="16"/>
              </w:rPr>
            </w:pPr>
            <w:r w:rsidRPr="0098726F">
              <w:rPr>
                <w:sz w:val="16"/>
                <w:szCs w:val="16"/>
              </w:rPr>
              <w:t>IV.1</w:t>
            </w:r>
            <w:r>
              <w:rPr>
                <w:sz w:val="16"/>
                <w:szCs w:val="16"/>
              </w:rPr>
              <w:t xml:space="preserve"> </w:t>
            </w:r>
            <w:r w:rsidRPr="0098726F">
              <w:rPr>
                <w:sz w:val="16"/>
                <w:szCs w:val="16"/>
              </w:rPr>
              <w:t xml:space="preserve"> </w:t>
            </w:r>
            <w:r w:rsidRPr="007E09B2">
              <w:rPr>
                <w:sz w:val="16"/>
                <w:szCs w:val="16"/>
                <w:lang w:val="es-ES_tradnl"/>
              </w:rPr>
              <w:t>Sistema actualizado y aceptado mundialmente de clasificaciones internacionales y normas técnicas de la OMPI para facilitar el acceso, el uso y la difusión de información de P.I. entre las partes interesadas de todo el mundo</w:t>
            </w:r>
          </w:p>
        </w:tc>
        <w:tc>
          <w:tcPr>
            <w:tcW w:w="2640" w:type="dxa"/>
            <w:tcBorders>
              <w:top w:val="nil"/>
              <w:left w:val="nil"/>
              <w:bottom w:val="nil"/>
              <w:right w:val="nil"/>
            </w:tcBorders>
            <w:shd w:val="clear" w:color="000000" w:fill="FFFFFF"/>
            <w:hideMark/>
          </w:tcPr>
          <w:p w:rsidR="00236E18" w:rsidRPr="0098726F" w:rsidRDefault="00236E18" w:rsidP="00294272">
            <w:pPr>
              <w:keepNext/>
              <w:keepLines/>
              <w:ind w:left="117"/>
              <w:rPr>
                <w:sz w:val="16"/>
                <w:szCs w:val="16"/>
              </w:rPr>
            </w:pPr>
            <w:r w:rsidRPr="0098726F">
              <w:rPr>
                <w:sz w:val="16"/>
                <w:szCs w:val="16"/>
              </w:rPr>
              <w:t>N</w:t>
            </w:r>
            <w:r>
              <w:rPr>
                <w:sz w:val="16"/>
                <w:szCs w:val="16"/>
              </w:rPr>
              <w:t>º</w:t>
            </w:r>
            <w:r w:rsidRPr="0098726F">
              <w:rPr>
                <w:sz w:val="16"/>
                <w:szCs w:val="16"/>
              </w:rPr>
              <w:t xml:space="preserve"> de modificaciones y ficheros de información introducidos en la Clasificación de Niza.</w:t>
            </w:r>
          </w:p>
        </w:tc>
        <w:tc>
          <w:tcPr>
            <w:tcW w:w="2300" w:type="dxa"/>
            <w:tcBorders>
              <w:top w:val="nil"/>
              <w:left w:val="nil"/>
              <w:bottom w:val="nil"/>
              <w:right w:val="nil"/>
            </w:tcBorders>
            <w:shd w:val="clear" w:color="000000" w:fill="FFFFFF"/>
            <w:hideMark/>
          </w:tcPr>
          <w:p w:rsidR="00236E18" w:rsidRPr="0098726F" w:rsidRDefault="00236E18" w:rsidP="00294272">
            <w:pPr>
              <w:keepNext/>
              <w:keepLines/>
              <w:ind w:left="170" w:firstLineChars="93" w:firstLine="149"/>
              <w:rPr>
                <w:sz w:val="16"/>
                <w:szCs w:val="16"/>
              </w:rPr>
            </w:pPr>
            <w:r w:rsidRPr="0098726F">
              <w:rPr>
                <w:sz w:val="16"/>
                <w:szCs w:val="16"/>
              </w:rPr>
              <w:br/>
              <w:t xml:space="preserve">570 modificaciones en inglés y francés, </w:t>
            </w:r>
            <w:r w:rsidRPr="0098726F">
              <w:rPr>
                <w:sz w:val="16"/>
                <w:szCs w:val="16"/>
              </w:rPr>
              <w:br/>
              <w:t>50 ficheros de información nuevos o modificados (2014).</w:t>
            </w:r>
          </w:p>
        </w:tc>
        <w:tc>
          <w:tcPr>
            <w:tcW w:w="2140" w:type="dxa"/>
            <w:tcBorders>
              <w:top w:val="nil"/>
              <w:left w:val="nil"/>
              <w:bottom w:val="nil"/>
              <w:right w:val="single" w:sz="4" w:space="0" w:color="auto"/>
            </w:tcBorders>
            <w:shd w:val="clear" w:color="000000" w:fill="FFFFFF"/>
            <w:hideMark/>
          </w:tcPr>
          <w:p w:rsidR="00236E18" w:rsidRPr="0098726F" w:rsidRDefault="00236E18" w:rsidP="00294272">
            <w:pPr>
              <w:keepNext/>
              <w:keepLines/>
              <w:ind w:left="280" w:firstLineChars="25" w:firstLine="40"/>
              <w:rPr>
                <w:sz w:val="16"/>
                <w:szCs w:val="16"/>
              </w:rPr>
            </w:pPr>
            <w:r w:rsidRPr="0098726F">
              <w:rPr>
                <w:sz w:val="16"/>
                <w:szCs w:val="16"/>
              </w:rPr>
              <w:t>Aumento en comparación con la referencia.</w:t>
            </w:r>
          </w:p>
        </w:tc>
      </w:tr>
      <w:tr w:rsidR="00236E18" w:rsidRPr="00261379" w:rsidTr="00294272">
        <w:trPr>
          <w:trHeight w:val="661"/>
        </w:trPr>
        <w:tc>
          <w:tcPr>
            <w:tcW w:w="2200" w:type="dxa"/>
            <w:vMerge/>
            <w:tcBorders>
              <w:top w:val="nil"/>
              <w:left w:val="single" w:sz="4" w:space="0" w:color="auto"/>
              <w:bottom w:val="single" w:sz="4" w:space="0" w:color="000000"/>
              <w:right w:val="nil"/>
            </w:tcBorders>
            <w:vAlign w:val="center"/>
            <w:hideMark/>
          </w:tcPr>
          <w:p w:rsidR="00236E18" w:rsidRPr="0098726F" w:rsidRDefault="00236E18" w:rsidP="00294272">
            <w:pPr>
              <w:keepNext/>
              <w:keepLines/>
              <w:rPr>
                <w:sz w:val="16"/>
                <w:szCs w:val="16"/>
              </w:rPr>
            </w:pPr>
          </w:p>
        </w:tc>
        <w:tc>
          <w:tcPr>
            <w:tcW w:w="2640" w:type="dxa"/>
            <w:tcBorders>
              <w:top w:val="nil"/>
              <w:left w:val="nil"/>
              <w:bottom w:val="nil"/>
              <w:right w:val="nil"/>
            </w:tcBorders>
            <w:shd w:val="clear" w:color="000000" w:fill="FFFFFF"/>
            <w:hideMark/>
          </w:tcPr>
          <w:p w:rsidR="00236E18" w:rsidRPr="0098726F" w:rsidRDefault="00236E18" w:rsidP="00294272">
            <w:pPr>
              <w:keepNext/>
              <w:keepLines/>
              <w:ind w:left="117"/>
              <w:rPr>
                <w:sz w:val="16"/>
                <w:szCs w:val="16"/>
              </w:rPr>
            </w:pPr>
            <w:r w:rsidRPr="0098726F">
              <w:rPr>
                <w:sz w:val="16"/>
                <w:szCs w:val="16"/>
              </w:rPr>
              <w:t>N</w:t>
            </w:r>
            <w:r>
              <w:rPr>
                <w:sz w:val="16"/>
                <w:szCs w:val="16"/>
              </w:rPr>
              <w:t xml:space="preserve">º </w:t>
            </w:r>
            <w:r w:rsidRPr="0098726F">
              <w:rPr>
                <w:sz w:val="16"/>
                <w:szCs w:val="16"/>
              </w:rPr>
              <w:t>de nuevas subdivisiones introducidas anualmente en la CIP.</w:t>
            </w:r>
          </w:p>
        </w:tc>
        <w:tc>
          <w:tcPr>
            <w:tcW w:w="2300" w:type="dxa"/>
            <w:tcBorders>
              <w:top w:val="nil"/>
              <w:left w:val="nil"/>
              <w:bottom w:val="nil"/>
              <w:right w:val="nil"/>
            </w:tcBorders>
            <w:shd w:val="clear" w:color="000000" w:fill="FFFFFF"/>
            <w:hideMark/>
          </w:tcPr>
          <w:p w:rsidR="00236E18" w:rsidRPr="0098726F" w:rsidRDefault="00236E18" w:rsidP="00294272">
            <w:pPr>
              <w:keepNext/>
              <w:keepLines/>
              <w:ind w:firstLineChars="106" w:firstLine="170"/>
              <w:rPr>
                <w:sz w:val="16"/>
                <w:szCs w:val="16"/>
              </w:rPr>
            </w:pPr>
            <w:r w:rsidRPr="0098726F">
              <w:rPr>
                <w:sz w:val="16"/>
                <w:szCs w:val="16"/>
              </w:rPr>
              <w:t>337 nuevos grupos (2014).</w:t>
            </w:r>
          </w:p>
        </w:tc>
        <w:tc>
          <w:tcPr>
            <w:tcW w:w="2140" w:type="dxa"/>
            <w:tcBorders>
              <w:top w:val="nil"/>
              <w:left w:val="nil"/>
              <w:bottom w:val="nil"/>
              <w:right w:val="single" w:sz="4" w:space="0" w:color="auto"/>
            </w:tcBorders>
            <w:shd w:val="clear" w:color="000000" w:fill="FFFFFF"/>
            <w:hideMark/>
          </w:tcPr>
          <w:p w:rsidR="00236E18" w:rsidRPr="0098726F" w:rsidRDefault="00236E18" w:rsidP="00294272">
            <w:pPr>
              <w:keepNext/>
              <w:keepLines/>
              <w:ind w:left="280"/>
              <w:rPr>
                <w:sz w:val="16"/>
                <w:szCs w:val="16"/>
              </w:rPr>
            </w:pPr>
            <w:r w:rsidRPr="0098726F">
              <w:rPr>
                <w:sz w:val="16"/>
                <w:szCs w:val="16"/>
              </w:rPr>
              <w:t>Aumento en comparación con la referencia.</w:t>
            </w:r>
          </w:p>
        </w:tc>
      </w:tr>
      <w:tr w:rsidR="00236E18" w:rsidRPr="00261379" w:rsidTr="00294272">
        <w:trPr>
          <w:trHeight w:val="557"/>
        </w:trPr>
        <w:tc>
          <w:tcPr>
            <w:tcW w:w="2200" w:type="dxa"/>
            <w:vMerge/>
            <w:tcBorders>
              <w:top w:val="nil"/>
              <w:left w:val="single" w:sz="4" w:space="0" w:color="auto"/>
              <w:bottom w:val="single" w:sz="4" w:space="0" w:color="000000"/>
              <w:right w:val="nil"/>
            </w:tcBorders>
            <w:vAlign w:val="center"/>
            <w:hideMark/>
          </w:tcPr>
          <w:p w:rsidR="00236E18" w:rsidRPr="0098726F" w:rsidRDefault="00236E18" w:rsidP="00294272">
            <w:pPr>
              <w:rPr>
                <w:sz w:val="16"/>
                <w:szCs w:val="16"/>
              </w:rPr>
            </w:pPr>
          </w:p>
        </w:tc>
        <w:tc>
          <w:tcPr>
            <w:tcW w:w="2640" w:type="dxa"/>
            <w:tcBorders>
              <w:top w:val="nil"/>
              <w:left w:val="nil"/>
              <w:bottom w:val="nil"/>
              <w:right w:val="nil"/>
            </w:tcBorders>
            <w:shd w:val="clear" w:color="000000" w:fill="FFFFFF"/>
            <w:hideMark/>
          </w:tcPr>
          <w:p w:rsidR="00236E18" w:rsidRPr="0098726F" w:rsidRDefault="00236E18" w:rsidP="00294272">
            <w:pPr>
              <w:keepNext/>
              <w:keepLines/>
              <w:ind w:left="117"/>
              <w:rPr>
                <w:sz w:val="16"/>
                <w:szCs w:val="16"/>
              </w:rPr>
            </w:pPr>
            <w:r w:rsidRPr="0098726F">
              <w:rPr>
                <w:sz w:val="16"/>
                <w:szCs w:val="16"/>
              </w:rPr>
              <w:t>N</w:t>
            </w:r>
            <w:r>
              <w:rPr>
                <w:sz w:val="16"/>
                <w:szCs w:val="16"/>
              </w:rPr>
              <w:t>º</w:t>
            </w:r>
            <w:r w:rsidRPr="0098726F">
              <w:rPr>
                <w:sz w:val="16"/>
                <w:szCs w:val="16"/>
              </w:rPr>
              <w:t xml:space="preserve"> de normas técnicas modificadas y nuevas normas técnicas adoptadas.</w:t>
            </w:r>
            <w:r>
              <w:rPr>
                <w:sz w:val="16"/>
                <w:szCs w:val="16"/>
              </w:rPr>
              <w:br/>
            </w:r>
          </w:p>
        </w:tc>
        <w:tc>
          <w:tcPr>
            <w:tcW w:w="2300" w:type="dxa"/>
            <w:tcBorders>
              <w:top w:val="nil"/>
              <w:left w:val="nil"/>
              <w:bottom w:val="nil"/>
              <w:right w:val="nil"/>
            </w:tcBorders>
            <w:shd w:val="clear" w:color="000000" w:fill="FFFFFF"/>
            <w:hideMark/>
          </w:tcPr>
          <w:p w:rsidR="00236E18" w:rsidRPr="0098726F" w:rsidRDefault="00236E18" w:rsidP="00294272">
            <w:pPr>
              <w:ind w:left="170"/>
              <w:rPr>
                <w:sz w:val="16"/>
                <w:szCs w:val="16"/>
              </w:rPr>
            </w:pPr>
            <w:r w:rsidRPr="0098726F">
              <w:rPr>
                <w:sz w:val="16"/>
                <w:szCs w:val="16"/>
              </w:rPr>
              <w:t>Dos nuevas normas técnicas (2014).</w:t>
            </w:r>
          </w:p>
        </w:tc>
        <w:tc>
          <w:tcPr>
            <w:tcW w:w="2140" w:type="dxa"/>
            <w:tcBorders>
              <w:top w:val="nil"/>
              <w:left w:val="nil"/>
              <w:bottom w:val="nil"/>
              <w:right w:val="single" w:sz="4" w:space="0" w:color="auto"/>
            </w:tcBorders>
            <w:shd w:val="clear" w:color="000000" w:fill="FFFFFF"/>
            <w:hideMark/>
          </w:tcPr>
          <w:p w:rsidR="00236E18" w:rsidRPr="0098726F" w:rsidRDefault="00236E18" w:rsidP="00294272">
            <w:pPr>
              <w:ind w:left="280"/>
              <w:rPr>
                <w:sz w:val="16"/>
                <w:szCs w:val="16"/>
              </w:rPr>
            </w:pPr>
            <w:r w:rsidRPr="0098726F">
              <w:rPr>
                <w:sz w:val="16"/>
                <w:szCs w:val="16"/>
              </w:rPr>
              <w:t>Aumento en comparación con la referencia.</w:t>
            </w:r>
          </w:p>
        </w:tc>
      </w:tr>
      <w:tr w:rsidR="00236E18" w:rsidRPr="00261379" w:rsidTr="00294272">
        <w:trPr>
          <w:trHeight w:val="1409"/>
        </w:trPr>
        <w:tc>
          <w:tcPr>
            <w:tcW w:w="2200" w:type="dxa"/>
            <w:vMerge/>
            <w:tcBorders>
              <w:top w:val="nil"/>
              <w:left w:val="single" w:sz="4" w:space="0" w:color="auto"/>
              <w:bottom w:val="single" w:sz="4" w:space="0" w:color="000000"/>
              <w:right w:val="nil"/>
            </w:tcBorders>
            <w:vAlign w:val="center"/>
            <w:hideMark/>
          </w:tcPr>
          <w:p w:rsidR="00236E18" w:rsidRPr="0098726F" w:rsidRDefault="00236E18" w:rsidP="00294272">
            <w:pPr>
              <w:rPr>
                <w:sz w:val="16"/>
                <w:szCs w:val="16"/>
              </w:rPr>
            </w:pPr>
          </w:p>
        </w:tc>
        <w:tc>
          <w:tcPr>
            <w:tcW w:w="2640" w:type="dxa"/>
            <w:tcBorders>
              <w:top w:val="nil"/>
              <w:left w:val="nil"/>
              <w:bottom w:val="single" w:sz="4" w:space="0" w:color="auto"/>
              <w:right w:val="nil"/>
            </w:tcBorders>
            <w:shd w:val="clear" w:color="000000" w:fill="FFFFFF"/>
            <w:hideMark/>
          </w:tcPr>
          <w:p w:rsidR="00236E18" w:rsidRPr="0098726F" w:rsidRDefault="00236E18" w:rsidP="00294272">
            <w:pPr>
              <w:keepNext/>
              <w:keepLines/>
              <w:ind w:left="117"/>
              <w:rPr>
                <w:sz w:val="16"/>
                <w:szCs w:val="16"/>
              </w:rPr>
            </w:pPr>
            <w:r w:rsidRPr="0098726F">
              <w:rPr>
                <w:sz w:val="16"/>
                <w:szCs w:val="16"/>
              </w:rPr>
              <w:t>N</w:t>
            </w:r>
            <w:r>
              <w:rPr>
                <w:sz w:val="16"/>
                <w:szCs w:val="16"/>
              </w:rPr>
              <w:t>º</w:t>
            </w:r>
            <w:r w:rsidRPr="0098726F">
              <w:rPr>
                <w:sz w:val="16"/>
                <w:szCs w:val="16"/>
              </w:rPr>
              <w:t xml:space="preserve"> de usuarios que tienen acceso a las publicaciones de clasificaciones internacionales y normas técnicas, especialmente de países en desarrollo.</w:t>
            </w:r>
          </w:p>
        </w:tc>
        <w:tc>
          <w:tcPr>
            <w:tcW w:w="2300" w:type="dxa"/>
            <w:tcBorders>
              <w:top w:val="nil"/>
              <w:left w:val="nil"/>
              <w:bottom w:val="single" w:sz="4" w:space="0" w:color="auto"/>
              <w:right w:val="nil"/>
            </w:tcBorders>
            <w:shd w:val="clear" w:color="000000" w:fill="FFFFFF"/>
            <w:hideMark/>
          </w:tcPr>
          <w:p w:rsidR="00236E18" w:rsidRDefault="00236E18" w:rsidP="00294272">
            <w:pPr>
              <w:ind w:left="170"/>
              <w:rPr>
                <w:sz w:val="16"/>
                <w:szCs w:val="16"/>
              </w:rPr>
            </w:pPr>
            <w:r w:rsidRPr="0098726F">
              <w:rPr>
                <w:sz w:val="16"/>
                <w:szCs w:val="16"/>
              </w:rPr>
              <w:t>Publicación de la C. de Niza: 2.587.788</w:t>
            </w:r>
            <w:r w:rsidRPr="0098726F">
              <w:rPr>
                <w:sz w:val="16"/>
                <w:szCs w:val="16"/>
              </w:rPr>
              <w:br/>
            </w:r>
            <w:proofErr w:type="spellStart"/>
            <w:r w:rsidRPr="0098726F">
              <w:rPr>
                <w:sz w:val="16"/>
                <w:szCs w:val="16"/>
              </w:rPr>
              <w:t>Locarno</w:t>
            </w:r>
            <w:proofErr w:type="spellEnd"/>
            <w:r w:rsidRPr="0098726F">
              <w:rPr>
                <w:sz w:val="16"/>
                <w:szCs w:val="16"/>
              </w:rPr>
              <w:t>:  44.557</w:t>
            </w:r>
            <w:r w:rsidRPr="0098726F">
              <w:rPr>
                <w:sz w:val="16"/>
                <w:szCs w:val="16"/>
              </w:rPr>
              <w:br/>
              <w:t>Viena: 29.596</w:t>
            </w:r>
            <w:r w:rsidRPr="0098726F">
              <w:rPr>
                <w:sz w:val="16"/>
                <w:szCs w:val="16"/>
              </w:rPr>
              <w:br/>
              <w:t>Publicación de la CIP: 1.170.000</w:t>
            </w:r>
            <w:r w:rsidRPr="0098726F">
              <w:rPr>
                <w:sz w:val="16"/>
                <w:szCs w:val="16"/>
              </w:rPr>
              <w:br/>
              <w:t>Normas técnicas de la OMPI (Manual):  66.399</w:t>
            </w:r>
          </w:p>
          <w:p w:rsidR="00236E18" w:rsidRPr="0098726F" w:rsidRDefault="00236E18" w:rsidP="00294272">
            <w:pPr>
              <w:ind w:left="170"/>
              <w:rPr>
                <w:sz w:val="16"/>
                <w:szCs w:val="16"/>
              </w:rPr>
            </w:pPr>
          </w:p>
        </w:tc>
        <w:tc>
          <w:tcPr>
            <w:tcW w:w="2140" w:type="dxa"/>
            <w:tcBorders>
              <w:top w:val="nil"/>
              <w:left w:val="nil"/>
              <w:bottom w:val="single" w:sz="4" w:space="0" w:color="auto"/>
              <w:right w:val="single" w:sz="4" w:space="0" w:color="auto"/>
            </w:tcBorders>
            <w:shd w:val="clear" w:color="000000" w:fill="FFFFFF"/>
            <w:hideMark/>
          </w:tcPr>
          <w:p w:rsidR="00236E18" w:rsidRPr="0098726F" w:rsidRDefault="00236E18" w:rsidP="00294272">
            <w:pPr>
              <w:ind w:left="280"/>
              <w:rPr>
                <w:sz w:val="16"/>
                <w:szCs w:val="16"/>
              </w:rPr>
            </w:pPr>
            <w:r w:rsidRPr="0098726F">
              <w:rPr>
                <w:sz w:val="16"/>
                <w:szCs w:val="16"/>
              </w:rPr>
              <w:t xml:space="preserve">5% de aumento en comparación con la referencia. </w:t>
            </w:r>
          </w:p>
        </w:tc>
      </w:tr>
    </w:tbl>
    <w:p w:rsidR="00236E18" w:rsidRPr="0098726F" w:rsidRDefault="00236E18" w:rsidP="00236E18">
      <w:pPr>
        <w:pStyle w:val="Body1"/>
        <w:rPr>
          <w:rFonts w:ascii="Arial" w:hAnsi="Arial" w:cs="Arial"/>
          <w:color w:val="auto"/>
          <w:sz w:val="20"/>
          <w:lang w:val="es-ES"/>
        </w:rPr>
      </w:pPr>
    </w:p>
    <w:p w:rsidR="00236E18" w:rsidRPr="0098726F" w:rsidRDefault="00236E18" w:rsidP="00236E18">
      <w:pPr>
        <w:pStyle w:val="Body1"/>
        <w:rPr>
          <w:rFonts w:ascii="Arial" w:hAnsi="Arial" w:cs="Arial"/>
          <w:color w:val="auto"/>
          <w:sz w:val="20"/>
          <w:lang w:val="es-ES"/>
        </w:rPr>
      </w:pPr>
    </w:p>
    <w:p w:rsidR="00236E18" w:rsidRPr="00746B2C" w:rsidRDefault="00236E18" w:rsidP="00236E18">
      <w:pPr>
        <w:pStyle w:val="Body1"/>
        <w:rPr>
          <w:rFonts w:ascii="Arial" w:hAnsi="Arial" w:cs="Arial"/>
          <w:color w:val="auto"/>
          <w:sz w:val="22"/>
        </w:rPr>
      </w:pPr>
      <w:r w:rsidRPr="00746B2C">
        <w:rPr>
          <w:rFonts w:ascii="Arial" w:hAnsi="Arial" w:cs="Arial"/>
          <w:color w:val="auto"/>
          <w:sz w:val="22"/>
        </w:rPr>
        <w:t>RECURSOS PARA EL PROGRAMA 12</w:t>
      </w:r>
    </w:p>
    <w:p w:rsidR="00236E18" w:rsidRPr="00746B2C" w:rsidRDefault="00236E18" w:rsidP="00236E18">
      <w:pPr>
        <w:rPr>
          <w:szCs w:val="22"/>
        </w:rPr>
      </w:pPr>
    </w:p>
    <w:p w:rsidR="00236E18" w:rsidRPr="00746B2C" w:rsidRDefault="00236E18" w:rsidP="00236E18">
      <w:pPr>
        <w:pStyle w:val="Body1"/>
        <w:numPr>
          <w:ilvl w:val="0"/>
          <w:numId w:val="26"/>
        </w:numPr>
        <w:tabs>
          <w:tab w:val="left" w:pos="709"/>
        </w:tabs>
        <w:ind w:left="0" w:firstLine="0"/>
        <w:jc w:val="both"/>
        <w:rPr>
          <w:rFonts w:ascii="Arial" w:hAnsi="Arial" w:cs="Arial"/>
          <w:color w:val="auto"/>
          <w:sz w:val="20"/>
          <w:lang w:val="es-ES"/>
        </w:rPr>
      </w:pPr>
      <w:r w:rsidRPr="00EB43D0">
        <w:rPr>
          <w:rFonts w:ascii="Arial" w:hAnsi="Arial" w:cs="Arial"/>
          <w:sz w:val="20"/>
          <w:lang w:val="es-ES_tradnl"/>
        </w:rPr>
        <w:t>Se observa un</w:t>
      </w:r>
      <w:r>
        <w:rPr>
          <w:rFonts w:ascii="Arial" w:hAnsi="Arial" w:cs="Arial"/>
          <w:sz w:val="20"/>
          <w:lang w:val="es-ES_tradnl"/>
        </w:rPr>
        <w:t>a</w:t>
      </w:r>
      <w:r w:rsidRPr="00EB43D0">
        <w:rPr>
          <w:rFonts w:ascii="Arial" w:hAnsi="Arial" w:cs="Arial"/>
          <w:sz w:val="20"/>
          <w:lang w:val="es-ES_tradnl"/>
        </w:rPr>
        <w:t xml:space="preserve"> liger</w:t>
      </w:r>
      <w:r>
        <w:rPr>
          <w:rFonts w:ascii="Arial" w:hAnsi="Arial" w:cs="Arial"/>
          <w:sz w:val="20"/>
          <w:lang w:val="es-ES_tradnl"/>
        </w:rPr>
        <w:t>a disminución en la dotación global de</w:t>
      </w:r>
      <w:r w:rsidRPr="00EB43D0">
        <w:rPr>
          <w:rFonts w:ascii="Arial" w:hAnsi="Arial" w:cs="Arial"/>
          <w:sz w:val="20"/>
          <w:lang w:val="es-ES_tradnl"/>
        </w:rPr>
        <w:t xml:space="preserve"> recursos </w:t>
      </w:r>
      <w:r>
        <w:rPr>
          <w:rFonts w:ascii="Arial" w:hAnsi="Arial" w:cs="Arial"/>
          <w:sz w:val="20"/>
          <w:lang w:val="es-ES_tradnl"/>
        </w:rPr>
        <w:t>para el</w:t>
      </w:r>
      <w:r w:rsidRPr="00EB43D0">
        <w:rPr>
          <w:rFonts w:ascii="Arial" w:hAnsi="Arial" w:cs="Arial"/>
          <w:sz w:val="20"/>
          <w:lang w:val="es-ES_tradnl"/>
        </w:rPr>
        <w:t xml:space="preserve"> programa en 2016/17 en comparación con el presupuesto de 2014/</w:t>
      </w:r>
      <w:r>
        <w:rPr>
          <w:rFonts w:ascii="Arial" w:hAnsi="Arial" w:cs="Arial"/>
          <w:sz w:val="20"/>
          <w:lang w:val="es-ES_tradnl"/>
        </w:rPr>
        <w:t>15 tras las</w:t>
      </w:r>
      <w:r w:rsidRPr="00EB43D0">
        <w:rPr>
          <w:rFonts w:ascii="Arial" w:hAnsi="Arial" w:cs="Arial"/>
          <w:sz w:val="20"/>
          <w:lang w:val="es-ES_tradnl"/>
        </w:rPr>
        <w:t xml:space="preserve"> transferencias. </w:t>
      </w:r>
      <w:r>
        <w:rPr>
          <w:rFonts w:ascii="Arial" w:hAnsi="Arial" w:cs="Arial"/>
          <w:sz w:val="20"/>
          <w:lang w:val="es-ES_tradnl"/>
        </w:rPr>
        <w:t xml:space="preserve"> </w:t>
      </w:r>
      <w:r w:rsidRPr="00EB43D0">
        <w:rPr>
          <w:rFonts w:ascii="Arial" w:hAnsi="Arial" w:cs="Arial"/>
          <w:sz w:val="20"/>
          <w:lang w:val="es-ES_tradnl"/>
        </w:rPr>
        <w:t xml:space="preserve">Los </w:t>
      </w:r>
      <w:r>
        <w:rPr>
          <w:rFonts w:ascii="Arial" w:hAnsi="Arial" w:cs="Arial"/>
          <w:sz w:val="20"/>
          <w:lang w:val="es-ES_tradnl"/>
        </w:rPr>
        <w:t>recursos no relativos</w:t>
      </w:r>
      <w:r w:rsidRPr="00EB43D0">
        <w:rPr>
          <w:rFonts w:ascii="Arial" w:hAnsi="Arial" w:cs="Arial"/>
          <w:sz w:val="20"/>
          <w:lang w:val="es-ES_tradnl"/>
        </w:rPr>
        <w:t xml:space="preserve"> a personal en 2016/17 se mantienen al nivel del presupuesto de 2014/</w:t>
      </w:r>
      <w:r>
        <w:rPr>
          <w:rFonts w:ascii="Arial" w:hAnsi="Arial" w:cs="Arial"/>
          <w:sz w:val="20"/>
          <w:lang w:val="es-ES_tradnl"/>
        </w:rPr>
        <w:t>15 tras las</w:t>
      </w:r>
      <w:r w:rsidRPr="00EB43D0">
        <w:rPr>
          <w:rFonts w:ascii="Arial" w:hAnsi="Arial" w:cs="Arial"/>
          <w:sz w:val="20"/>
          <w:lang w:val="es-ES_tradnl"/>
        </w:rPr>
        <w:t xml:space="preserve"> transferencias.  La disminución de los recursos de personal se debe a la transferencia de un puesto del programa 15 (Soluciones operativas para las oficinas de P.I.), con el fin de reforzar el apoyo a las oficinas de P.I. a nivel mundial.</w:t>
      </w:r>
    </w:p>
    <w:p w:rsidR="00236E18" w:rsidRPr="00746B2C" w:rsidRDefault="00236E18" w:rsidP="00236E18">
      <w:pPr>
        <w:pStyle w:val="Body1"/>
        <w:tabs>
          <w:tab w:val="left" w:pos="709"/>
        </w:tabs>
        <w:jc w:val="both"/>
        <w:rPr>
          <w:rFonts w:ascii="Arial" w:hAnsi="Arial" w:cs="Arial"/>
          <w:color w:val="auto"/>
          <w:sz w:val="20"/>
          <w:lang w:val="es-ES"/>
        </w:rPr>
      </w:pPr>
    </w:p>
    <w:p w:rsidR="00236E18" w:rsidRPr="00746B2C" w:rsidRDefault="00236E18" w:rsidP="00236E18">
      <w:pPr>
        <w:pStyle w:val="Body1"/>
        <w:tabs>
          <w:tab w:val="left" w:pos="709"/>
        </w:tabs>
        <w:jc w:val="both"/>
        <w:rPr>
          <w:rFonts w:ascii="Arial" w:hAnsi="Arial" w:cs="Arial"/>
          <w:color w:val="auto"/>
          <w:sz w:val="20"/>
          <w:lang w:val="es-ES"/>
        </w:rPr>
      </w:pPr>
    </w:p>
    <w:p w:rsidR="00236E18" w:rsidRPr="00746B2C" w:rsidRDefault="00236E18" w:rsidP="00236E18">
      <w:pPr>
        <w:keepNext/>
        <w:keepLines/>
        <w:autoSpaceDE w:val="0"/>
        <w:autoSpaceDN w:val="0"/>
        <w:jc w:val="center"/>
        <w:rPr>
          <w:b/>
          <w:sz w:val="20"/>
          <w:lang w:val="es-ES_tradnl"/>
        </w:rPr>
      </w:pPr>
      <w:r w:rsidRPr="00746B2C">
        <w:rPr>
          <w:b/>
          <w:sz w:val="20"/>
          <w:lang w:val="es-ES_tradnl"/>
        </w:rPr>
        <w:lastRenderedPageBreak/>
        <w:t>Programa 12</w:t>
      </w:r>
      <w:proofErr w:type="gramStart"/>
      <w:r w:rsidRPr="00746B2C">
        <w:rPr>
          <w:b/>
          <w:sz w:val="20"/>
          <w:lang w:val="es-ES_tradnl"/>
        </w:rPr>
        <w:t>:  Recursos</w:t>
      </w:r>
      <w:proofErr w:type="gramEnd"/>
      <w:r w:rsidRPr="00746B2C">
        <w:rPr>
          <w:b/>
          <w:sz w:val="20"/>
          <w:lang w:val="es-ES_tradnl"/>
        </w:rPr>
        <w:t xml:space="preserve"> por resultado</w:t>
      </w:r>
    </w:p>
    <w:p w:rsidR="00236E18" w:rsidRPr="00746B2C" w:rsidRDefault="00236E18" w:rsidP="00236E18">
      <w:pPr>
        <w:keepNext/>
        <w:keepLines/>
        <w:autoSpaceDE w:val="0"/>
        <w:autoSpaceDN w:val="0"/>
        <w:jc w:val="center"/>
        <w:rPr>
          <w:i/>
          <w:sz w:val="20"/>
          <w:highlight w:val="lightGray"/>
          <w:lang w:val="es-ES_tradnl"/>
        </w:rPr>
      </w:pPr>
      <w:r w:rsidRPr="00746B2C">
        <w:rPr>
          <w:i/>
          <w:sz w:val="20"/>
          <w:lang w:val="es-ES_tradnl"/>
        </w:rPr>
        <w:t>(</w:t>
      </w:r>
      <w:proofErr w:type="gramStart"/>
      <w:r w:rsidRPr="00746B2C">
        <w:rPr>
          <w:i/>
          <w:sz w:val="20"/>
          <w:lang w:val="es-ES_tradnl"/>
        </w:rPr>
        <w:t>en</w:t>
      </w:r>
      <w:proofErr w:type="gramEnd"/>
      <w:r w:rsidRPr="00746B2C">
        <w:rPr>
          <w:i/>
          <w:sz w:val="20"/>
          <w:lang w:val="es-ES_tradnl"/>
        </w:rPr>
        <w:t xml:space="preserve"> miles de francos suizos)</w:t>
      </w:r>
    </w:p>
    <w:p w:rsidR="00236E18" w:rsidRPr="00746B2C" w:rsidRDefault="00236E18" w:rsidP="00236E18">
      <w:pPr>
        <w:keepNext/>
        <w:keepLines/>
        <w:autoSpaceDE w:val="0"/>
        <w:autoSpaceDN w:val="0"/>
        <w:jc w:val="center"/>
        <w:rPr>
          <w:i/>
          <w:sz w:val="20"/>
          <w:highlight w:val="lightGray"/>
          <w:lang w:val="es-ES_tradnl"/>
        </w:rPr>
      </w:pPr>
    </w:p>
    <w:p w:rsidR="00236E18" w:rsidRPr="004B1FA8" w:rsidRDefault="00236E18" w:rsidP="00236E18">
      <w:pPr>
        <w:keepNext/>
        <w:keepLines/>
        <w:autoSpaceDE w:val="0"/>
        <w:autoSpaceDN w:val="0"/>
        <w:jc w:val="center"/>
        <w:rPr>
          <w:i/>
          <w:sz w:val="20"/>
          <w:highlight w:val="lightGray"/>
        </w:rPr>
      </w:pPr>
      <w:r w:rsidRPr="007E09B2">
        <w:rPr>
          <w:noProof/>
          <w:lang w:val="en-US" w:eastAsia="en-US"/>
        </w:rPr>
        <w:drawing>
          <wp:inline distT="0" distB="0" distL="0" distR="0" wp14:anchorId="5DB10DCC" wp14:editId="6C6B2FBC">
            <wp:extent cx="5676900" cy="145542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676900" cy="1455420"/>
                    </a:xfrm>
                    <a:prstGeom prst="rect">
                      <a:avLst/>
                    </a:prstGeom>
                    <a:noFill/>
                    <a:ln>
                      <a:noFill/>
                    </a:ln>
                  </pic:spPr>
                </pic:pic>
              </a:graphicData>
            </a:graphic>
          </wp:inline>
        </w:drawing>
      </w:r>
    </w:p>
    <w:p w:rsidR="00236E18" w:rsidRPr="004B1FA8" w:rsidRDefault="00236E18" w:rsidP="00236E18">
      <w:pPr>
        <w:autoSpaceDE w:val="0"/>
        <w:autoSpaceDN w:val="0"/>
        <w:ind w:left="-141" w:hanging="284"/>
        <w:rPr>
          <w:i/>
          <w:sz w:val="20"/>
          <w:highlight w:val="lightGray"/>
        </w:rPr>
      </w:pPr>
    </w:p>
    <w:p w:rsidR="00236E18" w:rsidRPr="004B1FA8" w:rsidRDefault="00236E18" w:rsidP="00236E18">
      <w:pPr>
        <w:autoSpaceDE w:val="0"/>
        <w:autoSpaceDN w:val="0"/>
        <w:ind w:left="-141" w:hanging="284"/>
        <w:rPr>
          <w:i/>
          <w:sz w:val="20"/>
          <w:highlight w:val="lightGray"/>
        </w:rPr>
      </w:pPr>
    </w:p>
    <w:p w:rsidR="00236E18" w:rsidRPr="008B4DB8" w:rsidRDefault="00236E18" w:rsidP="00236E18">
      <w:pPr>
        <w:keepNext/>
        <w:keepLines/>
        <w:autoSpaceDE w:val="0"/>
        <w:autoSpaceDN w:val="0"/>
        <w:jc w:val="center"/>
        <w:rPr>
          <w:b/>
          <w:sz w:val="20"/>
          <w:lang w:val="es-ES_tradnl"/>
        </w:rPr>
      </w:pPr>
      <w:r w:rsidRPr="008B4DB8">
        <w:rPr>
          <w:b/>
          <w:sz w:val="20"/>
          <w:lang w:val="es-ES_tradnl"/>
        </w:rPr>
        <w:t>Programa 12</w:t>
      </w:r>
      <w:proofErr w:type="gramStart"/>
      <w:r w:rsidRPr="008B4DB8">
        <w:rPr>
          <w:b/>
          <w:sz w:val="20"/>
          <w:lang w:val="es-ES_tradnl"/>
        </w:rPr>
        <w:t>:  Recursos</w:t>
      </w:r>
      <w:proofErr w:type="gramEnd"/>
      <w:r w:rsidRPr="008B4DB8">
        <w:rPr>
          <w:b/>
          <w:sz w:val="20"/>
          <w:lang w:val="es-ES_tradnl"/>
        </w:rPr>
        <w:t xml:space="preserve"> por objeto de gasto</w:t>
      </w:r>
    </w:p>
    <w:p w:rsidR="00236E18" w:rsidRPr="008B4DB8" w:rsidRDefault="00236E18" w:rsidP="00236E18">
      <w:pPr>
        <w:keepNext/>
        <w:keepLines/>
        <w:autoSpaceDE w:val="0"/>
        <w:autoSpaceDN w:val="0"/>
        <w:jc w:val="center"/>
        <w:rPr>
          <w:i/>
          <w:sz w:val="20"/>
          <w:highlight w:val="lightGray"/>
          <w:lang w:val="es-ES_tradnl"/>
        </w:rPr>
      </w:pPr>
      <w:r w:rsidRPr="008B4DB8">
        <w:rPr>
          <w:i/>
          <w:sz w:val="20"/>
          <w:lang w:val="es-ES_tradnl"/>
        </w:rPr>
        <w:t>(</w:t>
      </w:r>
      <w:proofErr w:type="gramStart"/>
      <w:r w:rsidRPr="008B4DB8">
        <w:rPr>
          <w:i/>
          <w:sz w:val="20"/>
          <w:lang w:val="es-ES_tradnl"/>
        </w:rPr>
        <w:t>en</w:t>
      </w:r>
      <w:proofErr w:type="gramEnd"/>
      <w:r w:rsidRPr="008B4DB8">
        <w:rPr>
          <w:i/>
          <w:sz w:val="20"/>
          <w:lang w:val="es-ES_tradnl"/>
        </w:rPr>
        <w:t xml:space="preserve"> miles de francos suizos)</w:t>
      </w:r>
      <w:r w:rsidRPr="008B4DB8">
        <w:rPr>
          <w:i/>
          <w:sz w:val="20"/>
          <w:highlight w:val="lightGray"/>
          <w:lang w:val="es-ES_tradnl"/>
        </w:rPr>
        <w:t xml:space="preserve"> </w:t>
      </w:r>
    </w:p>
    <w:p w:rsidR="00236E18" w:rsidRPr="008B4DB8" w:rsidRDefault="00236E18" w:rsidP="00236E18">
      <w:pPr>
        <w:keepNext/>
        <w:keepLines/>
        <w:autoSpaceDE w:val="0"/>
        <w:autoSpaceDN w:val="0"/>
        <w:ind w:left="-142" w:hanging="284"/>
        <w:jc w:val="center"/>
        <w:rPr>
          <w:i/>
          <w:sz w:val="20"/>
          <w:highlight w:val="lightGray"/>
          <w:lang w:val="es-ES_tradnl"/>
        </w:rPr>
      </w:pPr>
    </w:p>
    <w:p w:rsidR="00236E18" w:rsidRPr="009B4A78" w:rsidRDefault="00236E18" w:rsidP="00236E18">
      <w:pPr>
        <w:keepNext/>
        <w:keepLines/>
        <w:tabs>
          <w:tab w:val="left" w:pos="9356"/>
        </w:tabs>
        <w:autoSpaceDE w:val="0"/>
        <w:autoSpaceDN w:val="0"/>
        <w:jc w:val="center"/>
        <w:rPr>
          <w:i/>
          <w:sz w:val="20"/>
        </w:rPr>
      </w:pPr>
      <w:r>
        <w:rPr>
          <w:noProof/>
          <w:lang w:val="en-US" w:eastAsia="en-US"/>
        </w:rPr>
        <w:drawing>
          <wp:inline distT="0" distB="0" distL="0" distR="0" wp14:anchorId="6C727757" wp14:editId="7E592C01">
            <wp:extent cx="5940425" cy="6147324"/>
            <wp:effectExtent l="0" t="0" r="3175" b="6350"/>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40425" cy="6147324"/>
                    </a:xfrm>
                    <a:prstGeom prst="rect">
                      <a:avLst/>
                    </a:prstGeom>
                    <a:noFill/>
                    <a:ln>
                      <a:noFill/>
                    </a:ln>
                  </pic:spPr>
                </pic:pic>
              </a:graphicData>
            </a:graphic>
          </wp:inline>
        </w:drawing>
      </w:r>
    </w:p>
    <w:p w:rsidR="00236E18" w:rsidRPr="009B4A78" w:rsidRDefault="00236E18" w:rsidP="00236E18">
      <w:pPr>
        <w:pStyle w:val="Body1"/>
        <w:rPr>
          <w:rFonts w:ascii="Arial" w:hAnsi="Arial" w:cs="Arial"/>
          <w:sz w:val="22"/>
        </w:rPr>
      </w:pPr>
    </w:p>
    <w:p w:rsidR="00236E18" w:rsidRDefault="00236E18" w:rsidP="00236E18">
      <w:pPr>
        <w:rPr>
          <w:rFonts w:eastAsia="Arial Unicode MS"/>
          <w:sz w:val="20"/>
          <w:lang w:val="en-US" w:eastAsia="en-US"/>
        </w:rPr>
      </w:pPr>
      <w:r>
        <w:rPr>
          <w:sz w:val="20"/>
        </w:rPr>
        <w:br w:type="page"/>
      </w:r>
    </w:p>
    <w:p w:rsidR="00236E18" w:rsidRPr="000278D6" w:rsidRDefault="00236E18" w:rsidP="00236E18">
      <w:pPr>
        <w:pStyle w:val="StyleHeading3ComplexItalic"/>
        <w:ind w:left="1985" w:hanging="1985"/>
        <w:rPr>
          <w:rStyle w:val="StyleStyleHeading3ComplexItalicLatin12ptChar"/>
          <w:rFonts w:eastAsia="SimSun"/>
          <w:b/>
          <w:lang w:val="es-ES_tradnl"/>
        </w:rPr>
      </w:pPr>
      <w:bookmarkStart w:id="79" w:name="_Toc431573557"/>
      <w:bookmarkStart w:id="80" w:name="_Toc431573958"/>
      <w:r w:rsidRPr="000278D6">
        <w:rPr>
          <w:rStyle w:val="StyleStyleHeading3ComplexItalicLatin12ptChar"/>
          <w:rFonts w:eastAsia="SimSun"/>
          <w:b/>
          <w:lang w:val="es-ES_tradnl"/>
        </w:rPr>
        <w:lastRenderedPageBreak/>
        <w:t>PROGRAMA 13</w:t>
      </w:r>
      <w:r w:rsidRPr="000278D6">
        <w:rPr>
          <w:rStyle w:val="StyleStyleHeading3ComplexItalicLatin12ptChar"/>
          <w:rFonts w:eastAsia="SimSun"/>
          <w:b/>
          <w:lang w:val="es-ES_tradnl"/>
        </w:rPr>
        <w:tab/>
        <w:t>SERVICIO DE BASES MUNDIALES DE DATOS</w:t>
      </w:r>
      <w:bookmarkEnd w:id="79"/>
      <w:bookmarkEnd w:id="80"/>
    </w:p>
    <w:p w:rsidR="00236E18" w:rsidRPr="00993C93" w:rsidRDefault="00236E18" w:rsidP="00236E18">
      <w:pPr>
        <w:autoSpaceDE w:val="0"/>
        <w:autoSpaceDN w:val="0"/>
        <w:adjustRightInd w:val="0"/>
        <w:rPr>
          <w:szCs w:val="22"/>
        </w:rPr>
      </w:pPr>
    </w:p>
    <w:p w:rsidR="00236E18" w:rsidRPr="00993C93" w:rsidRDefault="00236E18" w:rsidP="00236E18">
      <w:pPr>
        <w:autoSpaceDE w:val="0"/>
        <w:autoSpaceDN w:val="0"/>
        <w:adjustRightInd w:val="0"/>
        <w:rPr>
          <w:szCs w:val="22"/>
        </w:rPr>
      </w:pPr>
    </w:p>
    <w:p w:rsidR="00236E18" w:rsidRPr="00993C93" w:rsidRDefault="00236E18" w:rsidP="00236E18">
      <w:pPr>
        <w:autoSpaceDE w:val="0"/>
        <w:autoSpaceDN w:val="0"/>
        <w:adjustRightInd w:val="0"/>
        <w:rPr>
          <w:szCs w:val="22"/>
        </w:rPr>
      </w:pPr>
      <w:r w:rsidRPr="00993C93">
        <w:rPr>
          <w:szCs w:val="22"/>
        </w:rPr>
        <w:t>CONTEXTO DE PLANIFICACIÓN</w:t>
      </w:r>
    </w:p>
    <w:p w:rsidR="00236E18" w:rsidRPr="00993C93" w:rsidRDefault="00236E18" w:rsidP="00236E18">
      <w:pPr>
        <w:tabs>
          <w:tab w:val="left" w:pos="567"/>
        </w:tabs>
        <w:autoSpaceDE w:val="0"/>
        <w:autoSpaceDN w:val="0"/>
        <w:adjustRightInd w:val="0"/>
        <w:rPr>
          <w:sz w:val="20"/>
          <w:szCs w:val="22"/>
        </w:rPr>
      </w:pPr>
    </w:p>
    <w:p w:rsidR="00236E18" w:rsidRPr="00115879" w:rsidRDefault="00236E18" w:rsidP="00236E18">
      <w:pPr>
        <w:pStyle w:val="ListParagraph"/>
        <w:numPr>
          <w:ilvl w:val="0"/>
          <w:numId w:val="27"/>
        </w:numPr>
        <w:tabs>
          <w:tab w:val="left" w:pos="709"/>
        </w:tabs>
        <w:autoSpaceDE w:val="0"/>
        <w:autoSpaceDN w:val="0"/>
        <w:adjustRightInd w:val="0"/>
        <w:ind w:left="0" w:firstLine="0"/>
        <w:rPr>
          <w:rFonts w:ascii="Arial" w:hAnsi="Arial" w:cs="Arial"/>
          <w:sz w:val="20"/>
          <w:lang w:val="es-ES"/>
        </w:rPr>
      </w:pPr>
      <w:r w:rsidRPr="00115879">
        <w:rPr>
          <w:rFonts w:ascii="Arial" w:hAnsi="Arial" w:cs="Arial"/>
          <w:sz w:val="20"/>
          <w:lang w:val="es-ES"/>
        </w:rPr>
        <w:t xml:space="preserve">La OMPI contribuye a la creación de la infraestructura mundial de P.I. proporcionando conocimientos de P.I. en forma de bienes públicos, disponibles por medio de las bases de datos mundiales.  Las bases </w:t>
      </w:r>
      <w:r>
        <w:rPr>
          <w:rFonts w:ascii="Arial" w:hAnsi="Arial" w:cs="Arial"/>
          <w:sz w:val="20"/>
          <w:lang w:val="es-ES"/>
        </w:rPr>
        <w:t xml:space="preserve">mundiales </w:t>
      </w:r>
      <w:r w:rsidRPr="00115879">
        <w:rPr>
          <w:rFonts w:ascii="Arial" w:hAnsi="Arial" w:cs="Arial"/>
          <w:sz w:val="20"/>
          <w:lang w:val="es-ES"/>
        </w:rPr>
        <w:t xml:space="preserve">de datos de la OMPI (PATENTSCOPE, Base Mundial de Datos sobre Marcas y Base Mundial de Datos sobre </w:t>
      </w:r>
      <w:r>
        <w:rPr>
          <w:rFonts w:ascii="Arial" w:hAnsi="Arial" w:cs="Arial"/>
          <w:sz w:val="20"/>
          <w:lang w:val="es-ES"/>
        </w:rPr>
        <w:t>Dibujos y Modelos Industriales</w:t>
      </w:r>
      <w:r w:rsidRPr="00115879">
        <w:rPr>
          <w:rFonts w:ascii="Arial" w:hAnsi="Arial" w:cs="Arial"/>
          <w:sz w:val="20"/>
          <w:lang w:val="es-ES"/>
        </w:rPr>
        <w:t xml:space="preserve">) contienen datos de las colecciones de los Sistemas del PCT, Madrid, Lisboa, </w:t>
      </w:r>
      <w:r>
        <w:rPr>
          <w:rFonts w:ascii="Arial" w:hAnsi="Arial" w:cs="Arial"/>
          <w:sz w:val="20"/>
          <w:lang w:val="es-ES"/>
        </w:rPr>
        <w:t>La Haya</w:t>
      </w:r>
      <w:r w:rsidRPr="00115879">
        <w:rPr>
          <w:rFonts w:ascii="Arial" w:hAnsi="Arial" w:cs="Arial"/>
          <w:sz w:val="20"/>
          <w:lang w:val="es-ES"/>
        </w:rPr>
        <w:t>, y los emblemas protegidos en virtud del artículo 6</w:t>
      </w:r>
      <w:r w:rsidRPr="00115879">
        <w:rPr>
          <w:rFonts w:ascii="Arial" w:hAnsi="Arial" w:cs="Arial"/>
          <w:i/>
          <w:sz w:val="20"/>
          <w:lang w:val="es-ES"/>
        </w:rPr>
        <w:t xml:space="preserve">ter </w:t>
      </w:r>
      <w:r w:rsidRPr="00115879">
        <w:rPr>
          <w:rFonts w:ascii="Arial" w:hAnsi="Arial" w:cs="Arial"/>
          <w:sz w:val="20"/>
          <w:lang w:val="es-ES"/>
        </w:rPr>
        <w:t>del Convenio de París.  Las bases de datos incluyen además las solicitudes o los registros nacionales y regionales que han aportado las Oficinas de P.I. que han acordado cooperar en la ampliación de la cobertura de las bases de datos de la OMPI.  Las bases de datos reducen las lagunas de conocimientos fomentando la utilización de información sobre P.I., también en los países en desarrollo y los PMA, y aportando datos para impulsar la innovación.</w:t>
      </w:r>
    </w:p>
    <w:p w:rsidR="00236E18" w:rsidRPr="00993C93" w:rsidRDefault="00236E18" w:rsidP="00236E18">
      <w:pPr>
        <w:tabs>
          <w:tab w:val="left" w:pos="567"/>
        </w:tabs>
        <w:autoSpaceDE w:val="0"/>
        <w:autoSpaceDN w:val="0"/>
        <w:adjustRightInd w:val="0"/>
        <w:rPr>
          <w:sz w:val="20"/>
          <w:szCs w:val="22"/>
        </w:rPr>
      </w:pPr>
    </w:p>
    <w:p w:rsidR="00236E18" w:rsidRPr="00115879" w:rsidRDefault="00236E18" w:rsidP="00236E18">
      <w:pPr>
        <w:pStyle w:val="ListParagraph"/>
        <w:numPr>
          <w:ilvl w:val="0"/>
          <w:numId w:val="27"/>
        </w:numPr>
        <w:tabs>
          <w:tab w:val="left" w:pos="709"/>
        </w:tabs>
        <w:autoSpaceDE w:val="0"/>
        <w:autoSpaceDN w:val="0"/>
        <w:adjustRightInd w:val="0"/>
        <w:ind w:left="0" w:firstLine="0"/>
        <w:rPr>
          <w:rFonts w:ascii="Arial" w:hAnsi="Arial" w:cs="Arial"/>
          <w:sz w:val="20"/>
          <w:lang w:val="es-ES"/>
        </w:rPr>
      </w:pPr>
      <w:r w:rsidRPr="00115879">
        <w:rPr>
          <w:rFonts w:ascii="Arial" w:hAnsi="Arial" w:cs="Arial"/>
          <w:sz w:val="20"/>
          <w:lang w:val="es-ES"/>
        </w:rPr>
        <w:t>En el marco del programa se publican las solicitudes internacionales PCT y se tiene por meta publicar también las solicitudes de los Sistemas de Madrid</w:t>
      </w:r>
      <w:r>
        <w:rPr>
          <w:rFonts w:ascii="Arial" w:hAnsi="Arial" w:cs="Arial"/>
          <w:sz w:val="20"/>
          <w:lang w:val="es-ES"/>
        </w:rPr>
        <w:t>,</w:t>
      </w:r>
      <w:r w:rsidRPr="00115879">
        <w:rPr>
          <w:rFonts w:ascii="Arial" w:hAnsi="Arial" w:cs="Arial"/>
          <w:sz w:val="20"/>
          <w:lang w:val="es-ES"/>
        </w:rPr>
        <w:t xml:space="preserve"> de </w:t>
      </w:r>
      <w:r>
        <w:rPr>
          <w:rFonts w:ascii="Arial" w:hAnsi="Arial" w:cs="Arial"/>
          <w:sz w:val="20"/>
          <w:lang w:val="es-ES"/>
        </w:rPr>
        <w:t>La Haya y de Lisboa</w:t>
      </w:r>
      <w:r w:rsidRPr="00115879">
        <w:rPr>
          <w:rFonts w:ascii="Arial" w:hAnsi="Arial" w:cs="Arial"/>
          <w:sz w:val="20"/>
          <w:lang w:val="es-ES"/>
        </w:rPr>
        <w:t xml:space="preserve">.  Las Bases Mundiales de la OMPI dan apoyo a los programas </w:t>
      </w:r>
      <w:r>
        <w:rPr>
          <w:rFonts w:ascii="Arial" w:hAnsi="Arial" w:cs="Arial"/>
          <w:sz w:val="20"/>
          <w:lang w:val="es-ES"/>
        </w:rPr>
        <w:t>5 (Sistema del PCT), 6 (Sistema</w:t>
      </w:r>
      <w:r w:rsidRPr="00115879">
        <w:rPr>
          <w:rFonts w:ascii="Arial" w:hAnsi="Arial" w:cs="Arial"/>
          <w:sz w:val="20"/>
          <w:lang w:val="es-ES"/>
        </w:rPr>
        <w:t xml:space="preserve"> de Madrid)</w:t>
      </w:r>
      <w:r>
        <w:rPr>
          <w:rFonts w:ascii="Arial" w:hAnsi="Arial" w:cs="Arial"/>
          <w:sz w:val="20"/>
          <w:lang w:val="es-ES"/>
        </w:rPr>
        <w:t>,</w:t>
      </w:r>
      <w:r w:rsidRPr="00115879">
        <w:rPr>
          <w:rFonts w:ascii="Arial" w:hAnsi="Arial" w:cs="Arial"/>
          <w:sz w:val="20"/>
          <w:lang w:val="es-ES"/>
        </w:rPr>
        <w:t xml:space="preserve"> 31 (Sistema de </w:t>
      </w:r>
      <w:r>
        <w:rPr>
          <w:rFonts w:ascii="Arial" w:hAnsi="Arial" w:cs="Arial"/>
          <w:sz w:val="20"/>
          <w:lang w:val="es-ES"/>
        </w:rPr>
        <w:t>La Haya</w:t>
      </w:r>
      <w:r w:rsidRPr="00115879">
        <w:rPr>
          <w:rFonts w:ascii="Arial" w:hAnsi="Arial" w:cs="Arial"/>
          <w:sz w:val="20"/>
          <w:lang w:val="es-ES"/>
        </w:rPr>
        <w:t>)</w:t>
      </w:r>
      <w:r>
        <w:rPr>
          <w:rFonts w:ascii="Arial" w:hAnsi="Arial" w:cs="Arial"/>
          <w:sz w:val="20"/>
          <w:lang w:val="es-ES"/>
        </w:rPr>
        <w:t xml:space="preserve"> y 32 (Sistema de Lisboa),</w:t>
      </w:r>
      <w:r w:rsidRPr="00115879">
        <w:rPr>
          <w:rFonts w:ascii="Arial" w:hAnsi="Arial" w:cs="Arial"/>
          <w:sz w:val="20"/>
          <w:lang w:val="es-ES"/>
        </w:rPr>
        <w:t xml:space="preserve"> y contribuyen a la aplicación de la recomendación 8 de la A</w:t>
      </w:r>
      <w:r>
        <w:rPr>
          <w:rFonts w:ascii="Arial" w:hAnsi="Arial" w:cs="Arial"/>
          <w:sz w:val="20"/>
          <w:lang w:val="es-ES"/>
        </w:rPr>
        <w:t>genda para el Desarrollo</w:t>
      </w:r>
      <w:r w:rsidRPr="00115879">
        <w:rPr>
          <w:rFonts w:ascii="Arial" w:hAnsi="Arial" w:cs="Arial"/>
          <w:sz w:val="20"/>
          <w:lang w:val="es-ES"/>
        </w:rPr>
        <w:t>.</w:t>
      </w:r>
    </w:p>
    <w:p w:rsidR="00236E18" w:rsidRPr="00993C93" w:rsidRDefault="00236E18" w:rsidP="00236E18">
      <w:pPr>
        <w:autoSpaceDE w:val="0"/>
        <w:autoSpaceDN w:val="0"/>
        <w:adjustRightInd w:val="0"/>
        <w:rPr>
          <w:sz w:val="20"/>
          <w:szCs w:val="22"/>
        </w:rPr>
      </w:pPr>
    </w:p>
    <w:p w:rsidR="00236E18" w:rsidRPr="00993C93" w:rsidRDefault="00236E18" w:rsidP="00236E18">
      <w:pPr>
        <w:autoSpaceDE w:val="0"/>
        <w:autoSpaceDN w:val="0"/>
        <w:adjustRightInd w:val="0"/>
        <w:rPr>
          <w:sz w:val="20"/>
          <w:szCs w:val="22"/>
        </w:rPr>
      </w:pPr>
    </w:p>
    <w:p w:rsidR="00236E18" w:rsidRPr="00993C93" w:rsidRDefault="00236E18" w:rsidP="00236E18">
      <w:pPr>
        <w:rPr>
          <w:bCs/>
          <w:szCs w:val="22"/>
        </w:rPr>
      </w:pPr>
      <w:r w:rsidRPr="00993C93">
        <w:rPr>
          <w:bCs/>
          <w:szCs w:val="22"/>
        </w:rPr>
        <w:t>ESTRATEGIAS DE EJECUCIÓN</w:t>
      </w:r>
    </w:p>
    <w:p w:rsidR="00236E18" w:rsidRPr="00993C93" w:rsidRDefault="00236E18" w:rsidP="00236E18">
      <w:pPr>
        <w:rPr>
          <w:b/>
          <w:bCs/>
          <w:sz w:val="20"/>
        </w:rPr>
      </w:pPr>
    </w:p>
    <w:p w:rsidR="00236E18" w:rsidRPr="00115879" w:rsidRDefault="00236E18" w:rsidP="00236E18">
      <w:pPr>
        <w:pStyle w:val="ListParagraph"/>
        <w:numPr>
          <w:ilvl w:val="0"/>
          <w:numId w:val="27"/>
        </w:numPr>
        <w:tabs>
          <w:tab w:val="left" w:pos="709"/>
        </w:tabs>
        <w:autoSpaceDE w:val="0"/>
        <w:autoSpaceDN w:val="0"/>
        <w:adjustRightInd w:val="0"/>
        <w:ind w:left="0" w:firstLine="0"/>
        <w:rPr>
          <w:rFonts w:ascii="Arial" w:hAnsi="Arial" w:cs="Arial"/>
          <w:sz w:val="20"/>
          <w:szCs w:val="20"/>
          <w:lang w:val="es-ES"/>
        </w:rPr>
      </w:pPr>
      <w:r w:rsidRPr="00115879">
        <w:rPr>
          <w:rFonts w:ascii="Arial" w:hAnsi="Arial" w:cs="Arial"/>
          <w:sz w:val="20"/>
          <w:lang w:val="es-ES"/>
        </w:rPr>
        <w:t xml:space="preserve">La OMPI seguirá ampliando las bases de datos en lo que respecta a la cobertura geográfica de las colecciones nacionales de datos y mejorando la calidad de los datos y la puntualidad de las actualizaciones.  Se seguirán perfeccionando las complejas herramientas de búsqueda de la OMPI para ayudar a los innovadores y a otros usuarios a efectuar búsquedas y analizar datos de P.I.  En particular, se seguirá mejorando la búsqueda plurilingüe de patentes (la herramienta CLIR), la herramienta de traducción automática </w:t>
      </w:r>
      <w:r w:rsidRPr="00A47448">
        <w:rPr>
          <w:rFonts w:ascii="Arial" w:hAnsi="Arial" w:cs="Arial"/>
          <w:i/>
          <w:sz w:val="20"/>
          <w:lang w:val="es-ES"/>
        </w:rPr>
        <w:t xml:space="preserve">WIPO </w:t>
      </w:r>
      <w:proofErr w:type="spellStart"/>
      <w:r w:rsidRPr="00A47448">
        <w:rPr>
          <w:rFonts w:ascii="Arial" w:hAnsi="Arial" w:cs="Arial"/>
          <w:i/>
          <w:sz w:val="20"/>
          <w:lang w:val="es-ES"/>
        </w:rPr>
        <w:t>Translate</w:t>
      </w:r>
      <w:proofErr w:type="spellEnd"/>
      <w:r w:rsidRPr="00115879">
        <w:rPr>
          <w:rFonts w:ascii="Arial" w:hAnsi="Arial" w:cs="Arial"/>
          <w:sz w:val="20"/>
          <w:lang w:val="es-ES"/>
        </w:rPr>
        <w:t xml:space="preserve"> y el sistema de recuperación de imágenes a partir de los contenidos para marcas visualmente similares.  También se investigará la posibilidad de buscar unidades complejas (como fórmulas químicas) en los textos de patentes disponibles en PATENTSCOPE.</w:t>
      </w:r>
    </w:p>
    <w:p w:rsidR="00236E18" w:rsidRPr="00993C93" w:rsidRDefault="00236E18" w:rsidP="00236E18">
      <w:pPr>
        <w:autoSpaceDE w:val="0"/>
        <w:autoSpaceDN w:val="0"/>
        <w:adjustRightInd w:val="0"/>
        <w:rPr>
          <w:sz w:val="20"/>
        </w:rPr>
      </w:pPr>
    </w:p>
    <w:p w:rsidR="00236E18" w:rsidRPr="00115879" w:rsidRDefault="00236E18" w:rsidP="00236E18">
      <w:pPr>
        <w:pStyle w:val="ListParagraph"/>
        <w:numPr>
          <w:ilvl w:val="0"/>
          <w:numId w:val="27"/>
        </w:numPr>
        <w:tabs>
          <w:tab w:val="left" w:pos="709"/>
        </w:tabs>
        <w:autoSpaceDE w:val="0"/>
        <w:autoSpaceDN w:val="0"/>
        <w:adjustRightInd w:val="0"/>
        <w:ind w:left="0" w:firstLine="0"/>
        <w:rPr>
          <w:rFonts w:ascii="Arial" w:hAnsi="Arial" w:cs="Arial"/>
          <w:sz w:val="20"/>
          <w:lang w:val="es-ES"/>
        </w:rPr>
      </w:pPr>
      <w:r w:rsidRPr="00115879">
        <w:rPr>
          <w:rFonts w:ascii="Arial" w:hAnsi="Arial" w:cs="Arial"/>
          <w:b/>
          <w:bCs/>
          <w:sz w:val="20"/>
          <w:szCs w:val="20"/>
          <w:lang w:val="es-ES"/>
        </w:rPr>
        <w:t>PATENTSCOPE</w:t>
      </w:r>
      <w:r w:rsidRPr="00115879">
        <w:rPr>
          <w:rFonts w:ascii="Arial" w:hAnsi="Arial" w:cs="Arial"/>
          <w:b/>
          <w:bCs/>
          <w:sz w:val="20"/>
          <w:lang w:val="es-ES"/>
        </w:rPr>
        <w:t xml:space="preserve">:  </w:t>
      </w:r>
      <w:r w:rsidRPr="00115879">
        <w:rPr>
          <w:rFonts w:ascii="Arial" w:hAnsi="Arial" w:cs="Arial"/>
          <w:sz w:val="20"/>
          <w:szCs w:val="20"/>
          <w:lang w:val="es-ES"/>
        </w:rPr>
        <w:t>PATENTSCOPE</w:t>
      </w:r>
      <w:r w:rsidRPr="00115879">
        <w:rPr>
          <w:rFonts w:ascii="Arial" w:hAnsi="Arial" w:cs="Arial"/>
          <w:sz w:val="20"/>
          <w:lang w:val="es-ES"/>
        </w:rPr>
        <w:t xml:space="preserve"> no es solamente la base de datos mundial sobre patentes que abarca las colecciones nacionales y regionales de datos sobre patentes, sino también el mecanismo jurídico para cumplir la obligación convencional en virtud del PCT, a saber, la publicación internacional de solicitudes PCT.  </w:t>
      </w:r>
      <w:r w:rsidRPr="00115879">
        <w:rPr>
          <w:rFonts w:ascii="Arial" w:hAnsi="Arial" w:cs="Arial"/>
          <w:sz w:val="20"/>
          <w:szCs w:val="20"/>
          <w:lang w:val="es-ES"/>
        </w:rPr>
        <w:t>Se utilizarán los procesos de conversión de la OMPI para el reconocimiento óptico de caracteres a fin de convertir en texto íntegro las colecciones nacionales de datos</w:t>
      </w:r>
      <w:r w:rsidRPr="00115879">
        <w:rPr>
          <w:rFonts w:ascii="Arial" w:hAnsi="Arial" w:cs="Arial"/>
          <w:sz w:val="20"/>
          <w:lang w:val="es-ES"/>
        </w:rPr>
        <w:t>.  El sistema continuará ampliándose para que abarque unas 50 colecciones de datos nacionales o regionales y 50 millones de invenciones a finales del bienio.  Entre los principales retos figuran los de tramitar el elevado volumen de datos y mejorar la calidad de los datos recibidos, velar por la puntualidad y la integridad de los datos difundidos, superar los obstáculos lingüísticos mediante las complejas herramientas de traducción y ampliar al máximo el número de colecciones nacionales.  Se pondrá a disposición del público información sobre los expedientes mediante enlaces a WIPO-CASE y a otros sistemas de expedientes, mundiales y de carácter público, de oficinas de P.I.  Por último, se llevará a cabo un estudio para evaluar la viabilidad de indexar publicaciones científicas de acceso libre en PATENTSCOPE para facilitar la búsqueda del estado de la técnica en publicaciones distintas de las de patentes.</w:t>
      </w:r>
    </w:p>
    <w:p w:rsidR="00236E18" w:rsidRPr="00993C93" w:rsidRDefault="00236E18" w:rsidP="00236E18">
      <w:pPr>
        <w:autoSpaceDE w:val="0"/>
        <w:autoSpaceDN w:val="0"/>
        <w:adjustRightInd w:val="0"/>
        <w:rPr>
          <w:sz w:val="20"/>
        </w:rPr>
      </w:pPr>
    </w:p>
    <w:p w:rsidR="00236E18" w:rsidRPr="00115879" w:rsidRDefault="00236E18" w:rsidP="00236E18">
      <w:pPr>
        <w:pStyle w:val="ListParagraph"/>
        <w:numPr>
          <w:ilvl w:val="0"/>
          <w:numId w:val="27"/>
        </w:numPr>
        <w:tabs>
          <w:tab w:val="left" w:pos="709"/>
        </w:tabs>
        <w:autoSpaceDE w:val="0"/>
        <w:autoSpaceDN w:val="0"/>
        <w:adjustRightInd w:val="0"/>
        <w:ind w:left="0" w:firstLine="0"/>
        <w:rPr>
          <w:rFonts w:ascii="Arial" w:hAnsi="Arial" w:cs="Arial"/>
          <w:sz w:val="20"/>
          <w:szCs w:val="20"/>
          <w:lang w:val="es-ES"/>
        </w:rPr>
      </w:pPr>
      <w:r w:rsidRPr="00115879">
        <w:rPr>
          <w:rFonts w:ascii="Arial" w:hAnsi="Arial" w:cs="Arial"/>
          <w:b/>
          <w:sz w:val="20"/>
          <w:szCs w:val="20"/>
          <w:lang w:val="es-ES"/>
        </w:rPr>
        <w:t>BASE MUNDIAL DE LA OMPI DE DATOS SOBRE MARCAS</w:t>
      </w:r>
      <w:r>
        <w:rPr>
          <w:rFonts w:ascii="Arial" w:hAnsi="Arial" w:cs="Arial"/>
          <w:b/>
          <w:sz w:val="20"/>
          <w:szCs w:val="20"/>
          <w:lang w:val="es-ES"/>
        </w:rPr>
        <w:t xml:space="preserve"> (GBD)</w:t>
      </w:r>
      <w:proofErr w:type="gramStart"/>
      <w:r w:rsidRPr="00115879">
        <w:rPr>
          <w:rFonts w:ascii="Arial" w:hAnsi="Arial" w:cs="Arial"/>
          <w:sz w:val="20"/>
          <w:szCs w:val="20"/>
          <w:lang w:val="es-ES"/>
        </w:rPr>
        <w:t>:  La</w:t>
      </w:r>
      <w:proofErr w:type="gramEnd"/>
      <w:r w:rsidRPr="00115879">
        <w:rPr>
          <w:rFonts w:ascii="Arial" w:hAnsi="Arial" w:cs="Arial"/>
          <w:sz w:val="20"/>
          <w:szCs w:val="20"/>
          <w:lang w:val="es-ES"/>
        </w:rPr>
        <w:t xml:space="preserve"> base de datos que contiene los registros internacionales en virtud de los Sistemas de Madrid y Lisboa, varias colecciones nacionales y regionales de datos sobre marcas y los emblemas protegidos en virtud del artículo 6</w:t>
      </w:r>
      <w:r w:rsidRPr="00115879">
        <w:rPr>
          <w:rFonts w:ascii="Arial" w:hAnsi="Arial" w:cs="Arial"/>
          <w:i/>
          <w:sz w:val="20"/>
          <w:szCs w:val="20"/>
          <w:lang w:val="es-ES"/>
        </w:rPr>
        <w:t>ter</w:t>
      </w:r>
      <w:r w:rsidRPr="00115879">
        <w:rPr>
          <w:rFonts w:ascii="Arial" w:hAnsi="Arial" w:cs="Arial"/>
          <w:sz w:val="20"/>
          <w:szCs w:val="20"/>
          <w:lang w:val="es-ES"/>
        </w:rPr>
        <w:t xml:space="preserve"> del Convenio de París, se perfeccionarán para dar cabida a unas 30 colecciones nacionales de datos durante el bienio.  Entre los principales retos figura la carga de mayor número de datos en diferentes formatos y la aplicación de un sistema de búsqueda eficaz que permita encontrar marcas similares en función de su imagen.  </w:t>
      </w:r>
    </w:p>
    <w:p w:rsidR="00236E18" w:rsidRPr="00993C93" w:rsidRDefault="00236E18" w:rsidP="00236E18">
      <w:pPr>
        <w:autoSpaceDE w:val="0"/>
        <w:autoSpaceDN w:val="0"/>
        <w:adjustRightInd w:val="0"/>
        <w:rPr>
          <w:sz w:val="20"/>
        </w:rPr>
      </w:pPr>
    </w:p>
    <w:p w:rsidR="00236E18" w:rsidRDefault="00236E18" w:rsidP="00236E18">
      <w:pPr>
        <w:pStyle w:val="ListParagraph"/>
        <w:numPr>
          <w:ilvl w:val="0"/>
          <w:numId w:val="27"/>
        </w:numPr>
        <w:tabs>
          <w:tab w:val="left" w:pos="709"/>
        </w:tabs>
        <w:autoSpaceDE w:val="0"/>
        <w:autoSpaceDN w:val="0"/>
        <w:adjustRightInd w:val="0"/>
        <w:ind w:left="0" w:firstLine="0"/>
        <w:rPr>
          <w:rFonts w:ascii="Arial" w:hAnsi="Arial" w:cs="Arial"/>
          <w:sz w:val="20"/>
          <w:szCs w:val="20"/>
          <w:lang w:val="es-ES"/>
        </w:rPr>
      </w:pPr>
      <w:r w:rsidRPr="00115879">
        <w:rPr>
          <w:rFonts w:ascii="Arial" w:hAnsi="Arial" w:cs="Arial"/>
          <w:b/>
          <w:bCs/>
          <w:sz w:val="20"/>
          <w:szCs w:val="20"/>
          <w:lang w:val="es-ES"/>
        </w:rPr>
        <w:t>BASE MUNDIAL DE LA OMPI DE DATOS SOBRE DISEÑOS</w:t>
      </w:r>
      <w:r>
        <w:rPr>
          <w:rFonts w:ascii="Arial" w:hAnsi="Arial" w:cs="Arial"/>
          <w:b/>
          <w:bCs/>
          <w:sz w:val="20"/>
          <w:szCs w:val="20"/>
          <w:lang w:val="es-ES"/>
        </w:rPr>
        <w:t xml:space="preserve"> (GDD)</w:t>
      </w:r>
      <w:proofErr w:type="gramStart"/>
      <w:r w:rsidRPr="00115879">
        <w:rPr>
          <w:rFonts w:ascii="Arial" w:hAnsi="Arial" w:cs="Arial"/>
          <w:sz w:val="20"/>
          <w:szCs w:val="20"/>
          <w:lang w:val="es-ES"/>
        </w:rPr>
        <w:t>:  La</w:t>
      </w:r>
      <w:proofErr w:type="gramEnd"/>
      <w:r w:rsidRPr="00115879">
        <w:rPr>
          <w:rFonts w:ascii="Arial" w:hAnsi="Arial" w:cs="Arial"/>
          <w:sz w:val="20"/>
          <w:szCs w:val="20"/>
          <w:lang w:val="es-ES"/>
        </w:rPr>
        <w:t xml:space="preserve"> base de datos que contiene registros internacionales en virtud del Sistema de </w:t>
      </w:r>
      <w:r>
        <w:rPr>
          <w:rFonts w:ascii="Arial" w:hAnsi="Arial" w:cs="Arial"/>
          <w:sz w:val="20"/>
          <w:szCs w:val="20"/>
          <w:lang w:val="es-ES"/>
        </w:rPr>
        <w:t>La Haya</w:t>
      </w:r>
      <w:r w:rsidRPr="00115879">
        <w:rPr>
          <w:rFonts w:ascii="Arial" w:hAnsi="Arial" w:cs="Arial"/>
          <w:sz w:val="20"/>
          <w:szCs w:val="20"/>
          <w:lang w:val="es-ES"/>
        </w:rPr>
        <w:t xml:space="preserve"> y las colecciones nacionales y regionales de datos sobre diseños se seguirán perfeccionando para dar cabida a unas 10 colecciones de datos nacionales durante el bienio.  Entre los principales retos figura la carga de imágenes en distintos </w:t>
      </w:r>
      <w:r w:rsidRPr="00115879">
        <w:rPr>
          <w:rFonts w:ascii="Arial" w:hAnsi="Arial" w:cs="Arial"/>
          <w:sz w:val="20"/>
          <w:szCs w:val="20"/>
          <w:lang w:val="es-ES"/>
        </w:rPr>
        <w:lastRenderedPageBreak/>
        <w:t xml:space="preserve">formatos y la aplicación de un sistema de búsqueda de la similitud de las imágenes respecto de los diseños registrados en dos dimensiones (clase 32 de la Clasificación de </w:t>
      </w:r>
      <w:proofErr w:type="spellStart"/>
      <w:r w:rsidRPr="00115879">
        <w:rPr>
          <w:rFonts w:ascii="Arial" w:hAnsi="Arial" w:cs="Arial"/>
          <w:sz w:val="20"/>
          <w:szCs w:val="20"/>
          <w:lang w:val="es-ES"/>
        </w:rPr>
        <w:t>Locarno</w:t>
      </w:r>
      <w:proofErr w:type="spellEnd"/>
      <w:r w:rsidRPr="00115879">
        <w:rPr>
          <w:rFonts w:ascii="Arial" w:hAnsi="Arial" w:cs="Arial"/>
          <w:sz w:val="20"/>
          <w:szCs w:val="20"/>
          <w:lang w:val="es-ES"/>
        </w:rPr>
        <w:t>).</w:t>
      </w:r>
    </w:p>
    <w:p w:rsidR="00236E18" w:rsidRDefault="00236E18" w:rsidP="00236E18">
      <w:pPr>
        <w:pStyle w:val="ListParagraph"/>
        <w:tabs>
          <w:tab w:val="left" w:pos="709"/>
        </w:tabs>
        <w:autoSpaceDE w:val="0"/>
        <w:autoSpaceDN w:val="0"/>
        <w:adjustRightInd w:val="0"/>
        <w:ind w:left="0"/>
        <w:rPr>
          <w:rFonts w:ascii="Arial" w:hAnsi="Arial" w:cs="Arial"/>
          <w:sz w:val="20"/>
          <w:szCs w:val="20"/>
          <w:lang w:val="es-ES"/>
        </w:rPr>
      </w:pPr>
    </w:p>
    <w:p w:rsidR="00236E18" w:rsidRPr="007E09B2" w:rsidRDefault="00236E18" w:rsidP="00236E18">
      <w:pPr>
        <w:pStyle w:val="ListParagraph"/>
        <w:numPr>
          <w:ilvl w:val="0"/>
          <w:numId w:val="27"/>
        </w:numPr>
        <w:tabs>
          <w:tab w:val="left" w:pos="709"/>
        </w:tabs>
        <w:autoSpaceDE w:val="0"/>
        <w:autoSpaceDN w:val="0"/>
        <w:adjustRightInd w:val="0"/>
        <w:ind w:left="0" w:firstLine="0"/>
        <w:rPr>
          <w:rFonts w:ascii="Arial" w:hAnsi="Arial" w:cs="Arial"/>
          <w:sz w:val="20"/>
          <w:szCs w:val="20"/>
          <w:lang w:val="es-ES"/>
        </w:rPr>
      </w:pPr>
      <w:r>
        <w:rPr>
          <w:rFonts w:ascii="Arial" w:hAnsi="Arial" w:cs="Arial"/>
          <w:color w:val="000000"/>
          <w:sz w:val="20"/>
          <w:szCs w:val="20"/>
          <w:lang w:val="es-ES"/>
        </w:rPr>
        <w:t>El p</w:t>
      </w:r>
      <w:r w:rsidRPr="007E09B2">
        <w:rPr>
          <w:rFonts w:ascii="Arial" w:hAnsi="Arial" w:cs="Arial"/>
          <w:color w:val="000000"/>
          <w:sz w:val="20"/>
          <w:szCs w:val="20"/>
          <w:lang w:val="es-ES"/>
        </w:rPr>
        <w:t>rogram</w:t>
      </w:r>
      <w:r>
        <w:rPr>
          <w:rFonts w:ascii="Arial" w:hAnsi="Arial" w:cs="Arial"/>
          <w:color w:val="000000"/>
          <w:sz w:val="20"/>
          <w:szCs w:val="20"/>
          <w:lang w:val="es-ES"/>
        </w:rPr>
        <w:t>a</w:t>
      </w:r>
      <w:r w:rsidRPr="007E09B2">
        <w:rPr>
          <w:rFonts w:ascii="Arial" w:hAnsi="Arial" w:cs="Arial"/>
          <w:color w:val="000000"/>
          <w:sz w:val="20"/>
          <w:szCs w:val="20"/>
          <w:lang w:val="es-ES"/>
        </w:rPr>
        <w:t xml:space="preserve"> 13 colabora</w:t>
      </w:r>
      <w:r>
        <w:rPr>
          <w:rFonts w:ascii="Arial" w:hAnsi="Arial" w:cs="Arial"/>
          <w:color w:val="000000"/>
          <w:sz w:val="20"/>
          <w:szCs w:val="20"/>
          <w:lang w:val="es-ES"/>
        </w:rPr>
        <w:t xml:space="preserve"> principalmente con los programas siguientes</w:t>
      </w:r>
      <w:r w:rsidRPr="007E09B2">
        <w:rPr>
          <w:rFonts w:ascii="Arial" w:hAnsi="Arial" w:cs="Arial"/>
          <w:color w:val="000000"/>
          <w:sz w:val="20"/>
          <w:szCs w:val="20"/>
          <w:lang w:val="es-ES"/>
        </w:rPr>
        <w:t>:</w:t>
      </w:r>
    </w:p>
    <w:p w:rsidR="00236E18" w:rsidRDefault="00236E18" w:rsidP="00236E18">
      <w:pPr>
        <w:rPr>
          <w:bCs/>
          <w:szCs w:val="22"/>
          <w:lang w:val="es-ES_tradnl"/>
        </w:rPr>
      </w:pPr>
    </w:p>
    <w:p w:rsidR="00236E18" w:rsidRPr="006A3CA4" w:rsidRDefault="00236E18" w:rsidP="00236E18">
      <w:pPr>
        <w:rPr>
          <w:bCs/>
          <w:szCs w:val="22"/>
          <w:lang w:val="es-ES_tradnl"/>
        </w:rPr>
      </w:pPr>
    </w:p>
    <w:p w:rsidR="00236E18" w:rsidRPr="006A3CA4" w:rsidRDefault="00236E18" w:rsidP="00236E18">
      <w:pPr>
        <w:tabs>
          <w:tab w:val="left" w:pos="7275"/>
        </w:tabs>
        <w:rPr>
          <w:bCs/>
          <w:sz w:val="20"/>
          <w:szCs w:val="22"/>
          <w:lang w:val="es-ES_tradnl"/>
        </w:rPr>
      </w:pPr>
      <w:r>
        <w:rPr>
          <w:noProof/>
          <w:lang w:val="en-US" w:eastAsia="en-US"/>
        </w:rPr>
        <w:drawing>
          <wp:inline distT="0" distB="0" distL="0" distR="0" wp14:anchorId="16057941" wp14:editId="6B0975F9">
            <wp:extent cx="5940425" cy="1690736"/>
            <wp:effectExtent l="0" t="38100" r="0" b="5080"/>
            <wp:docPr id="1021"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4" r:lo="rId135" r:qs="rId136" r:cs="rId137"/>
              </a:graphicData>
            </a:graphic>
          </wp:inline>
        </w:drawing>
      </w:r>
    </w:p>
    <w:p w:rsidR="00236E18" w:rsidRDefault="00236E18" w:rsidP="00236E18">
      <w:pPr>
        <w:rPr>
          <w:bCs/>
          <w:sz w:val="20"/>
          <w:szCs w:val="22"/>
        </w:rPr>
      </w:pPr>
    </w:p>
    <w:p w:rsidR="00236E18" w:rsidRDefault="00236E18" w:rsidP="00236E18">
      <w:pPr>
        <w:rPr>
          <w:bCs/>
          <w:sz w:val="20"/>
          <w:szCs w:val="22"/>
        </w:rPr>
      </w:pPr>
    </w:p>
    <w:p w:rsidR="00236E18" w:rsidRPr="00993C93" w:rsidRDefault="00236E18" w:rsidP="00236E18">
      <w:pPr>
        <w:rPr>
          <w:bCs/>
          <w:sz w:val="20"/>
          <w:szCs w:val="22"/>
        </w:rPr>
      </w:pPr>
    </w:p>
    <w:p w:rsidR="00236E18" w:rsidRPr="00993C93" w:rsidRDefault="00236E18" w:rsidP="00236E18">
      <w:pPr>
        <w:tabs>
          <w:tab w:val="num" w:pos="709"/>
          <w:tab w:val="left" w:pos="7112"/>
        </w:tabs>
        <w:rPr>
          <w:bCs/>
          <w:szCs w:val="22"/>
        </w:rPr>
      </w:pPr>
      <w:r w:rsidRPr="00993C93">
        <w:rPr>
          <w:bCs/>
          <w:szCs w:val="22"/>
        </w:rPr>
        <w:t>PRINCIPALES RIESGOS Y ESTRATEGIAS DE MITIGACIÓN</w:t>
      </w:r>
    </w:p>
    <w:p w:rsidR="00236E18" w:rsidRPr="00993C93" w:rsidRDefault="00236E18" w:rsidP="00236E18">
      <w:pPr>
        <w:keepNext/>
        <w:keepLines/>
        <w:rPr>
          <w:sz w:val="20"/>
          <w:szCs w:val="22"/>
        </w:rPr>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5103"/>
      </w:tblGrid>
      <w:tr w:rsidR="00236E18" w:rsidRPr="00993C93" w:rsidTr="00294272">
        <w:trPr>
          <w:trHeight w:val="577"/>
        </w:trPr>
        <w:tc>
          <w:tcPr>
            <w:tcW w:w="4253" w:type="dxa"/>
            <w:tcBorders>
              <w:top w:val="single" w:sz="4" w:space="0" w:color="auto"/>
              <w:bottom w:val="single" w:sz="4" w:space="0" w:color="auto"/>
            </w:tcBorders>
            <w:shd w:val="clear" w:color="auto" w:fill="C6D9F1"/>
            <w:vAlign w:val="center"/>
          </w:tcPr>
          <w:p w:rsidR="00236E18" w:rsidRPr="00993C93" w:rsidRDefault="00236E18" w:rsidP="00294272">
            <w:pPr>
              <w:keepNext/>
              <w:keepLines/>
              <w:jc w:val="center"/>
              <w:rPr>
                <w:b/>
                <w:bCs/>
                <w:sz w:val="18"/>
                <w:szCs w:val="18"/>
              </w:rPr>
            </w:pPr>
            <w:r w:rsidRPr="00993C93">
              <w:rPr>
                <w:b/>
                <w:bCs/>
                <w:sz w:val="18"/>
                <w:szCs w:val="18"/>
              </w:rPr>
              <w:t>Riesgo</w:t>
            </w:r>
          </w:p>
        </w:tc>
        <w:tc>
          <w:tcPr>
            <w:tcW w:w="5103" w:type="dxa"/>
            <w:tcBorders>
              <w:top w:val="single" w:sz="4" w:space="0" w:color="auto"/>
              <w:bottom w:val="single" w:sz="4" w:space="0" w:color="auto"/>
            </w:tcBorders>
            <w:shd w:val="clear" w:color="auto" w:fill="C6D9F1"/>
            <w:vAlign w:val="center"/>
          </w:tcPr>
          <w:p w:rsidR="00236E18" w:rsidRPr="00993C93" w:rsidRDefault="00236E18" w:rsidP="00294272">
            <w:pPr>
              <w:keepNext/>
              <w:keepLines/>
              <w:jc w:val="center"/>
              <w:rPr>
                <w:b/>
                <w:bCs/>
                <w:sz w:val="18"/>
                <w:szCs w:val="18"/>
              </w:rPr>
            </w:pPr>
            <w:r w:rsidRPr="00993C93">
              <w:rPr>
                <w:b/>
                <w:bCs/>
                <w:sz w:val="18"/>
                <w:szCs w:val="18"/>
              </w:rPr>
              <w:t>Mitigación</w:t>
            </w:r>
          </w:p>
        </w:tc>
      </w:tr>
      <w:tr w:rsidR="00236E18" w:rsidRPr="00993C93" w:rsidTr="00294272">
        <w:trPr>
          <w:trHeight w:val="720"/>
        </w:trPr>
        <w:tc>
          <w:tcPr>
            <w:tcW w:w="4253"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236E18" w:rsidRPr="00993C93" w:rsidRDefault="00236E18" w:rsidP="00294272">
            <w:pPr>
              <w:keepNext/>
              <w:keepLines/>
              <w:rPr>
                <w:sz w:val="12"/>
                <w:szCs w:val="16"/>
              </w:rPr>
            </w:pPr>
            <w:r w:rsidRPr="00993C93">
              <w:rPr>
                <w:sz w:val="16"/>
              </w:rPr>
              <w:t>Imposibilidad de acceder a las bases de datos mundiales a consecuencia de trastornos en el servicio de Internet o de fallos técnicos en la sede de la OMPI en Ginebra.</w:t>
            </w:r>
          </w:p>
        </w:tc>
        <w:tc>
          <w:tcPr>
            <w:tcW w:w="5103"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236E18" w:rsidRPr="00993C93" w:rsidRDefault="00236E18" w:rsidP="00294272">
            <w:pPr>
              <w:keepNext/>
              <w:keepLines/>
              <w:rPr>
                <w:sz w:val="12"/>
                <w:szCs w:val="16"/>
              </w:rPr>
            </w:pPr>
            <w:r w:rsidRPr="00993C93">
              <w:rPr>
                <w:sz w:val="16"/>
              </w:rPr>
              <w:t>La duplicación del servicio y la diversidad geográfica se lograrán mediante la instalación de servidores espejo para prestar mejores servicios a los usuarios y mantener el acceso a la información en caso de trastornos del servicio en Ginebra.</w:t>
            </w:r>
          </w:p>
        </w:tc>
      </w:tr>
    </w:tbl>
    <w:p w:rsidR="00236E18" w:rsidRPr="00993C93" w:rsidRDefault="00236E18" w:rsidP="00236E18">
      <w:pPr>
        <w:rPr>
          <w:bCs/>
          <w:sz w:val="20"/>
        </w:rPr>
      </w:pPr>
    </w:p>
    <w:p w:rsidR="00236E18" w:rsidRPr="00993C93" w:rsidRDefault="00236E18" w:rsidP="00236E18">
      <w:pPr>
        <w:rPr>
          <w:bCs/>
          <w:sz w:val="20"/>
        </w:rPr>
      </w:pPr>
    </w:p>
    <w:p w:rsidR="00236E18" w:rsidRPr="00993C93" w:rsidRDefault="00236E18" w:rsidP="00236E18">
      <w:pPr>
        <w:tabs>
          <w:tab w:val="left" w:pos="567"/>
          <w:tab w:val="left" w:pos="1985"/>
        </w:tabs>
        <w:rPr>
          <w:bCs/>
        </w:rPr>
      </w:pPr>
      <w:r w:rsidRPr="00993C93">
        <w:rPr>
          <w:bCs/>
        </w:rPr>
        <w:t>MARCO DE RESULTADOS</w:t>
      </w:r>
    </w:p>
    <w:p w:rsidR="00236E18" w:rsidRPr="00993C93" w:rsidRDefault="00236E18" w:rsidP="00236E18">
      <w:pPr>
        <w:tabs>
          <w:tab w:val="left" w:pos="567"/>
          <w:tab w:val="left" w:pos="1985"/>
        </w:tabs>
        <w:rPr>
          <w:bCs/>
          <w:sz w:val="20"/>
        </w:rPr>
      </w:pPr>
    </w:p>
    <w:tbl>
      <w:tblPr>
        <w:tblW w:w="9320" w:type="dxa"/>
        <w:tblInd w:w="93" w:type="dxa"/>
        <w:tblLook w:val="04A0" w:firstRow="1" w:lastRow="0" w:firstColumn="1" w:lastColumn="0" w:noHBand="0" w:noVBand="1"/>
      </w:tblPr>
      <w:tblGrid>
        <w:gridCol w:w="2320"/>
        <w:gridCol w:w="2380"/>
        <w:gridCol w:w="2380"/>
        <w:gridCol w:w="2240"/>
      </w:tblGrid>
      <w:tr w:rsidR="00236E18" w:rsidRPr="00993C93" w:rsidTr="00294272">
        <w:trPr>
          <w:trHeight w:val="510"/>
          <w:tblHeader/>
        </w:trPr>
        <w:tc>
          <w:tcPr>
            <w:tcW w:w="2320" w:type="dxa"/>
            <w:tcBorders>
              <w:top w:val="single" w:sz="4" w:space="0" w:color="auto"/>
              <w:left w:val="single" w:sz="4" w:space="0" w:color="auto"/>
              <w:bottom w:val="single" w:sz="4" w:space="0" w:color="auto"/>
              <w:right w:val="nil"/>
            </w:tcBorders>
            <w:shd w:val="clear" w:color="auto" w:fill="C6D9F1"/>
            <w:vAlign w:val="center"/>
            <w:hideMark/>
          </w:tcPr>
          <w:p w:rsidR="00236E18" w:rsidRPr="00993C93" w:rsidRDefault="00236E18" w:rsidP="00294272">
            <w:pPr>
              <w:rPr>
                <w:b/>
                <w:bCs/>
                <w:sz w:val="18"/>
                <w:szCs w:val="18"/>
              </w:rPr>
            </w:pPr>
            <w:r w:rsidRPr="00993C93">
              <w:rPr>
                <w:b/>
                <w:bCs/>
                <w:sz w:val="18"/>
                <w:szCs w:val="18"/>
              </w:rPr>
              <w:t>Resultados previstos</w:t>
            </w:r>
          </w:p>
        </w:tc>
        <w:tc>
          <w:tcPr>
            <w:tcW w:w="2380" w:type="dxa"/>
            <w:tcBorders>
              <w:top w:val="single" w:sz="4" w:space="0" w:color="auto"/>
              <w:left w:val="nil"/>
              <w:bottom w:val="single" w:sz="4" w:space="0" w:color="auto"/>
              <w:right w:val="nil"/>
            </w:tcBorders>
            <w:shd w:val="clear" w:color="auto" w:fill="C6D9F1"/>
            <w:vAlign w:val="center"/>
            <w:hideMark/>
          </w:tcPr>
          <w:p w:rsidR="00236E18" w:rsidRPr="00993C93" w:rsidRDefault="00236E18" w:rsidP="00294272">
            <w:pPr>
              <w:ind w:left="281"/>
              <w:rPr>
                <w:b/>
                <w:bCs/>
                <w:sz w:val="18"/>
                <w:szCs w:val="18"/>
              </w:rPr>
            </w:pPr>
            <w:r w:rsidRPr="00993C93">
              <w:rPr>
                <w:b/>
                <w:bCs/>
                <w:sz w:val="18"/>
                <w:szCs w:val="18"/>
              </w:rPr>
              <w:t>Indicadores de rendimiento</w:t>
            </w:r>
          </w:p>
        </w:tc>
        <w:tc>
          <w:tcPr>
            <w:tcW w:w="2380" w:type="dxa"/>
            <w:tcBorders>
              <w:top w:val="single" w:sz="4" w:space="0" w:color="auto"/>
              <w:left w:val="nil"/>
              <w:bottom w:val="single" w:sz="4" w:space="0" w:color="auto"/>
              <w:right w:val="nil"/>
            </w:tcBorders>
            <w:shd w:val="clear" w:color="auto" w:fill="C6D9F1"/>
            <w:vAlign w:val="center"/>
            <w:hideMark/>
          </w:tcPr>
          <w:p w:rsidR="00236E18" w:rsidRPr="00993C93" w:rsidRDefault="00236E18" w:rsidP="00294272">
            <w:pPr>
              <w:ind w:left="310"/>
              <w:rPr>
                <w:b/>
                <w:bCs/>
                <w:sz w:val="18"/>
                <w:szCs w:val="18"/>
              </w:rPr>
            </w:pPr>
            <w:r w:rsidRPr="00993C93">
              <w:rPr>
                <w:b/>
                <w:bCs/>
                <w:sz w:val="18"/>
                <w:szCs w:val="18"/>
              </w:rPr>
              <w:t>Referencia</w:t>
            </w:r>
          </w:p>
        </w:tc>
        <w:tc>
          <w:tcPr>
            <w:tcW w:w="2240" w:type="dxa"/>
            <w:tcBorders>
              <w:top w:val="single" w:sz="4" w:space="0" w:color="auto"/>
              <w:left w:val="nil"/>
              <w:bottom w:val="single" w:sz="4" w:space="0" w:color="auto"/>
              <w:right w:val="single" w:sz="4" w:space="0" w:color="auto"/>
            </w:tcBorders>
            <w:shd w:val="clear" w:color="auto" w:fill="C6D9F1"/>
            <w:vAlign w:val="center"/>
            <w:hideMark/>
          </w:tcPr>
          <w:p w:rsidR="00236E18" w:rsidRPr="00993C93" w:rsidRDefault="00236E18" w:rsidP="00294272">
            <w:pPr>
              <w:rPr>
                <w:b/>
                <w:bCs/>
                <w:sz w:val="18"/>
                <w:szCs w:val="18"/>
              </w:rPr>
            </w:pPr>
            <w:r w:rsidRPr="00993C93">
              <w:rPr>
                <w:b/>
                <w:bCs/>
                <w:sz w:val="18"/>
                <w:szCs w:val="18"/>
              </w:rPr>
              <w:t>Objetivos</w:t>
            </w:r>
          </w:p>
        </w:tc>
      </w:tr>
      <w:tr w:rsidR="00236E18" w:rsidRPr="00993C93" w:rsidTr="00294272">
        <w:trPr>
          <w:trHeight w:val="1212"/>
        </w:trPr>
        <w:tc>
          <w:tcPr>
            <w:tcW w:w="2320" w:type="dxa"/>
            <w:vMerge w:val="restart"/>
            <w:tcBorders>
              <w:top w:val="nil"/>
              <w:left w:val="single" w:sz="4" w:space="0" w:color="auto"/>
              <w:bottom w:val="nil"/>
              <w:right w:val="nil"/>
            </w:tcBorders>
            <w:shd w:val="clear" w:color="000000" w:fill="FFFFFF"/>
            <w:hideMark/>
          </w:tcPr>
          <w:p w:rsidR="00236E18" w:rsidRPr="007E09B2" w:rsidRDefault="00236E18" w:rsidP="00294272">
            <w:pPr>
              <w:rPr>
                <w:sz w:val="16"/>
                <w:szCs w:val="16"/>
              </w:rPr>
            </w:pPr>
          </w:p>
          <w:p w:rsidR="00236E18" w:rsidRPr="007E09B2" w:rsidRDefault="00236E18" w:rsidP="00294272">
            <w:pPr>
              <w:rPr>
                <w:sz w:val="16"/>
                <w:szCs w:val="16"/>
              </w:rPr>
            </w:pPr>
            <w:r w:rsidRPr="007E09B2">
              <w:rPr>
                <w:sz w:val="16"/>
                <w:szCs w:val="16"/>
              </w:rPr>
              <w:t xml:space="preserve">IV.2  </w:t>
            </w:r>
            <w:r w:rsidRPr="007E09B2">
              <w:rPr>
                <w:sz w:val="16"/>
                <w:szCs w:val="16"/>
                <w:lang w:val="es-ES_tradnl"/>
              </w:rPr>
              <w:t>Mejora del acceso y uso de información de P.I. por parte de instituciones de P.I. y el público para fomentar la innovación y la creatividad</w:t>
            </w:r>
          </w:p>
        </w:tc>
        <w:tc>
          <w:tcPr>
            <w:tcW w:w="2380" w:type="dxa"/>
            <w:tcBorders>
              <w:top w:val="nil"/>
              <w:left w:val="nil"/>
              <w:bottom w:val="nil"/>
              <w:right w:val="nil"/>
            </w:tcBorders>
            <w:shd w:val="clear" w:color="000000" w:fill="FFFFFF"/>
            <w:hideMark/>
          </w:tcPr>
          <w:p w:rsidR="00236E18" w:rsidRPr="00993C93" w:rsidRDefault="00236E18" w:rsidP="00294272">
            <w:pPr>
              <w:ind w:left="281" w:firstLineChars="200" w:firstLine="320"/>
              <w:rPr>
                <w:sz w:val="16"/>
                <w:szCs w:val="16"/>
              </w:rPr>
            </w:pPr>
          </w:p>
          <w:p w:rsidR="00236E18" w:rsidRPr="00993C93" w:rsidRDefault="00236E18" w:rsidP="00294272">
            <w:pPr>
              <w:ind w:left="-3"/>
              <w:rPr>
                <w:sz w:val="16"/>
                <w:szCs w:val="16"/>
              </w:rPr>
            </w:pPr>
            <w:r w:rsidRPr="00993C93">
              <w:rPr>
                <w:sz w:val="16"/>
                <w:szCs w:val="16"/>
              </w:rPr>
              <w:t>N</w:t>
            </w:r>
            <w:r>
              <w:rPr>
                <w:sz w:val="16"/>
                <w:szCs w:val="16"/>
              </w:rPr>
              <w:t>º</w:t>
            </w:r>
            <w:r w:rsidRPr="00993C93">
              <w:rPr>
                <w:sz w:val="16"/>
                <w:szCs w:val="16"/>
              </w:rPr>
              <w:t xml:space="preserve"> de usuarios por trimestre en todos los sistemas de bases de datos mundiales.</w:t>
            </w:r>
          </w:p>
          <w:p w:rsidR="00236E18" w:rsidRPr="00993C93" w:rsidRDefault="00236E18" w:rsidP="00294272">
            <w:pPr>
              <w:ind w:left="281"/>
              <w:rPr>
                <w:sz w:val="16"/>
                <w:szCs w:val="16"/>
              </w:rPr>
            </w:pPr>
          </w:p>
        </w:tc>
        <w:tc>
          <w:tcPr>
            <w:tcW w:w="2380" w:type="dxa"/>
            <w:tcBorders>
              <w:top w:val="nil"/>
              <w:left w:val="nil"/>
              <w:bottom w:val="nil"/>
              <w:right w:val="nil"/>
            </w:tcBorders>
            <w:shd w:val="clear" w:color="000000" w:fill="FFFFFF"/>
            <w:hideMark/>
          </w:tcPr>
          <w:p w:rsidR="00236E18" w:rsidRPr="00993C93" w:rsidRDefault="00236E18" w:rsidP="00294272">
            <w:pPr>
              <w:ind w:left="310" w:firstLineChars="200" w:firstLine="320"/>
              <w:rPr>
                <w:sz w:val="16"/>
                <w:szCs w:val="16"/>
              </w:rPr>
            </w:pPr>
          </w:p>
          <w:p w:rsidR="00236E18" w:rsidRPr="00993C93" w:rsidRDefault="00236E18" w:rsidP="00294272">
            <w:pPr>
              <w:ind w:left="310"/>
              <w:rPr>
                <w:sz w:val="16"/>
                <w:szCs w:val="16"/>
              </w:rPr>
            </w:pPr>
            <w:r w:rsidRPr="00993C93">
              <w:rPr>
                <w:sz w:val="16"/>
                <w:szCs w:val="16"/>
              </w:rPr>
              <w:t>Usuarios distintos (4</w:t>
            </w:r>
            <w:r>
              <w:rPr>
                <w:sz w:val="16"/>
                <w:szCs w:val="16"/>
              </w:rPr>
              <w:t>ºtrim.</w:t>
            </w:r>
            <w:r w:rsidRPr="00993C93">
              <w:rPr>
                <w:sz w:val="16"/>
                <w:szCs w:val="16"/>
              </w:rPr>
              <w:t xml:space="preserve"> 2014) PATENTSCOPE 592.000; GBD 49.000; GDD </w:t>
            </w:r>
            <w:proofErr w:type="spellStart"/>
            <w:r>
              <w:rPr>
                <w:sz w:val="16"/>
                <w:szCs w:val="16"/>
              </w:rPr>
              <w:t>n.d</w:t>
            </w:r>
            <w:proofErr w:type="spellEnd"/>
            <w:r>
              <w:rPr>
                <w:sz w:val="16"/>
                <w:szCs w:val="16"/>
              </w:rPr>
              <w:t>.</w:t>
            </w:r>
          </w:p>
        </w:tc>
        <w:tc>
          <w:tcPr>
            <w:tcW w:w="2240" w:type="dxa"/>
            <w:tcBorders>
              <w:top w:val="nil"/>
              <w:left w:val="nil"/>
              <w:bottom w:val="nil"/>
              <w:right w:val="single" w:sz="4" w:space="0" w:color="auto"/>
            </w:tcBorders>
            <w:shd w:val="clear" w:color="000000" w:fill="FFFFFF"/>
            <w:hideMark/>
          </w:tcPr>
          <w:p w:rsidR="00236E18" w:rsidRPr="00993C93" w:rsidRDefault="00236E18" w:rsidP="00294272">
            <w:pPr>
              <w:ind w:left="340" w:firstLineChars="200" w:firstLine="320"/>
              <w:rPr>
                <w:sz w:val="16"/>
                <w:szCs w:val="16"/>
              </w:rPr>
            </w:pPr>
          </w:p>
          <w:p w:rsidR="00236E18" w:rsidRPr="00993C93" w:rsidRDefault="00236E18" w:rsidP="00294272">
            <w:pPr>
              <w:ind w:left="340"/>
              <w:rPr>
                <w:sz w:val="16"/>
                <w:szCs w:val="16"/>
              </w:rPr>
            </w:pPr>
            <w:r w:rsidRPr="00993C93">
              <w:rPr>
                <w:sz w:val="16"/>
                <w:szCs w:val="16"/>
              </w:rPr>
              <w:t>PATENTSCOPE 650.000; GBD 70.000; GDD 15.000</w:t>
            </w:r>
          </w:p>
        </w:tc>
      </w:tr>
      <w:tr w:rsidR="00236E18" w:rsidRPr="00993C93" w:rsidTr="00294272">
        <w:trPr>
          <w:trHeight w:val="810"/>
        </w:trPr>
        <w:tc>
          <w:tcPr>
            <w:tcW w:w="2320" w:type="dxa"/>
            <w:vMerge/>
            <w:tcBorders>
              <w:top w:val="nil"/>
              <w:left w:val="single" w:sz="4" w:space="0" w:color="auto"/>
              <w:bottom w:val="nil"/>
              <w:right w:val="nil"/>
            </w:tcBorders>
            <w:vAlign w:val="center"/>
            <w:hideMark/>
          </w:tcPr>
          <w:p w:rsidR="00236E18" w:rsidRPr="007E09B2" w:rsidRDefault="00236E18" w:rsidP="00294272">
            <w:pPr>
              <w:rPr>
                <w:sz w:val="16"/>
                <w:szCs w:val="16"/>
              </w:rPr>
            </w:pPr>
          </w:p>
        </w:tc>
        <w:tc>
          <w:tcPr>
            <w:tcW w:w="2380" w:type="dxa"/>
            <w:tcBorders>
              <w:top w:val="nil"/>
              <w:left w:val="nil"/>
              <w:bottom w:val="nil"/>
              <w:right w:val="nil"/>
            </w:tcBorders>
            <w:shd w:val="clear" w:color="000000" w:fill="FFFFFF"/>
            <w:hideMark/>
          </w:tcPr>
          <w:p w:rsidR="00236E18" w:rsidRPr="00993C93" w:rsidRDefault="00236E18" w:rsidP="00294272">
            <w:pPr>
              <w:ind w:left="-3"/>
              <w:rPr>
                <w:sz w:val="16"/>
                <w:szCs w:val="16"/>
              </w:rPr>
            </w:pPr>
            <w:r w:rsidRPr="00993C93">
              <w:rPr>
                <w:sz w:val="16"/>
                <w:szCs w:val="16"/>
              </w:rPr>
              <w:t>N</w:t>
            </w:r>
            <w:r>
              <w:rPr>
                <w:sz w:val="16"/>
                <w:szCs w:val="16"/>
              </w:rPr>
              <w:t>º</w:t>
            </w:r>
            <w:r w:rsidRPr="00993C93">
              <w:rPr>
                <w:sz w:val="16"/>
                <w:szCs w:val="16"/>
              </w:rPr>
              <w:t xml:space="preserve"> de idiomas en los que se pueden efectuar búsquedas plurilingües.</w:t>
            </w:r>
          </w:p>
        </w:tc>
        <w:tc>
          <w:tcPr>
            <w:tcW w:w="2380" w:type="dxa"/>
            <w:tcBorders>
              <w:top w:val="nil"/>
              <w:left w:val="nil"/>
              <w:bottom w:val="nil"/>
              <w:right w:val="nil"/>
            </w:tcBorders>
            <w:shd w:val="clear" w:color="000000" w:fill="FFFFFF"/>
            <w:hideMark/>
          </w:tcPr>
          <w:p w:rsidR="00236E18" w:rsidRPr="00993C93" w:rsidRDefault="00236E18" w:rsidP="00294272">
            <w:pPr>
              <w:ind w:firstLineChars="200" w:firstLine="320"/>
              <w:rPr>
                <w:sz w:val="16"/>
                <w:szCs w:val="16"/>
              </w:rPr>
            </w:pPr>
            <w:r w:rsidRPr="00993C93">
              <w:rPr>
                <w:sz w:val="16"/>
                <w:szCs w:val="16"/>
              </w:rPr>
              <w:t>12 (al final de 2014).</w:t>
            </w:r>
          </w:p>
        </w:tc>
        <w:tc>
          <w:tcPr>
            <w:tcW w:w="2240" w:type="dxa"/>
            <w:tcBorders>
              <w:top w:val="nil"/>
              <w:left w:val="nil"/>
              <w:bottom w:val="nil"/>
              <w:right w:val="single" w:sz="4" w:space="0" w:color="auto"/>
            </w:tcBorders>
            <w:shd w:val="clear" w:color="000000" w:fill="FFFFFF"/>
            <w:hideMark/>
          </w:tcPr>
          <w:p w:rsidR="00236E18" w:rsidRPr="00993C93" w:rsidRDefault="00236E18" w:rsidP="00294272">
            <w:pPr>
              <w:ind w:firstLineChars="200" w:firstLine="320"/>
              <w:rPr>
                <w:sz w:val="16"/>
                <w:szCs w:val="16"/>
              </w:rPr>
            </w:pPr>
            <w:r w:rsidRPr="00993C93">
              <w:rPr>
                <w:sz w:val="16"/>
                <w:szCs w:val="16"/>
              </w:rPr>
              <w:t>14</w:t>
            </w:r>
          </w:p>
        </w:tc>
      </w:tr>
      <w:tr w:rsidR="00236E18" w:rsidRPr="00993C93" w:rsidTr="00294272">
        <w:trPr>
          <w:trHeight w:val="810"/>
        </w:trPr>
        <w:tc>
          <w:tcPr>
            <w:tcW w:w="2320" w:type="dxa"/>
            <w:vMerge/>
            <w:tcBorders>
              <w:top w:val="nil"/>
              <w:left w:val="single" w:sz="4" w:space="0" w:color="auto"/>
              <w:bottom w:val="nil"/>
              <w:right w:val="nil"/>
            </w:tcBorders>
            <w:vAlign w:val="center"/>
            <w:hideMark/>
          </w:tcPr>
          <w:p w:rsidR="00236E18" w:rsidRPr="007E09B2" w:rsidRDefault="00236E18" w:rsidP="00294272">
            <w:pPr>
              <w:rPr>
                <w:sz w:val="16"/>
                <w:szCs w:val="16"/>
              </w:rPr>
            </w:pPr>
          </w:p>
        </w:tc>
        <w:tc>
          <w:tcPr>
            <w:tcW w:w="2380" w:type="dxa"/>
            <w:tcBorders>
              <w:top w:val="nil"/>
              <w:left w:val="nil"/>
              <w:right w:val="nil"/>
            </w:tcBorders>
            <w:shd w:val="clear" w:color="000000" w:fill="FFFFFF"/>
            <w:hideMark/>
          </w:tcPr>
          <w:p w:rsidR="00236E18" w:rsidRPr="00993C93" w:rsidRDefault="00236E18" w:rsidP="00294272">
            <w:pPr>
              <w:ind w:left="-3"/>
              <w:rPr>
                <w:sz w:val="16"/>
                <w:szCs w:val="16"/>
              </w:rPr>
            </w:pPr>
            <w:r w:rsidRPr="00993C93">
              <w:rPr>
                <w:sz w:val="16"/>
                <w:szCs w:val="16"/>
              </w:rPr>
              <w:t>N</w:t>
            </w:r>
            <w:r>
              <w:rPr>
                <w:sz w:val="16"/>
                <w:szCs w:val="16"/>
              </w:rPr>
              <w:t>º</w:t>
            </w:r>
            <w:r w:rsidRPr="00993C93">
              <w:rPr>
                <w:sz w:val="16"/>
                <w:szCs w:val="16"/>
              </w:rPr>
              <w:t xml:space="preserve"> de pares de idiomas disponibles para la traducción de descripciones y reivindicaciones.</w:t>
            </w:r>
          </w:p>
          <w:p w:rsidR="00236E18" w:rsidRPr="00993C93" w:rsidRDefault="00236E18" w:rsidP="00294272">
            <w:pPr>
              <w:ind w:left="281"/>
              <w:rPr>
                <w:sz w:val="16"/>
                <w:szCs w:val="16"/>
              </w:rPr>
            </w:pPr>
          </w:p>
        </w:tc>
        <w:tc>
          <w:tcPr>
            <w:tcW w:w="2380" w:type="dxa"/>
            <w:tcBorders>
              <w:top w:val="nil"/>
              <w:left w:val="nil"/>
              <w:right w:val="nil"/>
            </w:tcBorders>
            <w:shd w:val="clear" w:color="000000" w:fill="FFFFFF"/>
            <w:hideMark/>
          </w:tcPr>
          <w:p w:rsidR="00236E18" w:rsidRPr="00993C93" w:rsidRDefault="00236E18" w:rsidP="00294272">
            <w:pPr>
              <w:ind w:firstLineChars="200" w:firstLine="320"/>
              <w:rPr>
                <w:sz w:val="16"/>
                <w:szCs w:val="16"/>
              </w:rPr>
            </w:pPr>
            <w:r w:rsidRPr="00993C93">
              <w:rPr>
                <w:sz w:val="16"/>
                <w:szCs w:val="16"/>
              </w:rPr>
              <w:t>0 (al final de 2014).</w:t>
            </w:r>
          </w:p>
        </w:tc>
        <w:tc>
          <w:tcPr>
            <w:tcW w:w="2240" w:type="dxa"/>
            <w:tcBorders>
              <w:top w:val="nil"/>
              <w:left w:val="nil"/>
              <w:right w:val="single" w:sz="4" w:space="0" w:color="auto"/>
            </w:tcBorders>
            <w:shd w:val="clear" w:color="000000" w:fill="FFFFFF"/>
            <w:hideMark/>
          </w:tcPr>
          <w:p w:rsidR="00236E18" w:rsidRPr="00993C93" w:rsidRDefault="00236E18" w:rsidP="00294272">
            <w:pPr>
              <w:ind w:firstLineChars="200" w:firstLine="320"/>
              <w:rPr>
                <w:sz w:val="16"/>
                <w:szCs w:val="16"/>
              </w:rPr>
            </w:pPr>
            <w:r w:rsidRPr="00993C93">
              <w:rPr>
                <w:sz w:val="16"/>
                <w:szCs w:val="16"/>
              </w:rPr>
              <w:t>4</w:t>
            </w:r>
          </w:p>
        </w:tc>
      </w:tr>
      <w:tr w:rsidR="00236E18" w:rsidRPr="00993C93" w:rsidTr="00294272">
        <w:trPr>
          <w:trHeight w:val="750"/>
        </w:trPr>
        <w:tc>
          <w:tcPr>
            <w:tcW w:w="2320" w:type="dxa"/>
            <w:vMerge/>
            <w:tcBorders>
              <w:top w:val="nil"/>
              <w:left w:val="single" w:sz="4" w:space="0" w:color="auto"/>
              <w:bottom w:val="single" w:sz="4" w:space="0" w:color="auto"/>
              <w:right w:val="nil"/>
            </w:tcBorders>
            <w:vAlign w:val="center"/>
            <w:hideMark/>
          </w:tcPr>
          <w:p w:rsidR="00236E18" w:rsidRPr="007E09B2" w:rsidRDefault="00236E18" w:rsidP="00294272">
            <w:pPr>
              <w:rPr>
                <w:sz w:val="16"/>
                <w:szCs w:val="16"/>
              </w:rPr>
            </w:pPr>
          </w:p>
        </w:tc>
        <w:tc>
          <w:tcPr>
            <w:tcW w:w="2380" w:type="dxa"/>
            <w:tcBorders>
              <w:top w:val="nil"/>
              <w:left w:val="nil"/>
              <w:bottom w:val="single" w:sz="4" w:space="0" w:color="auto"/>
              <w:right w:val="nil"/>
            </w:tcBorders>
            <w:shd w:val="clear" w:color="000000" w:fill="FFFFFF"/>
            <w:hideMark/>
          </w:tcPr>
          <w:p w:rsidR="00236E18" w:rsidRPr="00AE2076" w:rsidRDefault="00236E18" w:rsidP="00294272">
            <w:pPr>
              <w:ind w:left="-3"/>
              <w:rPr>
                <w:sz w:val="16"/>
                <w:szCs w:val="16"/>
              </w:rPr>
            </w:pPr>
            <w:r w:rsidRPr="00AE2076">
              <w:rPr>
                <w:sz w:val="16"/>
                <w:szCs w:val="16"/>
              </w:rPr>
              <w:t>Nº de registros contenidos en PATENSCOPE</w:t>
            </w:r>
          </w:p>
          <w:p w:rsidR="00236E18" w:rsidRPr="00AE2076" w:rsidRDefault="00236E18" w:rsidP="00294272">
            <w:pPr>
              <w:ind w:left="-3"/>
              <w:rPr>
                <w:sz w:val="16"/>
                <w:szCs w:val="16"/>
              </w:rPr>
            </w:pPr>
          </w:p>
          <w:p w:rsidR="00236E18" w:rsidRPr="00AE2076" w:rsidRDefault="00236E18" w:rsidP="00294272">
            <w:pPr>
              <w:ind w:left="-3"/>
              <w:rPr>
                <w:sz w:val="16"/>
                <w:szCs w:val="16"/>
              </w:rPr>
            </w:pPr>
            <w:r w:rsidRPr="00AE2076">
              <w:rPr>
                <w:sz w:val="16"/>
                <w:szCs w:val="16"/>
                <w:lang w:val="es-ES_tradnl"/>
              </w:rPr>
              <w:t>Puntualidad en la introducción de datos (retraso promedio en el n</w:t>
            </w:r>
            <w:r>
              <w:rPr>
                <w:sz w:val="16"/>
                <w:szCs w:val="16"/>
                <w:lang w:val="es-ES_tradnl"/>
              </w:rPr>
              <w:t>º</w:t>
            </w:r>
            <w:r w:rsidRPr="00AE2076">
              <w:rPr>
                <w:sz w:val="16"/>
                <w:szCs w:val="16"/>
                <w:lang w:val="es-ES_tradnl"/>
              </w:rPr>
              <w:t xml:space="preserve"> de días transcurridos entre la fecha de publicación de las inscripciones en el registro oficial y su disponibilidad en bases de datos mundiales respecto de un conjunto representativo de colecciones nacionales)</w:t>
            </w:r>
            <w:r w:rsidRPr="00AE2076">
              <w:rPr>
                <w:sz w:val="16"/>
                <w:szCs w:val="16"/>
              </w:rPr>
              <w:t>.</w:t>
            </w:r>
          </w:p>
        </w:tc>
        <w:tc>
          <w:tcPr>
            <w:tcW w:w="2380" w:type="dxa"/>
            <w:tcBorders>
              <w:top w:val="nil"/>
              <w:left w:val="nil"/>
              <w:bottom w:val="single" w:sz="4" w:space="0" w:color="auto"/>
              <w:right w:val="nil"/>
            </w:tcBorders>
            <w:shd w:val="clear" w:color="000000" w:fill="FFFFFF"/>
            <w:hideMark/>
          </w:tcPr>
          <w:p w:rsidR="00236E18" w:rsidRPr="00AE2076" w:rsidRDefault="00236E18" w:rsidP="00294272">
            <w:pPr>
              <w:ind w:left="310" w:firstLineChars="6" w:firstLine="10"/>
              <w:rPr>
                <w:sz w:val="16"/>
                <w:szCs w:val="16"/>
              </w:rPr>
            </w:pPr>
            <w:r w:rsidRPr="00AE2076">
              <w:rPr>
                <w:sz w:val="16"/>
                <w:szCs w:val="16"/>
              </w:rPr>
              <w:t>43.000.000 (al final de 2014)</w:t>
            </w:r>
          </w:p>
          <w:p w:rsidR="00236E18" w:rsidRPr="00AE2076" w:rsidRDefault="00236E18" w:rsidP="00294272">
            <w:pPr>
              <w:ind w:left="310" w:firstLineChars="6" w:firstLine="10"/>
              <w:rPr>
                <w:sz w:val="16"/>
                <w:szCs w:val="16"/>
              </w:rPr>
            </w:pPr>
          </w:p>
          <w:p w:rsidR="00236E18" w:rsidRPr="00AE2076" w:rsidRDefault="00236E18" w:rsidP="00294272">
            <w:pPr>
              <w:ind w:left="310" w:firstLineChars="6" w:firstLine="10"/>
              <w:rPr>
                <w:sz w:val="16"/>
                <w:szCs w:val="16"/>
              </w:rPr>
            </w:pPr>
            <w:proofErr w:type="spellStart"/>
            <w:r w:rsidRPr="00AE2076">
              <w:rPr>
                <w:sz w:val="16"/>
                <w:szCs w:val="16"/>
              </w:rPr>
              <w:t>n.d</w:t>
            </w:r>
            <w:proofErr w:type="spellEnd"/>
            <w:r w:rsidRPr="00AE2076">
              <w:rPr>
                <w:sz w:val="16"/>
                <w:szCs w:val="16"/>
              </w:rPr>
              <w:t>.</w:t>
            </w:r>
          </w:p>
        </w:tc>
        <w:tc>
          <w:tcPr>
            <w:tcW w:w="2240" w:type="dxa"/>
            <w:tcBorders>
              <w:top w:val="nil"/>
              <w:left w:val="nil"/>
              <w:bottom w:val="single" w:sz="4" w:space="0" w:color="auto"/>
              <w:right w:val="single" w:sz="4" w:space="0" w:color="auto"/>
            </w:tcBorders>
            <w:shd w:val="clear" w:color="000000" w:fill="FFFFFF"/>
            <w:hideMark/>
          </w:tcPr>
          <w:p w:rsidR="00236E18" w:rsidRDefault="00236E18" w:rsidP="00294272">
            <w:pPr>
              <w:ind w:firstLineChars="200" w:firstLine="320"/>
              <w:rPr>
                <w:sz w:val="16"/>
                <w:szCs w:val="16"/>
              </w:rPr>
            </w:pPr>
            <w:r w:rsidRPr="00993C93">
              <w:rPr>
                <w:sz w:val="16"/>
                <w:szCs w:val="16"/>
              </w:rPr>
              <w:t>50.000.000</w:t>
            </w:r>
          </w:p>
          <w:p w:rsidR="00236E18" w:rsidRDefault="00236E18" w:rsidP="00294272">
            <w:pPr>
              <w:ind w:firstLineChars="200" w:firstLine="320"/>
              <w:rPr>
                <w:sz w:val="16"/>
                <w:szCs w:val="16"/>
              </w:rPr>
            </w:pPr>
          </w:p>
          <w:p w:rsidR="00236E18" w:rsidRDefault="00236E18" w:rsidP="00294272">
            <w:pPr>
              <w:ind w:firstLineChars="200" w:firstLine="320"/>
              <w:rPr>
                <w:sz w:val="16"/>
                <w:szCs w:val="16"/>
              </w:rPr>
            </w:pPr>
          </w:p>
          <w:p w:rsidR="00236E18" w:rsidRPr="00993C93" w:rsidRDefault="00236E18" w:rsidP="00294272">
            <w:pPr>
              <w:ind w:firstLineChars="200" w:firstLine="320"/>
              <w:rPr>
                <w:sz w:val="16"/>
                <w:szCs w:val="16"/>
              </w:rPr>
            </w:pPr>
            <w:r>
              <w:rPr>
                <w:sz w:val="16"/>
                <w:szCs w:val="16"/>
              </w:rPr>
              <w:t>45 días</w:t>
            </w:r>
          </w:p>
        </w:tc>
      </w:tr>
      <w:tr w:rsidR="00236E18" w:rsidRPr="00993C93" w:rsidTr="00294272">
        <w:trPr>
          <w:trHeight w:val="769"/>
        </w:trPr>
        <w:tc>
          <w:tcPr>
            <w:tcW w:w="2320" w:type="dxa"/>
            <w:vMerge w:val="restart"/>
            <w:tcBorders>
              <w:top w:val="single" w:sz="4" w:space="0" w:color="auto"/>
              <w:left w:val="single" w:sz="4" w:space="0" w:color="auto"/>
              <w:bottom w:val="single" w:sz="4" w:space="0" w:color="auto"/>
              <w:right w:val="nil"/>
            </w:tcBorders>
            <w:shd w:val="clear" w:color="000000" w:fill="FFFFFF"/>
            <w:hideMark/>
          </w:tcPr>
          <w:p w:rsidR="00236E18" w:rsidRPr="007E09B2" w:rsidRDefault="00236E18" w:rsidP="00294272">
            <w:pPr>
              <w:rPr>
                <w:sz w:val="16"/>
                <w:szCs w:val="16"/>
              </w:rPr>
            </w:pPr>
            <w:r w:rsidRPr="007E09B2">
              <w:rPr>
                <w:sz w:val="16"/>
                <w:szCs w:val="16"/>
              </w:rPr>
              <w:lastRenderedPageBreak/>
              <w:t xml:space="preserve">IV.3  </w:t>
            </w:r>
            <w:r w:rsidRPr="007E09B2">
              <w:rPr>
                <w:sz w:val="16"/>
                <w:szCs w:val="16"/>
                <w:lang w:val="es-ES_tradnl"/>
              </w:rPr>
              <w:t>Amplia cobertura geográfica en cuanto al contenido y al uso de las bases de datos mundiales de la OMPI en materia de P.I.</w:t>
            </w:r>
          </w:p>
        </w:tc>
        <w:tc>
          <w:tcPr>
            <w:tcW w:w="2380" w:type="dxa"/>
            <w:tcBorders>
              <w:top w:val="single" w:sz="4" w:space="0" w:color="auto"/>
              <w:left w:val="nil"/>
              <w:right w:val="nil"/>
            </w:tcBorders>
            <w:shd w:val="clear" w:color="000000" w:fill="FFFFFF"/>
            <w:hideMark/>
          </w:tcPr>
          <w:p w:rsidR="00236E18" w:rsidRPr="00993C93" w:rsidRDefault="00236E18" w:rsidP="00294272">
            <w:pPr>
              <w:ind w:left="-3"/>
              <w:rPr>
                <w:sz w:val="16"/>
                <w:szCs w:val="16"/>
              </w:rPr>
            </w:pPr>
            <w:r w:rsidRPr="00993C93">
              <w:rPr>
                <w:sz w:val="16"/>
                <w:szCs w:val="16"/>
              </w:rPr>
              <w:t>N</w:t>
            </w:r>
            <w:r>
              <w:rPr>
                <w:sz w:val="16"/>
                <w:szCs w:val="16"/>
              </w:rPr>
              <w:t>º</w:t>
            </w:r>
            <w:r w:rsidRPr="00993C93">
              <w:rPr>
                <w:sz w:val="16"/>
                <w:szCs w:val="16"/>
              </w:rPr>
              <w:t xml:space="preserve"> de registros que figuran en la Base Mundial de Datos sobre Marcas. </w:t>
            </w:r>
          </w:p>
          <w:p w:rsidR="00236E18" w:rsidRPr="00993C93" w:rsidRDefault="00236E18" w:rsidP="00294272">
            <w:pPr>
              <w:rPr>
                <w:sz w:val="16"/>
                <w:szCs w:val="16"/>
              </w:rPr>
            </w:pPr>
          </w:p>
        </w:tc>
        <w:tc>
          <w:tcPr>
            <w:tcW w:w="2380" w:type="dxa"/>
            <w:tcBorders>
              <w:top w:val="single" w:sz="4" w:space="0" w:color="auto"/>
              <w:left w:val="nil"/>
              <w:right w:val="nil"/>
            </w:tcBorders>
            <w:shd w:val="clear" w:color="000000" w:fill="FFFFFF"/>
            <w:hideMark/>
          </w:tcPr>
          <w:p w:rsidR="00236E18" w:rsidRPr="00993C93" w:rsidRDefault="00236E18" w:rsidP="00294272">
            <w:pPr>
              <w:ind w:left="310" w:firstLineChars="6" w:firstLine="10"/>
              <w:rPr>
                <w:sz w:val="16"/>
                <w:szCs w:val="16"/>
              </w:rPr>
            </w:pPr>
            <w:r>
              <w:rPr>
                <w:sz w:val="16"/>
                <w:szCs w:val="16"/>
              </w:rPr>
              <w:t>15.800.000 (al final de 2014)</w:t>
            </w:r>
          </w:p>
        </w:tc>
        <w:tc>
          <w:tcPr>
            <w:tcW w:w="2240" w:type="dxa"/>
            <w:tcBorders>
              <w:top w:val="single" w:sz="4" w:space="0" w:color="auto"/>
              <w:left w:val="nil"/>
              <w:right w:val="single" w:sz="4" w:space="0" w:color="auto"/>
            </w:tcBorders>
            <w:shd w:val="clear" w:color="000000" w:fill="FFFFFF"/>
            <w:hideMark/>
          </w:tcPr>
          <w:p w:rsidR="00236E18" w:rsidRPr="00993C93" w:rsidRDefault="00236E18" w:rsidP="00294272">
            <w:pPr>
              <w:ind w:firstLineChars="200" w:firstLine="320"/>
              <w:rPr>
                <w:sz w:val="16"/>
                <w:szCs w:val="16"/>
              </w:rPr>
            </w:pPr>
            <w:r w:rsidRPr="00993C93">
              <w:rPr>
                <w:sz w:val="16"/>
                <w:szCs w:val="16"/>
              </w:rPr>
              <w:t>25.000.000</w:t>
            </w:r>
          </w:p>
        </w:tc>
      </w:tr>
      <w:tr w:rsidR="00236E18" w:rsidRPr="00993C93" w:rsidTr="00294272">
        <w:trPr>
          <w:trHeight w:val="720"/>
        </w:trPr>
        <w:tc>
          <w:tcPr>
            <w:tcW w:w="2320" w:type="dxa"/>
            <w:vMerge/>
            <w:tcBorders>
              <w:top w:val="single" w:sz="4" w:space="0" w:color="auto"/>
              <w:left w:val="single" w:sz="4" w:space="0" w:color="auto"/>
              <w:bottom w:val="single" w:sz="4" w:space="0" w:color="auto"/>
              <w:right w:val="nil"/>
            </w:tcBorders>
            <w:vAlign w:val="center"/>
            <w:hideMark/>
          </w:tcPr>
          <w:p w:rsidR="00236E18" w:rsidRPr="00993C93" w:rsidRDefault="00236E18" w:rsidP="00294272">
            <w:pPr>
              <w:rPr>
                <w:sz w:val="16"/>
                <w:szCs w:val="16"/>
              </w:rPr>
            </w:pPr>
          </w:p>
        </w:tc>
        <w:tc>
          <w:tcPr>
            <w:tcW w:w="2380" w:type="dxa"/>
            <w:tcBorders>
              <w:left w:val="nil"/>
              <w:right w:val="nil"/>
            </w:tcBorders>
            <w:shd w:val="clear" w:color="000000" w:fill="FFFFFF"/>
            <w:hideMark/>
          </w:tcPr>
          <w:p w:rsidR="00236E18" w:rsidRPr="00993C93" w:rsidRDefault="00236E18" w:rsidP="00294272">
            <w:pPr>
              <w:ind w:left="-3"/>
              <w:rPr>
                <w:sz w:val="16"/>
                <w:szCs w:val="16"/>
              </w:rPr>
            </w:pPr>
            <w:r w:rsidRPr="00993C93">
              <w:rPr>
                <w:sz w:val="16"/>
                <w:szCs w:val="16"/>
              </w:rPr>
              <w:t>N</w:t>
            </w:r>
            <w:r>
              <w:rPr>
                <w:sz w:val="16"/>
                <w:szCs w:val="16"/>
              </w:rPr>
              <w:t>º</w:t>
            </w:r>
            <w:r w:rsidRPr="00993C93">
              <w:rPr>
                <w:sz w:val="16"/>
                <w:szCs w:val="16"/>
              </w:rPr>
              <w:t xml:space="preserve"> de registros que figuran en la Base Mundial de Datos sobre </w:t>
            </w:r>
            <w:r>
              <w:rPr>
                <w:sz w:val="16"/>
                <w:szCs w:val="16"/>
              </w:rPr>
              <w:t>Dibujos y Modelos Industriales</w:t>
            </w:r>
            <w:r>
              <w:rPr>
                <w:sz w:val="16"/>
                <w:szCs w:val="16"/>
              </w:rPr>
              <w:br/>
            </w:r>
          </w:p>
        </w:tc>
        <w:tc>
          <w:tcPr>
            <w:tcW w:w="2380" w:type="dxa"/>
            <w:tcBorders>
              <w:left w:val="nil"/>
              <w:right w:val="nil"/>
            </w:tcBorders>
            <w:shd w:val="clear" w:color="000000" w:fill="FFFFFF"/>
            <w:hideMark/>
          </w:tcPr>
          <w:p w:rsidR="00236E18" w:rsidRPr="00993C93" w:rsidRDefault="00236E18" w:rsidP="00294272">
            <w:pPr>
              <w:ind w:firstLineChars="200" w:firstLine="320"/>
              <w:rPr>
                <w:sz w:val="16"/>
                <w:szCs w:val="16"/>
              </w:rPr>
            </w:pPr>
            <w:proofErr w:type="spellStart"/>
            <w:r>
              <w:rPr>
                <w:sz w:val="16"/>
                <w:szCs w:val="16"/>
              </w:rPr>
              <w:t>n.d</w:t>
            </w:r>
            <w:proofErr w:type="spellEnd"/>
            <w:r>
              <w:rPr>
                <w:sz w:val="16"/>
                <w:szCs w:val="16"/>
              </w:rPr>
              <w:t>.</w:t>
            </w:r>
          </w:p>
        </w:tc>
        <w:tc>
          <w:tcPr>
            <w:tcW w:w="2240" w:type="dxa"/>
            <w:tcBorders>
              <w:left w:val="nil"/>
              <w:right w:val="single" w:sz="4" w:space="0" w:color="auto"/>
            </w:tcBorders>
            <w:shd w:val="clear" w:color="000000" w:fill="FFFFFF"/>
            <w:hideMark/>
          </w:tcPr>
          <w:p w:rsidR="00236E18" w:rsidRPr="00993C93" w:rsidRDefault="00236E18" w:rsidP="00294272">
            <w:pPr>
              <w:ind w:firstLineChars="200" w:firstLine="320"/>
              <w:rPr>
                <w:sz w:val="16"/>
                <w:szCs w:val="16"/>
              </w:rPr>
            </w:pPr>
            <w:r w:rsidRPr="00993C93">
              <w:rPr>
                <w:sz w:val="16"/>
                <w:szCs w:val="16"/>
              </w:rPr>
              <w:t>1.000.000</w:t>
            </w:r>
          </w:p>
        </w:tc>
      </w:tr>
      <w:tr w:rsidR="00236E18" w:rsidRPr="00993C93" w:rsidTr="00294272">
        <w:trPr>
          <w:trHeight w:val="353"/>
        </w:trPr>
        <w:tc>
          <w:tcPr>
            <w:tcW w:w="2320" w:type="dxa"/>
            <w:vMerge/>
            <w:tcBorders>
              <w:top w:val="single" w:sz="4" w:space="0" w:color="auto"/>
              <w:left w:val="single" w:sz="4" w:space="0" w:color="auto"/>
              <w:bottom w:val="single" w:sz="4" w:space="0" w:color="auto"/>
              <w:right w:val="nil"/>
            </w:tcBorders>
            <w:vAlign w:val="center"/>
            <w:hideMark/>
          </w:tcPr>
          <w:p w:rsidR="00236E18" w:rsidRPr="00993C93" w:rsidRDefault="00236E18" w:rsidP="00294272">
            <w:pPr>
              <w:rPr>
                <w:sz w:val="16"/>
                <w:szCs w:val="16"/>
              </w:rPr>
            </w:pPr>
          </w:p>
        </w:tc>
        <w:tc>
          <w:tcPr>
            <w:tcW w:w="2380" w:type="dxa"/>
            <w:tcBorders>
              <w:left w:val="nil"/>
              <w:right w:val="nil"/>
            </w:tcBorders>
            <w:shd w:val="clear" w:color="000000" w:fill="FFFFFF"/>
            <w:hideMark/>
          </w:tcPr>
          <w:p w:rsidR="00236E18" w:rsidRPr="00993C93" w:rsidRDefault="00236E18" w:rsidP="00294272">
            <w:pPr>
              <w:ind w:left="-3"/>
              <w:rPr>
                <w:sz w:val="16"/>
                <w:szCs w:val="16"/>
              </w:rPr>
            </w:pPr>
            <w:r w:rsidRPr="00993C93">
              <w:rPr>
                <w:sz w:val="16"/>
                <w:szCs w:val="16"/>
              </w:rPr>
              <w:t>N</w:t>
            </w:r>
            <w:r>
              <w:rPr>
                <w:sz w:val="16"/>
                <w:szCs w:val="16"/>
              </w:rPr>
              <w:t>º</w:t>
            </w:r>
            <w:r w:rsidRPr="00993C93">
              <w:rPr>
                <w:sz w:val="16"/>
                <w:szCs w:val="16"/>
              </w:rPr>
              <w:t xml:space="preserve"> de colecciones nacionales en PATENTSCOPE.</w:t>
            </w:r>
          </w:p>
        </w:tc>
        <w:tc>
          <w:tcPr>
            <w:tcW w:w="2380" w:type="dxa"/>
            <w:tcBorders>
              <w:left w:val="nil"/>
              <w:right w:val="nil"/>
            </w:tcBorders>
            <w:shd w:val="clear" w:color="000000" w:fill="FFFFFF"/>
            <w:hideMark/>
          </w:tcPr>
          <w:p w:rsidR="00236E18" w:rsidRPr="00993C93" w:rsidRDefault="00236E18" w:rsidP="00294272">
            <w:pPr>
              <w:ind w:firstLineChars="200" w:firstLine="320"/>
              <w:rPr>
                <w:sz w:val="16"/>
                <w:szCs w:val="16"/>
              </w:rPr>
            </w:pPr>
            <w:r>
              <w:rPr>
                <w:sz w:val="16"/>
                <w:szCs w:val="16"/>
              </w:rPr>
              <w:t>40 (al final de 2014)</w:t>
            </w:r>
          </w:p>
        </w:tc>
        <w:tc>
          <w:tcPr>
            <w:tcW w:w="2240" w:type="dxa"/>
            <w:tcBorders>
              <w:left w:val="nil"/>
              <w:right w:val="single" w:sz="4" w:space="0" w:color="auto"/>
            </w:tcBorders>
            <w:shd w:val="clear" w:color="000000" w:fill="FFFFFF"/>
            <w:hideMark/>
          </w:tcPr>
          <w:p w:rsidR="00236E18" w:rsidRPr="00993C93" w:rsidRDefault="00236E18" w:rsidP="00294272">
            <w:pPr>
              <w:ind w:firstLineChars="200" w:firstLine="320"/>
              <w:rPr>
                <w:sz w:val="16"/>
                <w:szCs w:val="16"/>
              </w:rPr>
            </w:pPr>
            <w:r w:rsidRPr="00993C93">
              <w:rPr>
                <w:sz w:val="16"/>
                <w:szCs w:val="16"/>
              </w:rPr>
              <w:t>50</w:t>
            </w:r>
          </w:p>
        </w:tc>
      </w:tr>
      <w:tr w:rsidR="00236E18" w:rsidRPr="00993C93" w:rsidTr="00294272">
        <w:trPr>
          <w:trHeight w:val="570"/>
        </w:trPr>
        <w:tc>
          <w:tcPr>
            <w:tcW w:w="2320" w:type="dxa"/>
            <w:vMerge/>
            <w:tcBorders>
              <w:top w:val="single" w:sz="4" w:space="0" w:color="auto"/>
              <w:left w:val="single" w:sz="4" w:space="0" w:color="auto"/>
              <w:bottom w:val="single" w:sz="4" w:space="0" w:color="auto"/>
              <w:right w:val="nil"/>
            </w:tcBorders>
            <w:vAlign w:val="center"/>
            <w:hideMark/>
          </w:tcPr>
          <w:p w:rsidR="00236E18" w:rsidRPr="00993C93" w:rsidRDefault="00236E18" w:rsidP="00294272">
            <w:pPr>
              <w:rPr>
                <w:sz w:val="16"/>
                <w:szCs w:val="16"/>
              </w:rPr>
            </w:pPr>
          </w:p>
        </w:tc>
        <w:tc>
          <w:tcPr>
            <w:tcW w:w="2380" w:type="dxa"/>
            <w:tcBorders>
              <w:left w:val="nil"/>
              <w:bottom w:val="single" w:sz="4" w:space="0" w:color="auto"/>
              <w:right w:val="nil"/>
            </w:tcBorders>
            <w:shd w:val="clear" w:color="000000" w:fill="FFFFFF"/>
            <w:hideMark/>
          </w:tcPr>
          <w:p w:rsidR="00236E18" w:rsidRPr="00993C93" w:rsidRDefault="00236E18" w:rsidP="00294272">
            <w:pPr>
              <w:ind w:left="-3"/>
              <w:rPr>
                <w:sz w:val="16"/>
                <w:szCs w:val="16"/>
              </w:rPr>
            </w:pPr>
            <w:r>
              <w:rPr>
                <w:sz w:val="16"/>
                <w:szCs w:val="16"/>
              </w:rPr>
              <w:br/>
            </w:r>
            <w:r w:rsidRPr="00993C93">
              <w:rPr>
                <w:sz w:val="16"/>
                <w:szCs w:val="16"/>
              </w:rPr>
              <w:t>N</w:t>
            </w:r>
            <w:r>
              <w:rPr>
                <w:sz w:val="16"/>
                <w:szCs w:val="16"/>
              </w:rPr>
              <w:t>º</w:t>
            </w:r>
            <w:r w:rsidRPr="00993C93">
              <w:rPr>
                <w:sz w:val="16"/>
                <w:szCs w:val="16"/>
              </w:rPr>
              <w:t xml:space="preserve"> de colecciones nacionales en la Base Mundial de Datos sobre Marcas.</w:t>
            </w:r>
            <w:r>
              <w:rPr>
                <w:sz w:val="16"/>
                <w:szCs w:val="16"/>
              </w:rPr>
              <w:br/>
            </w:r>
          </w:p>
        </w:tc>
        <w:tc>
          <w:tcPr>
            <w:tcW w:w="2380" w:type="dxa"/>
            <w:tcBorders>
              <w:left w:val="nil"/>
              <w:bottom w:val="single" w:sz="4" w:space="0" w:color="auto"/>
              <w:right w:val="nil"/>
            </w:tcBorders>
            <w:shd w:val="clear" w:color="000000" w:fill="FFFFFF"/>
            <w:hideMark/>
          </w:tcPr>
          <w:p w:rsidR="00236E18" w:rsidRPr="00993C93" w:rsidRDefault="00236E18" w:rsidP="00294272">
            <w:pPr>
              <w:ind w:left="310" w:firstLineChars="6" w:firstLine="10"/>
              <w:rPr>
                <w:sz w:val="16"/>
                <w:szCs w:val="16"/>
              </w:rPr>
            </w:pPr>
            <w:r>
              <w:rPr>
                <w:sz w:val="16"/>
                <w:szCs w:val="16"/>
              </w:rPr>
              <w:br/>
            </w:r>
            <w:r w:rsidRPr="00993C93">
              <w:rPr>
                <w:sz w:val="16"/>
                <w:szCs w:val="16"/>
              </w:rPr>
              <w:t>18 (al final de 2014).</w:t>
            </w:r>
          </w:p>
        </w:tc>
        <w:tc>
          <w:tcPr>
            <w:tcW w:w="2240" w:type="dxa"/>
            <w:tcBorders>
              <w:left w:val="nil"/>
              <w:bottom w:val="single" w:sz="4" w:space="0" w:color="auto"/>
              <w:right w:val="single" w:sz="4" w:space="0" w:color="auto"/>
            </w:tcBorders>
            <w:shd w:val="clear" w:color="000000" w:fill="FFFFFF"/>
            <w:hideMark/>
          </w:tcPr>
          <w:p w:rsidR="00236E18" w:rsidRDefault="00236E18" w:rsidP="00294272">
            <w:pPr>
              <w:ind w:firstLineChars="200" w:firstLine="320"/>
              <w:rPr>
                <w:sz w:val="16"/>
                <w:szCs w:val="16"/>
              </w:rPr>
            </w:pPr>
          </w:p>
          <w:p w:rsidR="00236E18" w:rsidRPr="00993C93" w:rsidRDefault="00236E18" w:rsidP="00294272">
            <w:pPr>
              <w:ind w:firstLineChars="200" w:firstLine="320"/>
              <w:rPr>
                <w:sz w:val="16"/>
                <w:szCs w:val="16"/>
              </w:rPr>
            </w:pPr>
            <w:r w:rsidRPr="00993C93">
              <w:rPr>
                <w:sz w:val="16"/>
                <w:szCs w:val="16"/>
              </w:rPr>
              <w:t>32</w:t>
            </w:r>
          </w:p>
        </w:tc>
      </w:tr>
    </w:tbl>
    <w:p w:rsidR="00236E18" w:rsidRDefault="00236E18" w:rsidP="00236E18">
      <w:pPr>
        <w:tabs>
          <w:tab w:val="left" w:pos="567"/>
          <w:tab w:val="left" w:pos="1985"/>
        </w:tabs>
        <w:rPr>
          <w:bCs/>
          <w:sz w:val="20"/>
        </w:rPr>
      </w:pPr>
    </w:p>
    <w:p w:rsidR="00236E18" w:rsidRDefault="00236E18" w:rsidP="00236E18">
      <w:pPr>
        <w:tabs>
          <w:tab w:val="left" w:pos="567"/>
          <w:tab w:val="left" w:pos="1985"/>
        </w:tabs>
        <w:rPr>
          <w:bCs/>
          <w:sz w:val="20"/>
        </w:rPr>
      </w:pPr>
    </w:p>
    <w:p w:rsidR="00236E18" w:rsidRPr="008B4DB8" w:rsidRDefault="00236E18" w:rsidP="00236E18">
      <w:pPr>
        <w:keepNext/>
        <w:keepLines/>
        <w:tabs>
          <w:tab w:val="left" w:pos="567"/>
          <w:tab w:val="left" w:pos="1985"/>
        </w:tabs>
        <w:jc w:val="both"/>
        <w:rPr>
          <w:bCs/>
        </w:rPr>
      </w:pPr>
      <w:r w:rsidRPr="008B4DB8">
        <w:rPr>
          <w:bCs/>
          <w:lang w:val="es-ES_tradnl"/>
        </w:rPr>
        <w:t>RECURSOS PARA EL PROGRAMA 13</w:t>
      </w:r>
    </w:p>
    <w:p w:rsidR="00236E18" w:rsidRPr="008B4DB8" w:rsidRDefault="00236E18" w:rsidP="00236E18">
      <w:pPr>
        <w:keepNext/>
        <w:keepLines/>
        <w:tabs>
          <w:tab w:val="left" w:pos="567"/>
          <w:tab w:val="left" w:pos="1985"/>
        </w:tabs>
        <w:jc w:val="both"/>
        <w:rPr>
          <w:bCs/>
        </w:rPr>
      </w:pPr>
    </w:p>
    <w:p w:rsidR="00236E18" w:rsidRPr="008B4DB8" w:rsidRDefault="00236E18" w:rsidP="00236E18">
      <w:pPr>
        <w:pStyle w:val="ListParagraph"/>
        <w:numPr>
          <w:ilvl w:val="0"/>
          <w:numId w:val="27"/>
        </w:numPr>
        <w:tabs>
          <w:tab w:val="left" w:pos="709"/>
        </w:tabs>
        <w:autoSpaceDE w:val="0"/>
        <w:autoSpaceDN w:val="0"/>
        <w:adjustRightInd w:val="0"/>
        <w:ind w:left="0" w:firstLine="0"/>
        <w:rPr>
          <w:rFonts w:ascii="Arial" w:hAnsi="Arial" w:cs="Arial"/>
          <w:sz w:val="20"/>
          <w:szCs w:val="20"/>
          <w:lang w:val="es-ES"/>
        </w:rPr>
      </w:pPr>
      <w:r w:rsidRPr="00EB43D0">
        <w:rPr>
          <w:rFonts w:ascii="Arial" w:hAnsi="Arial" w:cs="Arial"/>
          <w:sz w:val="20"/>
          <w:szCs w:val="20"/>
          <w:lang w:val="es-ES_tradnl"/>
        </w:rPr>
        <w:t>L</w:t>
      </w:r>
      <w:r>
        <w:rPr>
          <w:rFonts w:ascii="Arial" w:hAnsi="Arial" w:cs="Arial"/>
          <w:sz w:val="20"/>
          <w:szCs w:val="20"/>
          <w:lang w:val="es-ES_tradnl"/>
        </w:rPr>
        <w:t>a dotación global de</w:t>
      </w:r>
      <w:r w:rsidRPr="00EB43D0">
        <w:rPr>
          <w:rFonts w:ascii="Arial" w:hAnsi="Arial" w:cs="Arial"/>
          <w:sz w:val="20"/>
          <w:szCs w:val="20"/>
          <w:lang w:val="es-ES_tradnl"/>
        </w:rPr>
        <w:t xml:space="preserve"> recursos </w:t>
      </w:r>
      <w:r>
        <w:rPr>
          <w:rFonts w:ascii="Arial" w:hAnsi="Arial" w:cs="Arial"/>
          <w:sz w:val="20"/>
          <w:szCs w:val="20"/>
          <w:lang w:val="es-ES_tradnl"/>
        </w:rPr>
        <w:t xml:space="preserve">para </w:t>
      </w:r>
      <w:r w:rsidRPr="00EB43D0">
        <w:rPr>
          <w:rFonts w:ascii="Arial" w:hAnsi="Arial" w:cs="Arial"/>
          <w:sz w:val="20"/>
          <w:szCs w:val="20"/>
          <w:lang w:val="es-ES_tradnl"/>
        </w:rPr>
        <w:t xml:space="preserve">el programa aumenta en aproximadamente </w:t>
      </w:r>
      <w:r>
        <w:rPr>
          <w:rFonts w:ascii="Arial" w:hAnsi="Arial" w:cs="Arial"/>
          <w:sz w:val="20"/>
          <w:szCs w:val="20"/>
          <w:lang w:val="es-ES_tradnl"/>
        </w:rPr>
        <w:t>un 20% en </w:t>
      </w:r>
      <w:r w:rsidRPr="00EB43D0">
        <w:rPr>
          <w:rFonts w:ascii="Arial" w:hAnsi="Arial" w:cs="Arial"/>
          <w:sz w:val="20"/>
          <w:szCs w:val="20"/>
          <w:lang w:val="es-ES_tradnl"/>
        </w:rPr>
        <w:t>2016/17 con respecto al presupuesto de 2014/</w:t>
      </w:r>
      <w:r>
        <w:rPr>
          <w:rFonts w:ascii="Arial" w:hAnsi="Arial" w:cs="Arial"/>
          <w:sz w:val="20"/>
          <w:szCs w:val="20"/>
          <w:lang w:val="es-ES_tradnl"/>
        </w:rPr>
        <w:t>15 tras las</w:t>
      </w:r>
      <w:r w:rsidRPr="00EB43D0">
        <w:rPr>
          <w:rFonts w:ascii="Arial" w:hAnsi="Arial" w:cs="Arial"/>
          <w:sz w:val="20"/>
          <w:szCs w:val="20"/>
          <w:lang w:val="es-ES_tradnl"/>
        </w:rPr>
        <w:t xml:space="preserve"> transferencias.  Los </w:t>
      </w:r>
      <w:r>
        <w:rPr>
          <w:rFonts w:ascii="Arial" w:hAnsi="Arial" w:cs="Arial"/>
          <w:sz w:val="20"/>
          <w:szCs w:val="20"/>
          <w:lang w:val="es-ES_tradnl"/>
        </w:rPr>
        <w:t>recursos no relativos</w:t>
      </w:r>
      <w:r w:rsidRPr="00EB43D0">
        <w:rPr>
          <w:rFonts w:ascii="Arial" w:hAnsi="Arial" w:cs="Arial"/>
          <w:sz w:val="20"/>
          <w:szCs w:val="20"/>
          <w:lang w:val="es-ES_tradnl"/>
        </w:rPr>
        <w:t xml:space="preserve"> a personal se mantienen al nivel del presupuesto de 2014/</w:t>
      </w:r>
      <w:r>
        <w:rPr>
          <w:rFonts w:ascii="Arial" w:hAnsi="Arial" w:cs="Arial"/>
          <w:sz w:val="20"/>
          <w:szCs w:val="20"/>
          <w:lang w:val="es-ES_tradnl"/>
        </w:rPr>
        <w:t>15 tras las</w:t>
      </w:r>
      <w:r w:rsidRPr="00EB43D0">
        <w:rPr>
          <w:rFonts w:ascii="Arial" w:hAnsi="Arial" w:cs="Arial"/>
          <w:sz w:val="20"/>
          <w:szCs w:val="20"/>
          <w:lang w:val="es-ES_tradnl"/>
        </w:rPr>
        <w:t xml:space="preserve"> transferencias.  El aumento de los recursos de personal se debe a la redistribución interna de los recursos para apoyar las actividades relacionadas con el desarrollo del motor y la interfaz de búsqueda de las bases mundiales de datos.  Además, se ha vuelto a consignar recursos dentro del programa como resultado de la creciente importancia que se otorga a la expansión de la cobertura geográfica de las bases mundiales de datos</w:t>
      </w:r>
      <w:r w:rsidRPr="00EB43D0">
        <w:rPr>
          <w:rFonts w:ascii="Arial" w:hAnsi="Arial" w:cs="Arial"/>
          <w:color w:val="000000"/>
          <w:sz w:val="20"/>
          <w:szCs w:val="20"/>
          <w:lang w:val="es-ES_tradnl"/>
        </w:rPr>
        <w:t xml:space="preserve">.  El resultado neto de lo anterior queda reflejado en el aumento de los recursos destinados a los resultados previstos </w:t>
      </w:r>
      <w:r w:rsidRPr="00EB43D0">
        <w:rPr>
          <w:rFonts w:ascii="Arial" w:hAnsi="Arial" w:cs="Arial"/>
          <w:sz w:val="20"/>
          <w:szCs w:val="20"/>
          <w:lang w:val="es-ES_tradnl"/>
        </w:rPr>
        <w:t xml:space="preserve">IV.2 </w:t>
      </w:r>
      <w:proofErr w:type="gramStart"/>
      <w:r w:rsidRPr="00EB43D0">
        <w:rPr>
          <w:rFonts w:ascii="Arial" w:hAnsi="Arial" w:cs="Arial"/>
          <w:sz w:val="20"/>
          <w:szCs w:val="20"/>
          <w:lang w:val="es-ES_tradnl"/>
        </w:rPr>
        <w:t>y</w:t>
      </w:r>
      <w:proofErr w:type="gramEnd"/>
      <w:r w:rsidRPr="00EB43D0">
        <w:rPr>
          <w:rFonts w:ascii="Arial" w:hAnsi="Arial" w:cs="Arial"/>
          <w:sz w:val="20"/>
          <w:szCs w:val="20"/>
          <w:lang w:val="es-ES_tradnl"/>
        </w:rPr>
        <w:t xml:space="preserve"> IV.3.</w:t>
      </w:r>
    </w:p>
    <w:p w:rsidR="00236E18" w:rsidRPr="008B4DB8" w:rsidRDefault="00236E18" w:rsidP="00236E18">
      <w:pPr>
        <w:pStyle w:val="ListParagraph"/>
        <w:tabs>
          <w:tab w:val="left" w:pos="709"/>
        </w:tabs>
        <w:autoSpaceDE w:val="0"/>
        <w:autoSpaceDN w:val="0"/>
        <w:adjustRightInd w:val="0"/>
        <w:ind w:left="0"/>
        <w:rPr>
          <w:rFonts w:ascii="Arial" w:hAnsi="Arial" w:cs="Arial"/>
          <w:sz w:val="20"/>
          <w:lang w:val="es-ES"/>
        </w:rPr>
      </w:pPr>
    </w:p>
    <w:p w:rsidR="00236E18" w:rsidRPr="008B4DB8" w:rsidRDefault="00236E18" w:rsidP="00236E18">
      <w:pPr>
        <w:tabs>
          <w:tab w:val="left" w:pos="567"/>
          <w:tab w:val="left" w:pos="1985"/>
        </w:tabs>
        <w:jc w:val="center"/>
        <w:rPr>
          <w:bCs/>
        </w:rPr>
      </w:pPr>
    </w:p>
    <w:p w:rsidR="00236E18" w:rsidRPr="008B4DB8" w:rsidRDefault="00236E18" w:rsidP="00236E18">
      <w:pPr>
        <w:tabs>
          <w:tab w:val="left" w:pos="567"/>
          <w:tab w:val="left" w:pos="1985"/>
        </w:tabs>
        <w:jc w:val="center"/>
        <w:rPr>
          <w:bCs/>
          <w:sz w:val="20"/>
          <w:lang w:val="es-ES_tradnl"/>
        </w:rPr>
      </w:pPr>
      <w:r w:rsidRPr="008B4DB8">
        <w:rPr>
          <w:b/>
          <w:bCs/>
          <w:sz w:val="20"/>
          <w:lang w:val="es-ES_tradnl"/>
        </w:rPr>
        <w:t>Programa 13</w:t>
      </w:r>
      <w:proofErr w:type="gramStart"/>
      <w:r w:rsidRPr="008B4DB8">
        <w:rPr>
          <w:b/>
          <w:bCs/>
          <w:sz w:val="20"/>
          <w:lang w:val="es-ES_tradnl"/>
        </w:rPr>
        <w:t>:  Recursos</w:t>
      </w:r>
      <w:proofErr w:type="gramEnd"/>
      <w:r w:rsidRPr="008B4DB8">
        <w:rPr>
          <w:b/>
          <w:bCs/>
          <w:sz w:val="20"/>
          <w:lang w:val="es-ES_tradnl"/>
        </w:rPr>
        <w:t xml:space="preserve"> por resultado</w:t>
      </w:r>
    </w:p>
    <w:p w:rsidR="00236E18" w:rsidRPr="008B4DB8" w:rsidRDefault="00236E18" w:rsidP="00236E18">
      <w:pPr>
        <w:tabs>
          <w:tab w:val="left" w:pos="567"/>
          <w:tab w:val="left" w:pos="1985"/>
        </w:tabs>
        <w:jc w:val="center"/>
        <w:rPr>
          <w:i/>
          <w:sz w:val="20"/>
          <w:highlight w:val="lightGray"/>
          <w:lang w:val="es-ES_tradnl"/>
        </w:rPr>
      </w:pPr>
      <w:r w:rsidRPr="008B4DB8">
        <w:rPr>
          <w:i/>
          <w:sz w:val="20"/>
          <w:lang w:val="es-ES_tradnl"/>
        </w:rPr>
        <w:t>(</w:t>
      </w:r>
      <w:proofErr w:type="gramStart"/>
      <w:r w:rsidRPr="008B4DB8">
        <w:rPr>
          <w:i/>
          <w:sz w:val="20"/>
          <w:lang w:val="es-ES_tradnl"/>
        </w:rPr>
        <w:t>en</w:t>
      </w:r>
      <w:proofErr w:type="gramEnd"/>
      <w:r w:rsidRPr="008B4DB8">
        <w:rPr>
          <w:i/>
          <w:sz w:val="20"/>
          <w:lang w:val="es-ES_tradnl"/>
        </w:rPr>
        <w:t xml:space="preserve"> miles de francos suizos)</w:t>
      </w:r>
    </w:p>
    <w:p w:rsidR="00236E18" w:rsidRPr="008B4DB8" w:rsidRDefault="00236E18" w:rsidP="00236E18">
      <w:pPr>
        <w:tabs>
          <w:tab w:val="left" w:pos="567"/>
          <w:tab w:val="left" w:pos="1985"/>
        </w:tabs>
        <w:jc w:val="center"/>
        <w:rPr>
          <w:i/>
          <w:sz w:val="20"/>
          <w:szCs w:val="24"/>
          <w:highlight w:val="lightGray"/>
          <w:lang w:val="es-ES_tradnl"/>
        </w:rPr>
      </w:pPr>
    </w:p>
    <w:p w:rsidR="00236E18" w:rsidRPr="00A22ABF" w:rsidRDefault="00236E18" w:rsidP="00236E18">
      <w:pPr>
        <w:tabs>
          <w:tab w:val="left" w:pos="567"/>
          <w:tab w:val="left" w:pos="1985"/>
        </w:tabs>
        <w:jc w:val="center"/>
        <w:rPr>
          <w:i/>
          <w:sz w:val="20"/>
          <w:szCs w:val="24"/>
          <w:highlight w:val="lightGray"/>
        </w:rPr>
      </w:pPr>
      <w:r w:rsidRPr="007E09B2">
        <w:rPr>
          <w:noProof/>
          <w:lang w:val="en-US" w:eastAsia="en-US"/>
        </w:rPr>
        <w:drawing>
          <wp:inline distT="0" distB="0" distL="0" distR="0" wp14:anchorId="463D2F85" wp14:editId="3454CD98">
            <wp:extent cx="5676900" cy="1806575"/>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676900" cy="1806575"/>
                    </a:xfrm>
                    <a:prstGeom prst="rect">
                      <a:avLst/>
                    </a:prstGeom>
                    <a:noFill/>
                    <a:ln>
                      <a:noFill/>
                    </a:ln>
                  </pic:spPr>
                </pic:pic>
              </a:graphicData>
            </a:graphic>
          </wp:inline>
        </w:drawing>
      </w:r>
    </w:p>
    <w:p w:rsidR="00236E18" w:rsidRPr="00A22ABF" w:rsidRDefault="00236E18" w:rsidP="00236E18">
      <w:pPr>
        <w:tabs>
          <w:tab w:val="left" w:pos="567"/>
          <w:tab w:val="left" w:pos="1985"/>
        </w:tabs>
        <w:jc w:val="center"/>
        <w:rPr>
          <w:i/>
          <w:sz w:val="20"/>
          <w:szCs w:val="24"/>
          <w:highlight w:val="lightGray"/>
        </w:rPr>
      </w:pPr>
    </w:p>
    <w:p w:rsidR="00236E18" w:rsidRPr="00A22ABF" w:rsidRDefault="00236E18" w:rsidP="00236E18">
      <w:pPr>
        <w:tabs>
          <w:tab w:val="left" w:pos="567"/>
          <w:tab w:val="left" w:pos="1985"/>
        </w:tabs>
        <w:jc w:val="center"/>
        <w:rPr>
          <w:i/>
          <w:sz w:val="20"/>
          <w:szCs w:val="24"/>
          <w:highlight w:val="lightGray"/>
        </w:rPr>
      </w:pPr>
    </w:p>
    <w:p w:rsidR="00236E18" w:rsidRPr="008B4DB8" w:rsidRDefault="00236E18" w:rsidP="00236E18">
      <w:pPr>
        <w:keepNext/>
        <w:keepLines/>
        <w:tabs>
          <w:tab w:val="left" w:pos="1427"/>
        </w:tabs>
        <w:jc w:val="center"/>
        <w:rPr>
          <w:sz w:val="20"/>
          <w:lang w:val="es-ES_tradnl"/>
        </w:rPr>
      </w:pPr>
      <w:r w:rsidRPr="008B4DB8">
        <w:rPr>
          <w:b/>
          <w:sz w:val="20"/>
          <w:lang w:val="es-ES_tradnl"/>
        </w:rPr>
        <w:lastRenderedPageBreak/>
        <w:t>Programa 13</w:t>
      </w:r>
      <w:proofErr w:type="gramStart"/>
      <w:r w:rsidRPr="008B4DB8">
        <w:rPr>
          <w:b/>
          <w:sz w:val="20"/>
          <w:lang w:val="es-ES_tradnl"/>
        </w:rPr>
        <w:t>:  Recursos</w:t>
      </w:r>
      <w:proofErr w:type="gramEnd"/>
      <w:r w:rsidRPr="008B4DB8">
        <w:rPr>
          <w:b/>
          <w:sz w:val="20"/>
          <w:lang w:val="es-ES_tradnl"/>
        </w:rPr>
        <w:t xml:space="preserve"> por objeto de gasto</w:t>
      </w:r>
    </w:p>
    <w:p w:rsidR="00236E18" w:rsidRPr="008B4DB8" w:rsidRDefault="00236E18" w:rsidP="00236E18">
      <w:pPr>
        <w:keepNext/>
        <w:keepLines/>
        <w:tabs>
          <w:tab w:val="left" w:pos="1427"/>
        </w:tabs>
        <w:jc w:val="center"/>
        <w:rPr>
          <w:i/>
          <w:sz w:val="20"/>
          <w:szCs w:val="24"/>
          <w:highlight w:val="lightGray"/>
          <w:lang w:val="es-ES_tradnl"/>
        </w:rPr>
      </w:pPr>
      <w:r w:rsidRPr="008B4DB8">
        <w:rPr>
          <w:i/>
          <w:sz w:val="20"/>
          <w:lang w:val="es-ES_tradnl"/>
        </w:rPr>
        <w:t>(</w:t>
      </w:r>
      <w:proofErr w:type="gramStart"/>
      <w:r w:rsidRPr="008B4DB8">
        <w:rPr>
          <w:i/>
          <w:sz w:val="20"/>
          <w:lang w:val="es-ES_tradnl"/>
        </w:rPr>
        <w:t>en</w:t>
      </w:r>
      <w:proofErr w:type="gramEnd"/>
      <w:r w:rsidRPr="008B4DB8">
        <w:rPr>
          <w:i/>
          <w:sz w:val="20"/>
          <w:lang w:val="es-ES_tradnl"/>
        </w:rPr>
        <w:t xml:space="preserve"> miles de francos suizos)</w:t>
      </w:r>
    </w:p>
    <w:p w:rsidR="00236E18" w:rsidRPr="008B4DB8" w:rsidRDefault="00236E18" w:rsidP="00236E18">
      <w:pPr>
        <w:keepNext/>
        <w:keepLines/>
        <w:tabs>
          <w:tab w:val="left" w:pos="1427"/>
        </w:tabs>
        <w:jc w:val="center"/>
        <w:rPr>
          <w:highlight w:val="lightGray"/>
          <w:lang w:val="es-ES_tradnl"/>
        </w:rPr>
      </w:pPr>
    </w:p>
    <w:p w:rsidR="00236E18" w:rsidRPr="009B4A78" w:rsidRDefault="00236E18" w:rsidP="00236E18">
      <w:pPr>
        <w:keepNext/>
        <w:keepLines/>
        <w:autoSpaceDE w:val="0"/>
        <w:autoSpaceDN w:val="0"/>
        <w:ind w:left="-142" w:firstLine="142"/>
        <w:jc w:val="center"/>
        <w:rPr>
          <w:i/>
          <w:sz w:val="20"/>
          <w:szCs w:val="24"/>
        </w:rPr>
      </w:pPr>
      <w:r>
        <w:rPr>
          <w:noProof/>
          <w:lang w:val="en-US" w:eastAsia="en-US"/>
        </w:rPr>
        <w:drawing>
          <wp:inline distT="0" distB="0" distL="0" distR="0" wp14:anchorId="3E723C9B" wp14:editId="3F8BDF40">
            <wp:extent cx="5940425" cy="6147324"/>
            <wp:effectExtent l="0" t="0" r="3175" b="6350"/>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940425" cy="6147324"/>
                    </a:xfrm>
                    <a:prstGeom prst="rect">
                      <a:avLst/>
                    </a:prstGeom>
                    <a:noFill/>
                    <a:ln>
                      <a:noFill/>
                    </a:ln>
                  </pic:spPr>
                </pic:pic>
              </a:graphicData>
            </a:graphic>
          </wp:inline>
        </w:drawing>
      </w:r>
      <w:r w:rsidRPr="009B4A78">
        <w:rPr>
          <w:i/>
          <w:sz w:val="20"/>
          <w:szCs w:val="24"/>
        </w:rPr>
        <w:t xml:space="preserve"> </w:t>
      </w:r>
    </w:p>
    <w:p w:rsidR="00236E18" w:rsidRPr="009B4A78" w:rsidRDefault="00236E18" w:rsidP="00236E18">
      <w:pPr>
        <w:keepNext/>
        <w:keepLines/>
        <w:autoSpaceDE w:val="0"/>
        <w:autoSpaceDN w:val="0"/>
        <w:ind w:left="-142" w:hanging="284"/>
        <w:jc w:val="center"/>
        <w:rPr>
          <w:i/>
          <w:sz w:val="20"/>
          <w:szCs w:val="24"/>
        </w:rPr>
      </w:pPr>
    </w:p>
    <w:p w:rsidR="00236E18" w:rsidRPr="009B4A78" w:rsidRDefault="00236E18" w:rsidP="00236E18">
      <w:pPr>
        <w:tabs>
          <w:tab w:val="left" w:pos="567"/>
          <w:tab w:val="left" w:pos="1985"/>
        </w:tabs>
        <w:jc w:val="both"/>
        <w:rPr>
          <w:bCs/>
          <w:sz w:val="20"/>
        </w:rPr>
      </w:pPr>
    </w:p>
    <w:p w:rsidR="00236E18" w:rsidRPr="0074473B" w:rsidRDefault="00236E18" w:rsidP="00236E18">
      <w:pPr>
        <w:rPr>
          <w:rFonts w:eastAsiaTheme="minorEastAsia"/>
          <w:sz w:val="20"/>
          <w:lang w:val="es-ES_tradnl" w:eastAsia="ja-JP"/>
        </w:rPr>
      </w:pPr>
      <w:r>
        <w:rPr>
          <w:sz w:val="20"/>
        </w:rPr>
        <w:br w:type="page"/>
      </w:r>
    </w:p>
    <w:p w:rsidR="00236E18" w:rsidRPr="00F4741E" w:rsidRDefault="00236E18" w:rsidP="00236E18">
      <w:pPr>
        <w:pStyle w:val="StyleStyleHeading3ComplexItalicLatin12pt"/>
        <w:ind w:left="1985" w:hanging="1985"/>
        <w:rPr>
          <w:lang w:val="es-ES"/>
        </w:rPr>
      </w:pPr>
      <w:bookmarkStart w:id="81" w:name="_Toc431573558"/>
      <w:bookmarkStart w:id="82" w:name="_Toc431573959"/>
      <w:r w:rsidRPr="00F4741E">
        <w:rPr>
          <w:lang w:val="es-ES"/>
        </w:rPr>
        <w:lastRenderedPageBreak/>
        <w:t>PROGRAMA 14</w:t>
      </w:r>
      <w:r w:rsidRPr="00F4741E">
        <w:rPr>
          <w:lang w:val="es-ES"/>
        </w:rPr>
        <w:tab/>
        <w:t>SERVICIOS DE ACCESO A LA INFORMACIÓN Y A LOS CONOCIMIENTOS</w:t>
      </w:r>
      <w:bookmarkEnd w:id="81"/>
      <w:bookmarkEnd w:id="82"/>
    </w:p>
    <w:p w:rsidR="00236E18" w:rsidRPr="00457309" w:rsidRDefault="00236E18" w:rsidP="00236E18">
      <w:pPr>
        <w:rPr>
          <w:rFonts w:eastAsia="Times New Roman"/>
          <w:sz w:val="20"/>
          <w:lang w:val="es-ES_tradnl"/>
        </w:rPr>
      </w:pPr>
    </w:p>
    <w:p w:rsidR="00236E18" w:rsidRPr="00457309" w:rsidRDefault="00236E18" w:rsidP="00236E18">
      <w:pPr>
        <w:rPr>
          <w:rFonts w:eastAsia="Times New Roman"/>
          <w:sz w:val="20"/>
          <w:lang w:val="es-ES_tradnl"/>
        </w:rPr>
      </w:pPr>
    </w:p>
    <w:p w:rsidR="00236E18" w:rsidRPr="00457309" w:rsidRDefault="00236E18" w:rsidP="00236E18">
      <w:pPr>
        <w:ind w:left="1985" w:hanging="1985"/>
        <w:jc w:val="both"/>
        <w:rPr>
          <w:rFonts w:eastAsia="Times New Roman"/>
          <w:lang w:val="es-ES_tradnl"/>
        </w:rPr>
      </w:pPr>
      <w:r w:rsidRPr="00457309">
        <w:rPr>
          <w:rFonts w:eastAsia="Times New Roman"/>
          <w:lang w:val="es-ES_tradnl"/>
        </w:rPr>
        <w:t>CONTEXTO DE PLANIFICACIÓN</w:t>
      </w:r>
    </w:p>
    <w:p w:rsidR="00236E18" w:rsidRPr="00457309" w:rsidRDefault="00236E18" w:rsidP="00236E18">
      <w:pPr>
        <w:rPr>
          <w:rFonts w:eastAsia="Times New Roman" w:cs="Times New Roman"/>
          <w:sz w:val="20"/>
          <w:lang w:val="es-ES_tradnl"/>
        </w:rPr>
      </w:pPr>
    </w:p>
    <w:p w:rsidR="00236E18" w:rsidRPr="00457309" w:rsidRDefault="00236E18" w:rsidP="00236E18">
      <w:pPr>
        <w:numPr>
          <w:ilvl w:val="0"/>
          <w:numId w:val="28"/>
        </w:numPr>
        <w:tabs>
          <w:tab w:val="clear" w:pos="825"/>
        </w:tabs>
        <w:ind w:left="0"/>
        <w:jc w:val="both"/>
        <w:rPr>
          <w:rFonts w:eastAsia="Times New Roman"/>
          <w:bCs/>
          <w:sz w:val="20"/>
          <w:lang w:val="es-ES_tradnl"/>
        </w:rPr>
      </w:pPr>
      <w:r w:rsidRPr="00457309">
        <w:rPr>
          <w:rFonts w:eastAsia="Times New Roman"/>
          <w:bCs/>
          <w:sz w:val="20"/>
          <w:lang w:val="es-ES_tradnl"/>
        </w:rPr>
        <w:t>Se ha reconocido que el acceso a la información tecnológica contenida en las patentes y las publicaciones científicas y técnicas es un elemento esencial para reducir la brecha de los conocimientos.  Si bien se han registrado avances en la facilitación del acceso a dicha información, ha surgido una nueva necesidad de fortalecer la capacidad de los países en desarrollo y los países menos adelantados para usar y analizar esta información.</w:t>
      </w:r>
    </w:p>
    <w:p w:rsidR="00236E18" w:rsidRPr="00457309" w:rsidRDefault="00236E18" w:rsidP="00236E18">
      <w:pPr>
        <w:jc w:val="both"/>
        <w:rPr>
          <w:rFonts w:eastAsia="Times New Roman"/>
          <w:bCs/>
          <w:sz w:val="20"/>
          <w:lang w:val="es-ES_tradnl"/>
        </w:rPr>
      </w:pPr>
    </w:p>
    <w:p w:rsidR="00236E18" w:rsidRPr="00457309" w:rsidRDefault="00236E18" w:rsidP="00236E18">
      <w:pPr>
        <w:pStyle w:val="ListParagraph"/>
        <w:numPr>
          <w:ilvl w:val="0"/>
          <w:numId w:val="28"/>
        </w:numPr>
        <w:tabs>
          <w:tab w:val="clear" w:pos="825"/>
          <w:tab w:val="num" w:pos="683"/>
        </w:tabs>
        <w:ind w:left="0"/>
        <w:jc w:val="both"/>
        <w:rPr>
          <w:rFonts w:ascii="Arial" w:eastAsia="MS Mincho" w:hAnsi="Arial" w:cs="Arial"/>
          <w:sz w:val="20"/>
          <w:szCs w:val="20"/>
          <w:lang w:val="es-ES_tradnl" w:bidi="th-TH"/>
        </w:rPr>
      </w:pPr>
      <w:r w:rsidRPr="00457309">
        <w:rPr>
          <w:rFonts w:ascii="Arial" w:eastAsia="MS Mincho" w:hAnsi="Arial" w:cs="Arial"/>
          <w:sz w:val="20"/>
          <w:szCs w:val="20"/>
          <w:lang w:val="es-ES_tradnl" w:bidi="th-TH"/>
        </w:rPr>
        <w:t>La labor del programa guarda relación con las recomendaciones de la A.D. destinadas a mejorar el acceso a la información sobre tecnología y su utilización, así como el fortalecimiento de las instituciones de P.I., a saber, las recomendaciones 1, 8, 10, 11, 19, 30 y 31.  Además, mediante el programa se establecerá una coordinación estrecha con los Estados miembros, las OIG y las ONG en aras del desarrollo de plataformas, herramientas e infraestructuras de la P.I. compatibles.</w:t>
      </w:r>
    </w:p>
    <w:p w:rsidR="00236E18" w:rsidRPr="00457309" w:rsidRDefault="00236E18" w:rsidP="00236E18">
      <w:pPr>
        <w:pStyle w:val="ListParagraph"/>
        <w:ind w:left="0"/>
        <w:rPr>
          <w:rFonts w:ascii="Arial" w:eastAsia="MS Mincho" w:hAnsi="Arial" w:cs="Arial"/>
          <w:sz w:val="20"/>
          <w:szCs w:val="20"/>
          <w:lang w:val="es-ES_tradnl" w:bidi="th-TH"/>
        </w:rPr>
      </w:pPr>
    </w:p>
    <w:p w:rsidR="00236E18" w:rsidRPr="00457309" w:rsidRDefault="00236E18" w:rsidP="00236E18">
      <w:pPr>
        <w:tabs>
          <w:tab w:val="num" w:pos="709"/>
        </w:tabs>
        <w:jc w:val="both"/>
        <w:rPr>
          <w:rFonts w:eastAsia="Times New Roman"/>
          <w:sz w:val="20"/>
          <w:lang w:val="es-ES_tradnl"/>
        </w:rPr>
      </w:pPr>
    </w:p>
    <w:p w:rsidR="00236E18" w:rsidRPr="00457309" w:rsidRDefault="00236E18" w:rsidP="00236E18">
      <w:pPr>
        <w:tabs>
          <w:tab w:val="num" w:pos="709"/>
        </w:tabs>
        <w:jc w:val="both"/>
        <w:rPr>
          <w:rFonts w:eastAsia="Times New Roman"/>
          <w:bCs/>
          <w:lang w:val="es-ES_tradnl"/>
        </w:rPr>
      </w:pPr>
      <w:r w:rsidRPr="00457309">
        <w:rPr>
          <w:rFonts w:eastAsia="Times New Roman"/>
          <w:bCs/>
          <w:lang w:val="es-ES_tradnl"/>
        </w:rPr>
        <w:t>ESTRATEGIAS DE EJECUCIÓN</w:t>
      </w:r>
    </w:p>
    <w:p w:rsidR="00236E18" w:rsidRPr="00457309" w:rsidRDefault="00236E18" w:rsidP="00236E18">
      <w:pPr>
        <w:tabs>
          <w:tab w:val="num" w:pos="709"/>
        </w:tabs>
        <w:jc w:val="both"/>
        <w:rPr>
          <w:rFonts w:eastAsia="Times New Roman"/>
          <w:bCs/>
          <w:lang w:val="es-ES_tradnl"/>
        </w:rPr>
      </w:pPr>
    </w:p>
    <w:p w:rsidR="00236E18" w:rsidRPr="00457309" w:rsidRDefault="00236E18" w:rsidP="00236E18">
      <w:pPr>
        <w:numPr>
          <w:ilvl w:val="0"/>
          <w:numId w:val="28"/>
        </w:numPr>
        <w:tabs>
          <w:tab w:val="clear" w:pos="825"/>
        </w:tabs>
        <w:ind w:left="0"/>
        <w:jc w:val="both"/>
        <w:rPr>
          <w:rFonts w:eastAsia="Times New Roman"/>
          <w:bCs/>
          <w:sz w:val="20"/>
          <w:lang w:val="es-ES_tradnl"/>
        </w:rPr>
      </w:pPr>
      <w:r w:rsidRPr="00457309">
        <w:rPr>
          <w:rFonts w:eastAsia="Times New Roman"/>
          <w:bCs/>
          <w:sz w:val="20"/>
          <w:lang w:val="es-ES_tradnl"/>
        </w:rPr>
        <w:t>El programa sigue facilitando el acceso de los países menos adelantados a las herramientas de búsqueda y las bases de datos de patentes y de otro tipo disponibles en el comercio, y asistiendo a los Estados miembros en el establecimiento de puntos institucionales de acceso a servicios de información sobre tecnología de alta calidad.  El programa centrará sus esfuerzos en respaldar las actividades de los Centros de Apoyo a la Tecnología y la Innovación (CATI), y mejorar su capacidad para analizar la información a fin de fomentar la innovación autóctona local.</w:t>
      </w:r>
    </w:p>
    <w:p w:rsidR="00236E18" w:rsidRPr="00457309" w:rsidRDefault="00236E18" w:rsidP="00236E18">
      <w:pPr>
        <w:tabs>
          <w:tab w:val="num" w:pos="709"/>
        </w:tabs>
        <w:jc w:val="both"/>
        <w:rPr>
          <w:rFonts w:eastAsia="Times New Roman"/>
          <w:bCs/>
          <w:u w:val="single"/>
          <w:lang w:val="es-ES_tradnl"/>
        </w:rPr>
      </w:pPr>
    </w:p>
    <w:p w:rsidR="00236E18" w:rsidRPr="00457309" w:rsidRDefault="00236E18" w:rsidP="00236E18">
      <w:pPr>
        <w:tabs>
          <w:tab w:val="num" w:pos="709"/>
        </w:tabs>
        <w:jc w:val="both"/>
        <w:rPr>
          <w:rFonts w:eastAsia="Times New Roman"/>
          <w:bCs/>
          <w:u w:val="single"/>
          <w:lang w:val="es-ES_tradnl"/>
        </w:rPr>
      </w:pPr>
      <w:r w:rsidRPr="00457309">
        <w:rPr>
          <w:rFonts w:eastAsia="Times New Roman"/>
          <w:bCs/>
          <w:u w:val="single"/>
          <w:lang w:val="es-ES_tradnl"/>
        </w:rPr>
        <w:t>Suministrar acceso a las bases</w:t>
      </w:r>
      <w:r>
        <w:rPr>
          <w:rFonts w:eastAsia="Times New Roman"/>
          <w:bCs/>
          <w:u w:val="single"/>
          <w:lang w:val="es-ES_tradnl"/>
        </w:rPr>
        <w:t xml:space="preserve"> comerciales</w:t>
      </w:r>
      <w:r w:rsidRPr="00457309">
        <w:rPr>
          <w:rFonts w:eastAsia="Times New Roman"/>
          <w:bCs/>
          <w:u w:val="single"/>
          <w:lang w:val="es-ES_tradnl"/>
        </w:rPr>
        <w:t xml:space="preserve"> de datos de información científica, técnica y d</w:t>
      </w:r>
      <w:r>
        <w:rPr>
          <w:rFonts w:eastAsia="Times New Roman"/>
          <w:bCs/>
          <w:u w:val="single"/>
          <w:lang w:val="es-ES_tradnl"/>
        </w:rPr>
        <w:t>e patentes</w:t>
      </w:r>
    </w:p>
    <w:p w:rsidR="00236E18" w:rsidRPr="00457309" w:rsidRDefault="00236E18" w:rsidP="00236E18">
      <w:pPr>
        <w:tabs>
          <w:tab w:val="num" w:pos="709"/>
        </w:tabs>
        <w:jc w:val="both"/>
        <w:rPr>
          <w:rFonts w:eastAsia="Times New Roman"/>
          <w:bCs/>
          <w:lang w:val="es-ES_tradnl"/>
        </w:rPr>
      </w:pPr>
    </w:p>
    <w:p w:rsidR="00236E18" w:rsidRPr="00457309" w:rsidRDefault="00236E18" w:rsidP="00236E18">
      <w:pPr>
        <w:numPr>
          <w:ilvl w:val="0"/>
          <w:numId w:val="28"/>
        </w:numPr>
        <w:tabs>
          <w:tab w:val="clear" w:pos="825"/>
        </w:tabs>
        <w:ind w:left="0"/>
        <w:jc w:val="both"/>
        <w:rPr>
          <w:rFonts w:eastAsia="Times New Roman"/>
          <w:bCs/>
          <w:sz w:val="20"/>
          <w:lang w:val="es-ES_tradnl"/>
        </w:rPr>
      </w:pPr>
      <w:r w:rsidRPr="00457309">
        <w:rPr>
          <w:rFonts w:eastAsia="Times New Roman"/>
          <w:bCs/>
          <w:sz w:val="20"/>
          <w:lang w:val="es-ES_tradnl"/>
        </w:rPr>
        <w:t>Seguirá suministrándose acceso, sin cargo o a bajo costo, a bases de datos con información científica y técnica a través de los programas de acceso a la información especializada sobre patentes (ASPI) y de acceso a la investigación para el desarrollo y la innovación (ARDI).  Ambos programas permiten que las oficinas de P.I. y las instituciones académicas y de investigación de más de 100 Estados miembros calificados puedan acceder, sin cargo o a bajo costo, a más de 20.000 revistas revisadas por expertos, libros, obras de referencia y herramientas de búsqueda y análisis de patentes.  ARDI continuará su integración en las actividades del programa Research4Life (R4L), en el que colaboran la OMS, la FAO y el PNUMA, sobre todo en lo que concierne a las funciones auxiliares de gestión técnica de los programas, como la comunicación, la mercadotecnia y la formación.</w:t>
      </w:r>
    </w:p>
    <w:p w:rsidR="00236E18" w:rsidRPr="00457309" w:rsidRDefault="00236E18" w:rsidP="00236E18">
      <w:pPr>
        <w:tabs>
          <w:tab w:val="num" w:pos="709"/>
        </w:tabs>
        <w:jc w:val="both"/>
        <w:rPr>
          <w:rFonts w:eastAsia="Times New Roman"/>
          <w:bCs/>
          <w:lang w:val="es-ES_tradnl"/>
        </w:rPr>
      </w:pPr>
    </w:p>
    <w:p w:rsidR="00236E18" w:rsidRPr="00457309" w:rsidRDefault="00236E18" w:rsidP="00236E18">
      <w:pPr>
        <w:tabs>
          <w:tab w:val="num" w:pos="709"/>
        </w:tabs>
        <w:jc w:val="both"/>
        <w:rPr>
          <w:rFonts w:eastAsia="Times New Roman"/>
          <w:bCs/>
          <w:u w:val="single"/>
          <w:lang w:val="es-ES_tradnl"/>
        </w:rPr>
      </w:pPr>
      <w:r w:rsidRPr="00457309">
        <w:rPr>
          <w:rFonts w:eastAsia="Times New Roman"/>
          <w:bCs/>
          <w:u w:val="single"/>
          <w:lang w:val="es-ES_tradnl"/>
        </w:rPr>
        <w:t>Desarrollo de redes de CATI eficaces y sostenibles</w:t>
      </w:r>
    </w:p>
    <w:p w:rsidR="00236E18" w:rsidRPr="00457309" w:rsidRDefault="00236E18" w:rsidP="00236E18">
      <w:pPr>
        <w:tabs>
          <w:tab w:val="num" w:pos="709"/>
        </w:tabs>
        <w:jc w:val="both"/>
        <w:rPr>
          <w:rFonts w:eastAsia="Times New Roman"/>
          <w:bCs/>
          <w:lang w:val="es-ES_tradnl"/>
        </w:rPr>
      </w:pPr>
    </w:p>
    <w:p w:rsidR="00236E18" w:rsidRPr="00457309" w:rsidRDefault="00236E18" w:rsidP="00236E18">
      <w:pPr>
        <w:numPr>
          <w:ilvl w:val="0"/>
          <w:numId w:val="28"/>
        </w:numPr>
        <w:tabs>
          <w:tab w:val="clear" w:pos="825"/>
        </w:tabs>
        <w:ind w:left="0"/>
        <w:jc w:val="both"/>
        <w:rPr>
          <w:rFonts w:eastAsia="Times New Roman"/>
          <w:bCs/>
          <w:sz w:val="20"/>
          <w:lang w:val="es-ES_tradnl"/>
        </w:rPr>
      </w:pPr>
      <w:r w:rsidRPr="00457309">
        <w:rPr>
          <w:rFonts w:eastAsia="Times New Roman"/>
          <w:bCs/>
          <w:sz w:val="20"/>
          <w:lang w:val="es-ES_tradnl"/>
        </w:rPr>
        <w:t xml:space="preserve">Mientras que en los dos bienios anteriores el objetivo se centró en establecer los CATI, en 2016/17, los esfuerzos se concentrarán cada vez más en respaldar y fortalecer la eficacia y sostenibilidad de sus servicios.  Entre las actividades de apoyo se incluirán:  </w:t>
      </w:r>
      <w:r>
        <w:rPr>
          <w:rFonts w:eastAsia="Times New Roman"/>
          <w:bCs/>
          <w:sz w:val="20"/>
          <w:lang w:val="es-ES_tradnl"/>
        </w:rPr>
        <w:t xml:space="preserve">puesta disposición de </w:t>
      </w:r>
      <w:r w:rsidRPr="00457309">
        <w:rPr>
          <w:rFonts w:eastAsia="Times New Roman"/>
          <w:bCs/>
          <w:sz w:val="20"/>
          <w:lang w:val="es-ES_tradnl"/>
        </w:rPr>
        <w:t xml:space="preserve">una mayor variedad de programas de formación de formadores </w:t>
      </w:r>
      <w:r w:rsidRPr="00457309">
        <w:rPr>
          <w:rFonts w:eastAsia="Times New Roman"/>
          <w:bCs/>
          <w:i/>
          <w:sz w:val="20"/>
          <w:lang w:val="es-ES_tradnl"/>
        </w:rPr>
        <w:t>in situ</w:t>
      </w:r>
      <w:r w:rsidRPr="00457309">
        <w:rPr>
          <w:rFonts w:eastAsia="Times New Roman"/>
          <w:bCs/>
          <w:sz w:val="20"/>
          <w:lang w:val="es-ES_tradnl"/>
        </w:rPr>
        <w:t xml:space="preserve"> y en línea para miembros del personal de los CATI;  el perfeccionamiento de la guía electrónica interactiva sobre el uso y el aprovechamiento de la información sobre patentes;  el fomento de la creación de redes y el intercambio de conocimientos mediante la plataforma </w:t>
      </w:r>
      <w:proofErr w:type="spellStart"/>
      <w:r w:rsidRPr="00457309">
        <w:rPr>
          <w:rFonts w:eastAsia="Times New Roman"/>
          <w:bCs/>
          <w:sz w:val="20"/>
          <w:lang w:val="es-ES_tradnl"/>
        </w:rPr>
        <w:t>eTISC</w:t>
      </w:r>
      <w:proofErr w:type="spellEnd"/>
      <w:r w:rsidRPr="00457309">
        <w:rPr>
          <w:rFonts w:eastAsia="Times New Roman"/>
          <w:bCs/>
          <w:sz w:val="20"/>
          <w:lang w:val="es-ES_tradnl"/>
        </w:rPr>
        <w:t xml:space="preserve"> y la creación de redes y plataformas de los CATI;  la realización de evaluaciones continuas en materia de sostenibilidad;  y el intercambio de "</w:t>
      </w:r>
      <w:r>
        <w:rPr>
          <w:rFonts w:eastAsia="Times New Roman"/>
          <w:bCs/>
          <w:sz w:val="20"/>
          <w:lang w:val="es-ES_tradnl"/>
        </w:rPr>
        <w:t>experiencias positivas</w:t>
      </w:r>
      <w:r w:rsidRPr="00457309">
        <w:rPr>
          <w:rFonts w:eastAsia="Times New Roman"/>
          <w:bCs/>
          <w:sz w:val="20"/>
          <w:lang w:val="es-ES_tradnl"/>
        </w:rPr>
        <w:t>" que hayan logrado resultados concretos a través de los servicios que prestan los CATI.</w:t>
      </w:r>
    </w:p>
    <w:p w:rsidR="00236E18" w:rsidRPr="00457309" w:rsidRDefault="00236E18" w:rsidP="00236E18">
      <w:pPr>
        <w:tabs>
          <w:tab w:val="num" w:pos="709"/>
        </w:tabs>
        <w:jc w:val="both"/>
        <w:rPr>
          <w:rFonts w:eastAsia="Times New Roman"/>
          <w:bCs/>
          <w:lang w:val="es-ES_tradnl"/>
        </w:rPr>
      </w:pPr>
    </w:p>
    <w:p w:rsidR="00236E18" w:rsidRPr="00457309" w:rsidRDefault="00236E18" w:rsidP="00236E18">
      <w:pPr>
        <w:tabs>
          <w:tab w:val="num" w:pos="709"/>
        </w:tabs>
        <w:jc w:val="both"/>
        <w:rPr>
          <w:rFonts w:eastAsia="Times New Roman"/>
          <w:bCs/>
          <w:u w:val="single"/>
          <w:lang w:val="es-ES_tradnl"/>
        </w:rPr>
      </w:pPr>
      <w:r w:rsidRPr="00457309">
        <w:rPr>
          <w:rFonts w:eastAsia="Times New Roman"/>
          <w:bCs/>
          <w:u w:val="single"/>
          <w:lang w:val="es-ES_tradnl"/>
        </w:rPr>
        <w:t>Perfeccionamiento de los servicios de valor añadido</w:t>
      </w:r>
    </w:p>
    <w:p w:rsidR="00236E18" w:rsidRPr="00457309" w:rsidRDefault="00236E18" w:rsidP="00236E18">
      <w:pPr>
        <w:tabs>
          <w:tab w:val="num" w:pos="709"/>
        </w:tabs>
        <w:jc w:val="both"/>
        <w:rPr>
          <w:rFonts w:eastAsia="Times New Roman"/>
          <w:bCs/>
          <w:lang w:val="es-ES_tradnl"/>
        </w:rPr>
      </w:pPr>
    </w:p>
    <w:p w:rsidR="00236E18" w:rsidRPr="00457309" w:rsidRDefault="00236E18" w:rsidP="00236E18">
      <w:pPr>
        <w:numPr>
          <w:ilvl w:val="0"/>
          <w:numId w:val="28"/>
        </w:numPr>
        <w:tabs>
          <w:tab w:val="clear" w:pos="825"/>
        </w:tabs>
        <w:ind w:left="0"/>
        <w:jc w:val="both"/>
        <w:rPr>
          <w:rFonts w:eastAsia="Times New Roman"/>
          <w:bCs/>
          <w:sz w:val="20"/>
          <w:lang w:val="es-ES_tradnl"/>
        </w:rPr>
      </w:pPr>
      <w:r w:rsidRPr="00457309">
        <w:rPr>
          <w:rFonts w:eastAsia="Times New Roman"/>
          <w:bCs/>
          <w:sz w:val="20"/>
          <w:lang w:val="es-ES_tradnl"/>
        </w:rPr>
        <w:t>Se seguirán perfeccionando los servicios de los CATI, tomando en cuenta las demandas de los usuarios que piden una gama más amplia de servicios de valor añadido, como el análisis de la información contenida en patentes.  El apoyo permitirá que los CATI proporcionen a los usuarios servicios de valor añadido, como</w:t>
      </w:r>
      <w:proofErr w:type="gramStart"/>
      <w:r w:rsidRPr="00457309">
        <w:rPr>
          <w:rFonts w:eastAsia="Times New Roman"/>
          <w:bCs/>
          <w:sz w:val="20"/>
          <w:lang w:val="es-ES_tradnl"/>
        </w:rPr>
        <w:t>:  búsquedas</w:t>
      </w:r>
      <w:proofErr w:type="gramEnd"/>
      <w:r w:rsidRPr="00457309">
        <w:rPr>
          <w:rFonts w:eastAsia="Times New Roman"/>
          <w:bCs/>
          <w:sz w:val="20"/>
          <w:lang w:val="es-ES_tradnl"/>
        </w:rPr>
        <w:t xml:space="preserve"> del estado de la técnica realizadas hasta la fecha por los servicios de la OMPI de información sobre patentes;  e informes sobre la actividad de </w:t>
      </w:r>
      <w:proofErr w:type="spellStart"/>
      <w:r w:rsidRPr="00457309">
        <w:rPr>
          <w:rFonts w:eastAsia="Times New Roman"/>
          <w:bCs/>
          <w:sz w:val="20"/>
          <w:lang w:val="es-ES_tradnl"/>
        </w:rPr>
        <w:t>patentamiento</w:t>
      </w:r>
      <w:proofErr w:type="spellEnd"/>
      <w:r w:rsidRPr="00457309">
        <w:rPr>
          <w:rFonts w:eastAsia="Times New Roman"/>
          <w:bCs/>
          <w:sz w:val="20"/>
          <w:lang w:val="es-ES_tradnl"/>
        </w:rPr>
        <w:t xml:space="preserve"> mediante el uso de las directrices de la OMPI para el análisis de la información contenida en patentes </w:t>
      </w:r>
      <w:r w:rsidRPr="00457309">
        <w:rPr>
          <w:rFonts w:eastAsia="Times New Roman"/>
          <w:bCs/>
          <w:sz w:val="20"/>
          <w:lang w:val="es-ES_tradnl"/>
        </w:rPr>
        <w:lastRenderedPageBreak/>
        <w:t>(“</w:t>
      </w:r>
      <w:proofErr w:type="spellStart"/>
      <w:r w:rsidRPr="00457309">
        <w:rPr>
          <w:rFonts w:eastAsia="Times New Roman"/>
          <w:bCs/>
          <w:sz w:val="20"/>
          <w:lang w:val="es-ES_tradnl"/>
        </w:rPr>
        <w:t>Guidelines</w:t>
      </w:r>
      <w:proofErr w:type="spellEnd"/>
      <w:r w:rsidRPr="00457309">
        <w:rPr>
          <w:rFonts w:eastAsia="Times New Roman"/>
          <w:bCs/>
          <w:sz w:val="20"/>
          <w:lang w:val="es-ES_tradnl"/>
        </w:rPr>
        <w:t xml:space="preserve"> </w:t>
      </w:r>
      <w:proofErr w:type="spellStart"/>
      <w:r w:rsidRPr="00457309">
        <w:rPr>
          <w:rFonts w:eastAsia="Times New Roman"/>
          <w:bCs/>
          <w:sz w:val="20"/>
          <w:lang w:val="es-ES_tradnl"/>
        </w:rPr>
        <w:t>for</w:t>
      </w:r>
      <w:proofErr w:type="spellEnd"/>
      <w:r w:rsidRPr="00457309">
        <w:rPr>
          <w:rFonts w:eastAsia="Times New Roman"/>
          <w:bCs/>
          <w:sz w:val="20"/>
          <w:lang w:val="es-ES_tradnl"/>
        </w:rPr>
        <w:t xml:space="preserve"> </w:t>
      </w:r>
      <w:proofErr w:type="spellStart"/>
      <w:r w:rsidRPr="00457309">
        <w:rPr>
          <w:rFonts w:eastAsia="Times New Roman"/>
          <w:bCs/>
          <w:sz w:val="20"/>
          <w:lang w:val="es-ES_tradnl"/>
        </w:rPr>
        <w:t>Preparing</w:t>
      </w:r>
      <w:proofErr w:type="spellEnd"/>
      <w:r w:rsidRPr="00457309">
        <w:rPr>
          <w:rFonts w:eastAsia="Times New Roman"/>
          <w:bCs/>
          <w:sz w:val="20"/>
          <w:lang w:val="es-ES_tradnl"/>
        </w:rPr>
        <w:t xml:space="preserve"> </w:t>
      </w:r>
      <w:proofErr w:type="spellStart"/>
      <w:r w:rsidRPr="00457309">
        <w:rPr>
          <w:rFonts w:eastAsia="Times New Roman"/>
          <w:bCs/>
          <w:sz w:val="20"/>
          <w:lang w:val="es-ES_tradnl"/>
        </w:rPr>
        <w:t>Patent</w:t>
      </w:r>
      <w:proofErr w:type="spellEnd"/>
      <w:r w:rsidRPr="00457309">
        <w:rPr>
          <w:rFonts w:eastAsia="Times New Roman"/>
          <w:bCs/>
          <w:sz w:val="20"/>
          <w:lang w:val="es-ES_tradnl"/>
        </w:rPr>
        <w:t xml:space="preserve"> </w:t>
      </w:r>
      <w:proofErr w:type="spellStart"/>
      <w:r w:rsidRPr="00457309">
        <w:rPr>
          <w:rFonts w:eastAsia="Times New Roman"/>
          <w:bCs/>
          <w:sz w:val="20"/>
          <w:lang w:val="es-ES_tradnl"/>
        </w:rPr>
        <w:t>Landscape</w:t>
      </w:r>
      <w:proofErr w:type="spellEnd"/>
      <w:r w:rsidRPr="00457309">
        <w:rPr>
          <w:rFonts w:eastAsia="Times New Roman"/>
          <w:bCs/>
          <w:sz w:val="20"/>
          <w:lang w:val="es-ES_tradnl"/>
        </w:rPr>
        <w:t xml:space="preserve"> </w:t>
      </w:r>
      <w:proofErr w:type="spellStart"/>
      <w:r w:rsidRPr="00457309">
        <w:rPr>
          <w:rFonts w:eastAsia="Times New Roman"/>
          <w:bCs/>
          <w:sz w:val="20"/>
          <w:lang w:val="es-ES_tradnl"/>
        </w:rPr>
        <w:t>Reports</w:t>
      </w:r>
      <w:proofErr w:type="spellEnd"/>
      <w:r w:rsidRPr="00457309">
        <w:rPr>
          <w:rFonts w:eastAsia="Times New Roman"/>
          <w:bCs/>
          <w:sz w:val="20"/>
          <w:lang w:val="es-ES_tradnl"/>
        </w:rPr>
        <w:t xml:space="preserve">” y “Manual </w:t>
      </w:r>
      <w:proofErr w:type="spellStart"/>
      <w:r w:rsidRPr="00457309">
        <w:rPr>
          <w:rFonts w:eastAsia="Times New Roman"/>
          <w:bCs/>
          <w:sz w:val="20"/>
          <w:lang w:val="es-ES_tradnl"/>
        </w:rPr>
        <w:t>on</w:t>
      </w:r>
      <w:proofErr w:type="spellEnd"/>
      <w:r w:rsidRPr="00457309">
        <w:rPr>
          <w:rFonts w:eastAsia="Times New Roman"/>
          <w:bCs/>
          <w:sz w:val="20"/>
          <w:lang w:val="es-ES_tradnl"/>
        </w:rPr>
        <w:t xml:space="preserve"> Open </w:t>
      </w:r>
      <w:proofErr w:type="spellStart"/>
      <w:r w:rsidRPr="00457309">
        <w:rPr>
          <w:rFonts w:eastAsia="Times New Roman"/>
          <w:bCs/>
          <w:sz w:val="20"/>
          <w:lang w:val="es-ES_tradnl"/>
        </w:rPr>
        <w:t>Source</w:t>
      </w:r>
      <w:proofErr w:type="spellEnd"/>
      <w:r w:rsidRPr="00457309">
        <w:rPr>
          <w:rFonts w:eastAsia="Times New Roman"/>
          <w:bCs/>
          <w:sz w:val="20"/>
          <w:lang w:val="es-ES_tradnl"/>
        </w:rPr>
        <w:t xml:space="preserve"> </w:t>
      </w:r>
      <w:proofErr w:type="spellStart"/>
      <w:r w:rsidRPr="00457309">
        <w:rPr>
          <w:rFonts w:eastAsia="Times New Roman"/>
          <w:bCs/>
          <w:sz w:val="20"/>
          <w:lang w:val="es-ES_tradnl"/>
        </w:rPr>
        <w:t>Patent</w:t>
      </w:r>
      <w:proofErr w:type="spellEnd"/>
      <w:r w:rsidRPr="00457309">
        <w:rPr>
          <w:rFonts w:eastAsia="Times New Roman"/>
          <w:bCs/>
          <w:sz w:val="20"/>
          <w:lang w:val="es-ES_tradnl"/>
        </w:rPr>
        <w:t xml:space="preserve"> </w:t>
      </w:r>
      <w:proofErr w:type="spellStart"/>
      <w:r w:rsidRPr="00457309">
        <w:rPr>
          <w:rFonts w:eastAsia="Times New Roman"/>
          <w:bCs/>
          <w:sz w:val="20"/>
          <w:lang w:val="es-ES_tradnl"/>
        </w:rPr>
        <w:t>Analytics</w:t>
      </w:r>
      <w:proofErr w:type="spellEnd"/>
      <w:r w:rsidRPr="00457309">
        <w:rPr>
          <w:rFonts w:eastAsia="Times New Roman"/>
          <w:bCs/>
          <w:sz w:val="20"/>
          <w:lang w:val="es-ES_tradnl"/>
        </w:rPr>
        <w:t xml:space="preserve"> Tools”).  Para satisfacer la demanda de asesoramiento en gestión y comercialización de activos de P.I., en el marco de los servicios de los CATI también se pondrán en marcha dos proyectos:  el portal de la OMPI que da acceso a bases de datos nacionales con información sobre la situación jurídica de las patentes;  y el "Centro de asesoramiento de los CATI" a través del cual los inventores locales que cumplan las condiciones correspondientes podrán presentar una invención para que los CATI realicen una búsqueda del estado de la técnica y recibir asesoramiento de un abogado voluntario sobre la mejor manera de aprovechar la invención.  Como parte de ese servicio, se puede prever la eventual presentación de una solicitud de patente y otros aspectos comerciales conexos.</w:t>
      </w:r>
    </w:p>
    <w:p w:rsidR="00236E18" w:rsidRPr="00457309" w:rsidRDefault="00236E18" w:rsidP="00236E18">
      <w:pPr>
        <w:jc w:val="both"/>
        <w:rPr>
          <w:rFonts w:eastAsia="Times New Roman"/>
          <w:bCs/>
          <w:sz w:val="20"/>
          <w:lang w:val="es-ES_tradnl"/>
        </w:rPr>
      </w:pPr>
    </w:p>
    <w:p w:rsidR="00236E18" w:rsidRDefault="00236E18" w:rsidP="00236E18">
      <w:pPr>
        <w:numPr>
          <w:ilvl w:val="0"/>
          <w:numId w:val="28"/>
        </w:numPr>
        <w:tabs>
          <w:tab w:val="clear" w:pos="825"/>
        </w:tabs>
        <w:ind w:left="0"/>
        <w:jc w:val="both"/>
        <w:rPr>
          <w:rFonts w:eastAsia="Times New Roman"/>
          <w:bCs/>
          <w:sz w:val="20"/>
          <w:lang w:val="es-ES_tradnl"/>
        </w:rPr>
      </w:pPr>
      <w:r w:rsidRPr="00457309">
        <w:rPr>
          <w:rFonts w:eastAsia="Times New Roman"/>
          <w:bCs/>
          <w:sz w:val="20"/>
          <w:lang w:val="es-ES_tradnl"/>
        </w:rPr>
        <w:t>En coordinación con los programas 13 (Bases</w:t>
      </w:r>
      <w:r>
        <w:rPr>
          <w:rFonts w:eastAsia="Times New Roman"/>
          <w:bCs/>
          <w:sz w:val="20"/>
          <w:lang w:val="es-ES_tradnl"/>
        </w:rPr>
        <w:t xml:space="preserve"> mundiales</w:t>
      </w:r>
      <w:r w:rsidRPr="00457309">
        <w:rPr>
          <w:rFonts w:eastAsia="Times New Roman"/>
          <w:bCs/>
          <w:sz w:val="20"/>
          <w:lang w:val="es-ES_tradnl"/>
        </w:rPr>
        <w:t xml:space="preserve"> de datos) y 15 (Soluciones operativas para las oficinas de P.I.), el programa continuará prestando asistencia a los países en desarrollo en la creación de información sobre la situación jurídica de patentes en formato digital y legible por máquina, y en texto completo, a través de programas como LATIPAT (una base de datos para países de América Latina) y ARABPAT (una base de datos regional para ciertos países árabes).</w:t>
      </w:r>
    </w:p>
    <w:p w:rsidR="00236E18" w:rsidRDefault="00236E18" w:rsidP="00236E18">
      <w:pPr>
        <w:jc w:val="both"/>
        <w:rPr>
          <w:rFonts w:eastAsia="Times New Roman"/>
          <w:bCs/>
          <w:sz w:val="20"/>
          <w:lang w:val="es-ES_tradnl"/>
        </w:rPr>
      </w:pPr>
    </w:p>
    <w:p w:rsidR="00236E18" w:rsidRPr="00DA34AE" w:rsidRDefault="00236E18" w:rsidP="00236E18">
      <w:pPr>
        <w:numPr>
          <w:ilvl w:val="0"/>
          <w:numId w:val="28"/>
        </w:numPr>
        <w:tabs>
          <w:tab w:val="clear" w:pos="825"/>
        </w:tabs>
        <w:ind w:left="0"/>
        <w:jc w:val="both"/>
        <w:rPr>
          <w:rFonts w:eastAsia="Times New Roman"/>
          <w:bCs/>
          <w:sz w:val="20"/>
        </w:rPr>
      </w:pPr>
      <w:r>
        <w:rPr>
          <w:rFonts w:eastAsia="Times New Roman"/>
          <w:bCs/>
          <w:sz w:val="20"/>
        </w:rPr>
        <w:t>El p</w:t>
      </w:r>
      <w:r w:rsidRPr="00DA34AE">
        <w:rPr>
          <w:rFonts w:eastAsia="Times New Roman"/>
          <w:bCs/>
          <w:sz w:val="20"/>
        </w:rPr>
        <w:t>rogram</w:t>
      </w:r>
      <w:r>
        <w:rPr>
          <w:rFonts w:eastAsia="Times New Roman"/>
          <w:bCs/>
          <w:sz w:val="20"/>
        </w:rPr>
        <w:t>a</w:t>
      </w:r>
      <w:r w:rsidRPr="00DA34AE">
        <w:rPr>
          <w:rFonts w:eastAsia="Times New Roman"/>
          <w:bCs/>
          <w:sz w:val="20"/>
        </w:rPr>
        <w:t xml:space="preserve"> 14 colabora</w:t>
      </w:r>
      <w:r>
        <w:rPr>
          <w:rFonts w:eastAsia="Times New Roman"/>
          <w:bCs/>
          <w:sz w:val="20"/>
        </w:rPr>
        <w:t xml:space="preserve"> principalmente con los programas siguientes</w:t>
      </w:r>
      <w:r w:rsidRPr="00DA34AE">
        <w:rPr>
          <w:rFonts w:eastAsia="Times New Roman"/>
          <w:bCs/>
          <w:sz w:val="20"/>
        </w:rPr>
        <w:t>:</w:t>
      </w:r>
    </w:p>
    <w:p w:rsidR="00236E18" w:rsidRPr="006A3CA4" w:rsidRDefault="00236E18" w:rsidP="00236E18">
      <w:pPr>
        <w:ind w:left="142"/>
        <w:jc w:val="both"/>
        <w:rPr>
          <w:rFonts w:eastAsia="Times New Roman"/>
          <w:bCs/>
          <w:sz w:val="20"/>
          <w:lang w:val="es-ES_tradnl"/>
        </w:rPr>
      </w:pPr>
    </w:p>
    <w:p w:rsidR="00236E18" w:rsidRPr="006A3CA4" w:rsidRDefault="00236E18" w:rsidP="00236E18">
      <w:pPr>
        <w:ind w:left="142"/>
        <w:jc w:val="both"/>
        <w:rPr>
          <w:rFonts w:eastAsia="Times New Roman"/>
          <w:bCs/>
          <w:sz w:val="20"/>
          <w:lang w:val="es-ES_tradnl"/>
        </w:rPr>
      </w:pPr>
    </w:p>
    <w:p w:rsidR="00236E18" w:rsidRPr="00457309" w:rsidRDefault="00236E18" w:rsidP="00236E18">
      <w:pPr>
        <w:ind w:left="142"/>
        <w:jc w:val="both"/>
        <w:rPr>
          <w:rFonts w:eastAsia="Times New Roman"/>
          <w:bCs/>
          <w:lang w:val="es-ES_tradnl"/>
        </w:rPr>
      </w:pPr>
      <w:r w:rsidRPr="00457309">
        <w:rPr>
          <w:rFonts w:eastAsia="Times New Roman"/>
          <w:noProof/>
          <w:lang w:val="en-US" w:eastAsia="en-US"/>
        </w:rPr>
        <w:drawing>
          <wp:inline distT="0" distB="0" distL="0" distR="0" wp14:anchorId="66A1391B" wp14:editId="5218A463">
            <wp:extent cx="5943600" cy="1898650"/>
            <wp:effectExtent l="0" t="38100" r="57150" b="0"/>
            <wp:docPr id="986" name="Diagram 9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1" r:lo="rId142" r:qs="rId143" r:cs="rId144"/>
              </a:graphicData>
            </a:graphic>
          </wp:inline>
        </w:drawing>
      </w:r>
    </w:p>
    <w:p w:rsidR="00236E18" w:rsidRPr="00457309" w:rsidRDefault="00236E18" w:rsidP="00236E18">
      <w:pPr>
        <w:ind w:left="142"/>
        <w:jc w:val="both"/>
        <w:rPr>
          <w:rFonts w:eastAsia="Times New Roman"/>
          <w:bCs/>
          <w:lang w:val="es-ES_tradnl"/>
        </w:rPr>
      </w:pPr>
    </w:p>
    <w:p w:rsidR="00236E18" w:rsidRPr="00457309" w:rsidRDefault="00236E18" w:rsidP="00236E18">
      <w:pPr>
        <w:ind w:left="142"/>
        <w:jc w:val="both"/>
        <w:rPr>
          <w:rFonts w:eastAsia="Times New Roman"/>
          <w:bCs/>
          <w:lang w:val="es-ES_tradnl"/>
        </w:rPr>
      </w:pPr>
    </w:p>
    <w:p w:rsidR="00236E18" w:rsidRPr="00457309" w:rsidRDefault="00236E18" w:rsidP="00236E18">
      <w:pPr>
        <w:jc w:val="both"/>
        <w:rPr>
          <w:rFonts w:eastAsia="Times New Roman"/>
          <w:bCs/>
          <w:lang w:val="es-ES_tradnl"/>
        </w:rPr>
      </w:pPr>
      <w:r w:rsidRPr="00457309">
        <w:rPr>
          <w:bCs/>
          <w:lang w:val="es-ES_tradnl"/>
        </w:rPr>
        <w:t>PRINCIPALES RIESGOS Y ESTRATEGIAS DE MITIGACIÓN</w:t>
      </w:r>
    </w:p>
    <w:p w:rsidR="00236E18" w:rsidRPr="00457309" w:rsidRDefault="00236E18" w:rsidP="00236E18">
      <w:pPr>
        <w:keepNext/>
        <w:keepLines/>
        <w:rPr>
          <w:rFonts w:eastAsia="Times New Roman" w:cs="Times New Roman"/>
          <w:sz w:val="20"/>
          <w:lang w:val="es-ES_tradnl"/>
        </w:rPr>
      </w:pPr>
    </w:p>
    <w:tbl>
      <w:tblPr>
        <w:tblW w:w="949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5245"/>
      </w:tblGrid>
      <w:tr w:rsidR="00236E18" w:rsidRPr="00457309" w:rsidTr="00294272">
        <w:trPr>
          <w:trHeight w:val="459"/>
        </w:trPr>
        <w:tc>
          <w:tcPr>
            <w:tcW w:w="4253" w:type="dxa"/>
            <w:tcBorders>
              <w:top w:val="single" w:sz="4" w:space="0" w:color="auto"/>
              <w:bottom w:val="single" w:sz="4" w:space="0" w:color="auto"/>
            </w:tcBorders>
            <w:shd w:val="clear" w:color="auto" w:fill="C6D9F1" w:themeFill="text2" w:themeFillTint="33"/>
            <w:vAlign w:val="center"/>
          </w:tcPr>
          <w:p w:rsidR="00236E18" w:rsidRPr="00457309" w:rsidRDefault="00236E18" w:rsidP="00294272">
            <w:pPr>
              <w:jc w:val="center"/>
              <w:rPr>
                <w:rFonts w:eastAsia="Times New Roman"/>
                <w:b/>
                <w:bCs/>
                <w:sz w:val="18"/>
                <w:szCs w:val="18"/>
                <w:lang w:val="es-ES_tradnl"/>
              </w:rPr>
            </w:pPr>
            <w:r w:rsidRPr="00457309">
              <w:rPr>
                <w:rFonts w:eastAsia="Times New Roman"/>
                <w:b/>
                <w:bCs/>
                <w:sz w:val="18"/>
                <w:szCs w:val="18"/>
                <w:lang w:val="es-ES_tradnl"/>
              </w:rPr>
              <w:t>Riesgo</w:t>
            </w:r>
          </w:p>
        </w:tc>
        <w:tc>
          <w:tcPr>
            <w:tcW w:w="5245" w:type="dxa"/>
            <w:tcBorders>
              <w:top w:val="single" w:sz="4" w:space="0" w:color="auto"/>
              <w:bottom w:val="single" w:sz="4" w:space="0" w:color="auto"/>
            </w:tcBorders>
            <w:shd w:val="clear" w:color="auto" w:fill="C6D9F1" w:themeFill="text2" w:themeFillTint="33"/>
            <w:vAlign w:val="center"/>
          </w:tcPr>
          <w:p w:rsidR="00236E18" w:rsidRPr="00457309" w:rsidRDefault="00236E18" w:rsidP="00294272">
            <w:pPr>
              <w:jc w:val="center"/>
              <w:rPr>
                <w:rFonts w:eastAsia="Times New Roman"/>
                <w:b/>
                <w:bCs/>
                <w:sz w:val="18"/>
                <w:szCs w:val="18"/>
                <w:lang w:val="es-ES_tradnl"/>
              </w:rPr>
            </w:pPr>
            <w:r w:rsidRPr="00457309">
              <w:rPr>
                <w:rFonts w:eastAsia="Times New Roman"/>
                <w:b/>
                <w:bCs/>
                <w:sz w:val="18"/>
                <w:szCs w:val="18"/>
                <w:lang w:val="es-ES_tradnl"/>
              </w:rPr>
              <w:t>Mitigación</w:t>
            </w:r>
          </w:p>
        </w:tc>
      </w:tr>
      <w:tr w:rsidR="00236E18" w:rsidRPr="00457309" w:rsidTr="00294272">
        <w:trPr>
          <w:trHeight w:val="512"/>
        </w:trPr>
        <w:tc>
          <w:tcPr>
            <w:tcW w:w="4253"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236E18" w:rsidRPr="00457309" w:rsidRDefault="00236E18" w:rsidP="00294272">
            <w:pPr>
              <w:rPr>
                <w:rFonts w:eastAsia="Times New Roman"/>
                <w:sz w:val="16"/>
                <w:lang w:val="es-ES_tradnl"/>
              </w:rPr>
            </w:pPr>
            <w:r w:rsidRPr="00457309">
              <w:rPr>
                <w:rFonts w:eastAsia="Times New Roman"/>
                <w:sz w:val="16"/>
                <w:lang w:val="es-ES_tradnl"/>
              </w:rPr>
              <w:t xml:space="preserve">Incapacidad del país anfitrión de mantener y continuar apoyando el funcionamiento autónomo de las redes de CATI.  Esto podría tener como consecuencia el cierre de ciertos centros CATI. </w:t>
            </w:r>
          </w:p>
        </w:tc>
        <w:tc>
          <w:tcPr>
            <w:tcW w:w="5245"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236E18" w:rsidRPr="00457309" w:rsidRDefault="00236E18" w:rsidP="00294272">
            <w:pPr>
              <w:rPr>
                <w:rFonts w:eastAsia="Times New Roman"/>
                <w:sz w:val="16"/>
                <w:lang w:val="es-ES_tradnl"/>
              </w:rPr>
            </w:pPr>
            <w:r w:rsidRPr="00457309">
              <w:rPr>
                <w:rFonts w:eastAsia="Times New Roman"/>
                <w:sz w:val="16"/>
                <w:lang w:val="es-ES_tradnl"/>
              </w:rPr>
              <w:t>Una mayor colaboración con los países en los que se han establecido CATI en lo relativo a la planificación y ejecución del proyecto de CATI.</w:t>
            </w:r>
          </w:p>
        </w:tc>
      </w:tr>
    </w:tbl>
    <w:p w:rsidR="00236E18" w:rsidRPr="00457309" w:rsidRDefault="00236E18" w:rsidP="00236E18">
      <w:pPr>
        <w:rPr>
          <w:rFonts w:eastAsia="Times New Roman"/>
          <w:lang w:val="es-ES_tradnl"/>
        </w:rPr>
      </w:pPr>
    </w:p>
    <w:p w:rsidR="00236E18" w:rsidRPr="00457309" w:rsidRDefault="00236E18" w:rsidP="00236E18">
      <w:pPr>
        <w:rPr>
          <w:rFonts w:eastAsia="Times New Roman"/>
          <w:lang w:val="es-ES_tradnl"/>
        </w:rPr>
      </w:pPr>
    </w:p>
    <w:p w:rsidR="00236E18" w:rsidRPr="00457309" w:rsidRDefault="00236E18" w:rsidP="00236E18">
      <w:pPr>
        <w:keepNext/>
        <w:tabs>
          <w:tab w:val="left" w:pos="567"/>
          <w:tab w:val="left" w:pos="1985"/>
        </w:tabs>
        <w:jc w:val="both"/>
        <w:rPr>
          <w:rFonts w:eastAsia="Times New Roman"/>
          <w:lang w:val="es-ES_tradnl"/>
        </w:rPr>
      </w:pPr>
      <w:r w:rsidRPr="00457309">
        <w:rPr>
          <w:rFonts w:eastAsia="Times New Roman"/>
          <w:lang w:val="es-ES_tradnl"/>
        </w:rPr>
        <w:t>MARCO DE RESULTADOS</w:t>
      </w:r>
    </w:p>
    <w:p w:rsidR="00236E18" w:rsidRPr="00457309" w:rsidRDefault="00236E18" w:rsidP="00236E18">
      <w:pPr>
        <w:keepNext/>
        <w:tabs>
          <w:tab w:val="left" w:pos="567"/>
          <w:tab w:val="left" w:pos="1985"/>
        </w:tabs>
        <w:jc w:val="both"/>
        <w:rPr>
          <w:rFonts w:eastAsia="Times New Roman"/>
          <w:lang w:val="es-ES_tradnl"/>
        </w:rPr>
      </w:pPr>
    </w:p>
    <w:tbl>
      <w:tblPr>
        <w:tblW w:w="9513" w:type="dxa"/>
        <w:tblInd w:w="93" w:type="dxa"/>
        <w:tblLook w:val="04A0" w:firstRow="1" w:lastRow="0" w:firstColumn="1" w:lastColumn="0" w:noHBand="0" w:noVBand="1"/>
      </w:tblPr>
      <w:tblGrid>
        <w:gridCol w:w="2380"/>
        <w:gridCol w:w="2200"/>
        <w:gridCol w:w="2560"/>
        <w:gridCol w:w="2373"/>
      </w:tblGrid>
      <w:tr w:rsidR="00236E18" w:rsidRPr="00457309" w:rsidTr="00294272">
        <w:trPr>
          <w:trHeight w:val="465"/>
          <w:tblHeader/>
        </w:trPr>
        <w:tc>
          <w:tcPr>
            <w:tcW w:w="2380" w:type="dxa"/>
            <w:tcBorders>
              <w:top w:val="single" w:sz="4" w:space="0" w:color="auto"/>
              <w:left w:val="single" w:sz="4" w:space="0" w:color="auto"/>
              <w:bottom w:val="single" w:sz="4" w:space="0" w:color="auto"/>
              <w:right w:val="nil"/>
            </w:tcBorders>
            <w:shd w:val="clear" w:color="auto" w:fill="C6D9F1" w:themeFill="text2" w:themeFillTint="33"/>
            <w:tcMar>
              <w:top w:w="85" w:type="dxa"/>
            </w:tcMar>
            <w:vAlign w:val="center"/>
            <w:hideMark/>
          </w:tcPr>
          <w:p w:rsidR="00236E18" w:rsidRPr="00457309" w:rsidRDefault="00236E18" w:rsidP="00294272">
            <w:pPr>
              <w:keepNext/>
              <w:jc w:val="center"/>
              <w:rPr>
                <w:rFonts w:eastAsia="Times New Roman"/>
                <w:b/>
                <w:bCs/>
                <w:sz w:val="18"/>
                <w:szCs w:val="18"/>
                <w:lang w:val="es-ES_tradnl"/>
              </w:rPr>
            </w:pPr>
            <w:r w:rsidRPr="00457309">
              <w:rPr>
                <w:rFonts w:eastAsia="Times New Roman"/>
                <w:b/>
                <w:bCs/>
                <w:sz w:val="18"/>
                <w:szCs w:val="18"/>
                <w:lang w:val="es-ES_tradnl"/>
              </w:rPr>
              <w:t>Resultados previstos</w:t>
            </w:r>
          </w:p>
        </w:tc>
        <w:tc>
          <w:tcPr>
            <w:tcW w:w="220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rsidR="00236E18" w:rsidRPr="00457309" w:rsidRDefault="00236E18" w:rsidP="00294272">
            <w:pPr>
              <w:keepNext/>
              <w:ind w:hanging="63"/>
              <w:jc w:val="center"/>
              <w:rPr>
                <w:rFonts w:eastAsia="Times New Roman"/>
                <w:b/>
                <w:bCs/>
                <w:sz w:val="18"/>
                <w:szCs w:val="18"/>
                <w:lang w:val="es-ES_tradnl"/>
              </w:rPr>
            </w:pPr>
            <w:r w:rsidRPr="00457309">
              <w:rPr>
                <w:rFonts w:eastAsia="Times New Roman"/>
                <w:b/>
                <w:bCs/>
                <w:sz w:val="18"/>
                <w:szCs w:val="18"/>
                <w:lang w:val="es-ES_tradnl"/>
              </w:rPr>
              <w:t>Indicadores de rendimiento</w:t>
            </w:r>
          </w:p>
        </w:tc>
        <w:tc>
          <w:tcPr>
            <w:tcW w:w="256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rsidR="00236E18" w:rsidRPr="00457309" w:rsidRDefault="00236E18" w:rsidP="00294272">
            <w:pPr>
              <w:keepNext/>
              <w:jc w:val="center"/>
              <w:rPr>
                <w:rFonts w:eastAsia="Times New Roman"/>
                <w:b/>
                <w:bCs/>
                <w:sz w:val="18"/>
                <w:szCs w:val="18"/>
                <w:lang w:val="es-ES_tradnl"/>
              </w:rPr>
            </w:pPr>
            <w:r w:rsidRPr="00457309">
              <w:rPr>
                <w:rFonts w:eastAsia="Times New Roman"/>
                <w:b/>
                <w:bCs/>
                <w:sz w:val="18"/>
                <w:szCs w:val="18"/>
                <w:lang w:val="es-ES_tradnl"/>
              </w:rPr>
              <w:t>Referencia</w:t>
            </w:r>
          </w:p>
        </w:tc>
        <w:tc>
          <w:tcPr>
            <w:tcW w:w="2373" w:type="dxa"/>
            <w:tcBorders>
              <w:top w:val="single" w:sz="4" w:space="0" w:color="auto"/>
              <w:left w:val="nil"/>
              <w:bottom w:val="single" w:sz="4" w:space="0" w:color="auto"/>
              <w:right w:val="single" w:sz="4" w:space="0" w:color="auto"/>
            </w:tcBorders>
            <w:shd w:val="clear" w:color="auto" w:fill="C6D9F1" w:themeFill="text2" w:themeFillTint="33"/>
            <w:tcMar>
              <w:top w:w="85" w:type="dxa"/>
            </w:tcMar>
            <w:vAlign w:val="center"/>
            <w:hideMark/>
          </w:tcPr>
          <w:p w:rsidR="00236E18" w:rsidRPr="00457309" w:rsidRDefault="00236E18" w:rsidP="00294272">
            <w:pPr>
              <w:keepNext/>
              <w:jc w:val="center"/>
              <w:rPr>
                <w:rFonts w:eastAsia="Times New Roman"/>
                <w:b/>
                <w:bCs/>
                <w:sz w:val="18"/>
                <w:szCs w:val="18"/>
                <w:lang w:val="es-ES_tradnl"/>
              </w:rPr>
            </w:pPr>
            <w:r w:rsidRPr="00457309">
              <w:rPr>
                <w:rFonts w:eastAsia="Times New Roman"/>
                <w:b/>
                <w:bCs/>
                <w:sz w:val="18"/>
                <w:szCs w:val="18"/>
                <w:lang w:val="es-ES_tradnl"/>
              </w:rPr>
              <w:t>Objetivos</w:t>
            </w:r>
          </w:p>
        </w:tc>
      </w:tr>
      <w:tr w:rsidR="00236E18" w:rsidRPr="00457309" w:rsidTr="00294272">
        <w:trPr>
          <w:trHeight w:val="1971"/>
        </w:trPr>
        <w:tc>
          <w:tcPr>
            <w:tcW w:w="2380" w:type="dxa"/>
            <w:vMerge w:val="restart"/>
            <w:tcBorders>
              <w:top w:val="single" w:sz="4" w:space="0" w:color="auto"/>
              <w:left w:val="single" w:sz="4" w:space="0" w:color="auto"/>
              <w:bottom w:val="single" w:sz="4" w:space="0" w:color="auto"/>
              <w:right w:val="nil"/>
            </w:tcBorders>
            <w:shd w:val="clear" w:color="000000" w:fill="FFFFFF"/>
            <w:tcMar>
              <w:top w:w="85" w:type="dxa"/>
            </w:tcMar>
            <w:hideMark/>
          </w:tcPr>
          <w:p w:rsidR="00236E18" w:rsidRPr="00457309" w:rsidRDefault="00236E18" w:rsidP="00294272">
            <w:pPr>
              <w:rPr>
                <w:rFonts w:eastAsia="Times New Roman"/>
                <w:sz w:val="16"/>
                <w:szCs w:val="16"/>
                <w:lang w:val="es-ES_tradnl"/>
              </w:rPr>
            </w:pPr>
            <w:r>
              <w:rPr>
                <w:rFonts w:eastAsia="Times New Roman"/>
                <w:sz w:val="16"/>
                <w:szCs w:val="16"/>
                <w:lang w:val="es-ES_tradnl"/>
              </w:rPr>
              <w:t xml:space="preserve">IV.2 </w:t>
            </w:r>
            <w:r w:rsidRPr="00457309">
              <w:rPr>
                <w:rFonts w:eastAsia="Times New Roman"/>
                <w:sz w:val="16"/>
                <w:szCs w:val="16"/>
                <w:lang w:val="es-ES_tradnl"/>
              </w:rPr>
              <w:t xml:space="preserve"> </w:t>
            </w:r>
            <w:r w:rsidRPr="00DA34AE">
              <w:rPr>
                <w:sz w:val="16"/>
                <w:szCs w:val="16"/>
                <w:lang w:val="es-ES_tradnl"/>
              </w:rPr>
              <w:t>Mejora del acceso y uso de información de P.I. por parte de instituciones de P.I. y el público para fomentar la innovación y la creatividad</w:t>
            </w:r>
          </w:p>
        </w:tc>
        <w:tc>
          <w:tcPr>
            <w:tcW w:w="2200" w:type="dxa"/>
            <w:tcBorders>
              <w:top w:val="single" w:sz="4" w:space="0" w:color="auto"/>
              <w:left w:val="nil"/>
              <w:bottom w:val="single" w:sz="4" w:space="0" w:color="auto"/>
              <w:right w:val="nil"/>
            </w:tcBorders>
            <w:shd w:val="clear" w:color="000000" w:fill="FFFFFF"/>
            <w:tcMar>
              <w:top w:w="85" w:type="dxa"/>
            </w:tcMar>
            <w:hideMark/>
          </w:tcPr>
          <w:p w:rsidR="00236E18" w:rsidRPr="00457309" w:rsidRDefault="00236E18" w:rsidP="00294272">
            <w:pPr>
              <w:ind w:left="103"/>
              <w:rPr>
                <w:rFonts w:eastAsia="Times New Roman"/>
                <w:sz w:val="16"/>
                <w:szCs w:val="16"/>
                <w:lang w:val="es-ES_tradnl"/>
              </w:rPr>
            </w:pPr>
            <w:r w:rsidRPr="00457309">
              <w:rPr>
                <w:rFonts w:eastAsia="Times New Roman"/>
                <w:sz w:val="16"/>
                <w:szCs w:val="16"/>
                <w:lang w:val="es-ES_tradnl"/>
              </w:rPr>
              <w:t>N</w:t>
            </w:r>
            <w:r>
              <w:rPr>
                <w:rFonts w:eastAsia="Times New Roman"/>
                <w:sz w:val="16"/>
                <w:szCs w:val="16"/>
                <w:lang w:val="es-ES_tradnl"/>
              </w:rPr>
              <w:t>º</w:t>
            </w:r>
            <w:r w:rsidRPr="00457309">
              <w:rPr>
                <w:rFonts w:eastAsia="Times New Roman"/>
                <w:sz w:val="16"/>
                <w:szCs w:val="16"/>
                <w:lang w:val="es-ES_tradnl"/>
              </w:rPr>
              <w:t xml:space="preserve"> de redes nacionales </w:t>
            </w:r>
            <w:r>
              <w:rPr>
                <w:rFonts w:eastAsia="Times New Roman"/>
                <w:sz w:val="16"/>
                <w:szCs w:val="16"/>
                <w:lang w:val="es-ES_tradnl"/>
              </w:rPr>
              <w:t>de</w:t>
            </w:r>
            <w:r w:rsidRPr="00457309">
              <w:rPr>
                <w:rFonts w:eastAsia="Times New Roman"/>
                <w:sz w:val="16"/>
                <w:szCs w:val="16"/>
                <w:lang w:val="es-ES_tradnl"/>
              </w:rPr>
              <w:t xml:space="preserve"> CATI</w:t>
            </w:r>
            <w:r>
              <w:rPr>
                <w:rFonts w:eastAsia="Times New Roman"/>
                <w:sz w:val="16"/>
                <w:szCs w:val="16"/>
                <w:lang w:val="es-ES_tradnl"/>
              </w:rPr>
              <w:t xml:space="preserve"> sostenibles</w:t>
            </w:r>
            <w:r>
              <w:rPr>
                <w:rStyle w:val="FootnoteReference"/>
                <w:rFonts w:eastAsia="Times New Roman"/>
                <w:sz w:val="16"/>
                <w:szCs w:val="16"/>
                <w:lang w:val="es-ES_tradnl"/>
              </w:rPr>
              <w:footnoteReference w:id="22"/>
            </w:r>
            <w:r>
              <w:rPr>
                <w:rFonts w:eastAsia="Times New Roman"/>
                <w:sz w:val="16"/>
                <w:szCs w:val="16"/>
                <w:lang w:val="es-ES_tradnl"/>
              </w:rPr>
              <w:t xml:space="preserve"> (cifras totales)</w:t>
            </w:r>
            <w:r w:rsidRPr="00457309">
              <w:rPr>
                <w:rFonts w:eastAsia="Times New Roman"/>
                <w:sz w:val="16"/>
                <w:szCs w:val="16"/>
                <w:lang w:val="es-ES_tradnl"/>
              </w:rPr>
              <w:t>.</w:t>
            </w:r>
          </w:p>
        </w:tc>
        <w:tc>
          <w:tcPr>
            <w:tcW w:w="2560" w:type="dxa"/>
            <w:tcBorders>
              <w:top w:val="single" w:sz="4" w:space="0" w:color="auto"/>
              <w:left w:val="nil"/>
              <w:bottom w:val="single" w:sz="4" w:space="0" w:color="auto"/>
              <w:right w:val="nil"/>
            </w:tcBorders>
            <w:shd w:val="clear" w:color="000000" w:fill="FFFFFF"/>
            <w:tcMar>
              <w:top w:w="85" w:type="dxa"/>
            </w:tcMar>
            <w:hideMark/>
          </w:tcPr>
          <w:p w:rsidR="00236E18" w:rsidRPr="00457309" w:rsidRDefault="00236E18" w:rsidP="00294272">
            <w:pPr>
              <w:ind w:left="289" w:firstLineChars="19" w:firstLine="30"/>
              <w:rPr>
                <w:rFonts w:eastAsia="Times New Roman"/>
                <w:sz w:val="16"/>
                <w:szCs w:val="16"/>
                <w:lang w:val="es-ES_tradnl"/>
              </w:rPr>
            </w:pPr>
            <w:r w:rsidRPr="00457309">
              <w:rPr>
                <w:rFonts w:eastAsia="Times New Roman"/>
                <w:sz w:val="16"/>
                <w:szCs w:val="16"/>
                <w:lang w:val="es-ES_tradnl"/>
              </w:rPr>
              <w:t>20 redes nacionales sostenibles de CATI de las 45 establecidas (en total)</w:t>
            </w:r>
            <w:proofErr w:type="gramStart"/>
            <w:r w:rsidRPr="00457309">
              <w:rPr>
                <w:rFonts w:eastAsia="Times New Roman"/>
                <w:sz w:val="16"/>
                <w:szCs w:val="16"/>
                <w:lang w:val="es-ES_tradnl"/>
              </w:rPr>
              <w:t>:  África</w:t>
            </w:r>
            <w:proofErr w:type="gramEnd"/>
            <w:r w:rsidRPr="00457309">
              <w:rPr>
                <w:rFonts w:eastAsia="Times New Roman"/>
                <w:sz w:val="16"/>
                <w:szCs w:val="16"/>
                <w:lang w:val="es-ES_tradnl"/>
              </w:rPr>
              <w:t xml:space="preserve"> (9 de los que 6 son PMA);  región de los Países Árabes (2);  Asia y el Pacífico (2 de los que 1 es PMA);  América Latina y el Caribe (5);  determinados Países de Europa y Asia (1).</w:t>
            </w:r>
          </w:p>
        </w:tc>
        <w:tc>
          <w:tcPr>
            <w:tcW w:w="2373" w:type="dxa"/>
            <w:tcBorders>
              <w:top w:val="single" w:sz="4" w:space="0" w:color="auto"/>
              <w:left w:val="nil"/>
              <w:bottom w:val="single" w:sz="4" w:space="0" w:color="auto"/>
              <w:right w:val="single" w:sz="4" w:space="0" w:color="auto"/>
            </w:tcBorders>
            <w:shd w:val="clear" w:color="000000" w:fill="FFFFFF"/>
            <w:tcMar>
              <w:top w:w="85" w:type="dxa"/>
            </w:tcMar>
            <w:hideMark/>
          </w:tcPr>
          <w:p w:rsidR="00236E18" w:rsidRPr="00457309" w:rsidRDefault="00236E18" w:rsidP="00294272">
            <w:pPr>
              <w:ind w:left="280"/>
              <w:rPr>
                <w:rFonts w:eastAsia="Times New Roman"/>
                <w:sz w:val="16"/>
                <w:szCs w:val="16"/>
                <w:lang w:val="es-ES_tradnl"/>
              </w:rPr>
            </w:pPr>
            <w:r w:rsidRPr="00457309">
              <w:rPr>
                <w:rFonts w:eastAsia="Times New Roman"/>
                <w:sz w:val="16"/>
                <w:szCs w:val="16"/>
                <w:lang w:val="es-ES_tradnl"/>
              </w:rPr>
              <w:t>30 redes nacionales CATI (en total)</w:t>
            </w:r>
            <w:proofErr w:type="gramStart"/>
            <w:r w:rsidRPr="00457309">
              <w:rPr>
                <w:rFonts w:eastAsia="Times New Roman"/>
                <w:sz w:val="16"/>
                <w:szCs w:val="16"/>
                <w:lang w:val="es-ES_tradnl"/>
              </w:rPr>
              <w:t>:  región</w:t>
            </w:r>
            <w:proofErr w:type="gramEnd"/>
            <w:r w:rsidRPr="00457309">
              <w:rPr>
                <w:rFonts w:eastAsia="Times New Roman"/>
                <w:sz w:val="16"/>
                <w:szCs w:val="16"/>
                <w:lang w:val="es-ES_tradnl"/>
              </w:rPr>
              <w:t xml:space="preserve"> de África (11 de los que 8 son PMA);  región de los Países Árabes (4);  Asia y el Pacífico (5 de los que 2 son PMA);  región de América Latina y el Caribe (7);  determinados Países de Europa y Asia (3).</w:t>
            </w:r>
          </w:p>
        </w:tc>
      </w:tr>
      <w:tr w:rsidR="00236E18" w:rsidRPr="00457309" w:rsidTr="00294272">
        <w:trPr>
          <w:trHeight w:val="306"/>
        </w:trPr>
        <w:tc>
          <w:tcPr>
            <w:tcW w:w="2380" w:type="dxa"/>
            <w:vMerge/>
            <w:tcBorders>
              <w:top w:val="single" w:sz="4" w:space="0" w:color="auto"/>
              <w:left w:val="single" w:sz="4" w:space="0" w:color="auto"/>
              <w:bottom w:val="single" w:sz="4" w:space="0" w:color="auto"/>
              <w:right w:val="nil"/>
            </w:tcBorders>
            <w:tcMar>
              <w:top w:w="85" w:type="dxa"/>
            </w:tcMar>
            <w:vAlign w:val="center"/>
            <w:hideMark/>
          </w:tcPr>
          <w:p w:rsidR="00236E18" w:rsidRPr="00457309" w:rsidRDefault="00236E18" w:rsidP="00294272">
            <w:pPr>
              <w:rPr>
                <w:rFonts w:eastAsia="Times New Roman"/>
                <w:sz w:val="16"/>
                <w:szCs w:val="16"/>
                <w:lang w:val="es-ES_tradnl"/>
              </w:rPr>
            </w:pPr>
          </w:p>
        </w:tc>
        <w:tc>
          <w:tcPr>
            <w:tcW w:w="2200" w:type="dxa"/>
            <w:tcBorders>
              <w:top w:val="single" w:sz="4" w:space="0" w:color="auto"/>
              <w:left w:val="nil"/>
              <w:right w:val="nil"/>
            </w:tcBorders>
            <w:shd w:val="clear" w:color="000000" w:fill="FFFFFF"/>
            <w:tcMar>
              <w:top w:w="85" w:type="dxa"/>
            </w:tcMar>
          </w:tcPr>
          <w:p w:rsidR="00236E18" w:rsidRPr="00457309" w:rsidRDefault="00236E18" w:rsidP="00294272">
            <w:pPr>
              <w:ind w:left="103"/>
              <w:rPr>
                <w:rFonts w:eastAsia="Times New Roman"/>
                <w:sz w:val="16"/>
                <w:szCs w:val="16"/>
                <w:lang w:val="es-ES_tradnl"/>
              </w:rPr>
            </w:pPr>
            <w:r w:rsidRPr="00457309">
              <w:rPr>
                <w:rFonts w:eastAsia="Times New Roman"/>
                <w:sz w:val="16"/>
                <w:szCs w:val="16"/>
                <w:lang w:val="es-ES_tradnl"/>
              </w:rPr>
              <w:t>N</w:t>
            </w:r>
            <w:r>
              <w:rPr>
                <w:rFonts w:eastAsia="Times New Roman"/>
                <w:sz w:val="16"/>
                <w:szCs w:val="16"/>
                <w:lang w:val="es-ES_tradnl"/>
              </w:rPr>
              <w:t>º</w:t>
            </w:r>
            <w:r w:rsidRPr="00457309">
              <w:rPr>
                <w:rFonts w:eastAsia="Times New Roman"/>
                <w:sz w:val="16"/>
                <w:szCs w:val="16"/>
                <w:lang w:val="es-ES_tradnl"/>
              </w:rPr>
              <w:t xml:space="preserve"> de usuarios anuales en promedio atendidos por los CATI.</w:t>
            </w:r>
            <w:r>
              <w:rPr>
                <w:rFonts w:eastAsia="Times New Roman"/>
                <w:sz w:val="16"/>
                <w:szCs w:val="16"/>
                <w:lang w:val="es-ES_tradnl"/>
              </w:rPr>
              <w:br/>
            </w:r>
          </w:p>
        </w:tc>
        <w:tc>
          <w:tcPr>
            <w:tcW w:w="2560" w:type="dxa"/>
            <w:tcBorders>
              <w:top w:val="single" w:sz="4" w:space="0" w:color="auto"/>
              <w:left w:val="nil"/>
              <w:right w:val="nil"/>
            </w:tcBorders>
            <w:shd w:val="clear" w:color="000000" w:fill="FFFFFF"/>
            <w:tcMar>
              <w:top w:w="85" w:type="dxa"/>
            </w:tcMar>
          </w:tcPr>
          <w:p w:rsidR="00236E18" w:rsidRPr="00457309" w:rsidRDefault="00236E18" w:rsidP="00294272">
            <w:pPr>
              <w:ind w:firstLineChars="200" w:firstLine="320"/>
              <w:rPr>
                <w:rFonts w:eastAsia="Times New Roman"/>
                <w:sz w:val="16"/>
                <w:szCs w:val="16"/>
                <w:lang w:val="es-ES_tradnl"/>
              </w:rPr>
            </w:pPr>
            <w:r w:rsidRPr="00457309">
              <w:rPr>
                <w:rFonts w:eastAsia="Times New Roman"/>
                <w:sz w:val="16"/>
                <w:szCs w:val="16"/>
                <w:lang w:val="es-ES_tradnl"/>
              </w:rPr>
              <w:t>548 (mín.) a 1625 (máx.).</w:t>
            </w:r>
          </w:p>
        </w:tc>
        <w:tc>
          <w:tcPr>
            <w:tcW w:w="2373" w:type="dxa"/>
            <w:tcBorders>
              <w:top w:val="single" w:sz="4" w:space="0" w:color="auto"/>
              <w:left w:val="nil"/>
              <w:right w:val="single" w:sz="4" w:space="0" w:color="auto"/>
            </w:tcBorders>
            <w:shd w:val="clear" w:color="000000" w:fill="FFFFFF"/>
            <w:tcMar>
              <w:top w:w="85" w:type="dxa"/>
            </w:tcMar>
          </w:tcPr>
          <w:p w:rsidR="00236E18" w:rsidRPr="00457309" w:rsidRDefault="00236E18" w:rsidP="00294272">
            <w:pPr>
              <w:ind w:firstLineChars="200" w:firstLine="320"/>
              <w:rPr>
                <w:rFonts w:eastAsia="Times New Roman"/>
                <w:sz w:val="16"/>
                <w:szCs w:val="16"/>
                <w:lang w:val="es-ES_tradnl"/>
              </w:rPr>
            </w:pPr>
            <w:r>
              <w:rPr>
                <w:rFonts w:eastAsia="Times New Roman"/>
                <w:sz w:val="16"/>
                <w:szCs w:val="16"/>
                <w:lang w:val="es-ES_tradnl"/>
              </w:rPr>
              <w:t>1.100</w:t>
            </w:r>
          </w:p>
        </w:tc>
      </w:tr>
      <w:tr w:rsidR="00236E18" w:rsidRPr="00457309" w:rsidTr="00294272">
        <w:trPr>
          <w:trHeight w:val="1050"/>
        </w:trPr>
        <w:tc>
          <w:tcPr>
            <w:tcW w:w="2380" w:type="dxa"/>
            <w:vMerge/>
            <w:tcBorders>
              <w:top w:val="single" w:sz="4" w:space="0" w:color="auto"/>
              <w:left w:val="single" w:sz="4" w:space="0" w:color="auto"/>
              <w:bottom w:val="single" w:sz="4" w:space="0" w:color="000000"/>
              <w:right w:val="nil"/>
            </w:tcBorders>
            <w:tcMar>
              <w:top w:w="85" w:type="dxa"/>
            </w:tcMar>
            <w:vAlign w:val="center"/>
            <w:hideMark/>
          </w:tcPr>
          <w:p w:rsidR="00236E18" w:rsidRPr="00457309" w:rsidRDefault="00236E18" w:rsidP="00294272">
            <w:pPr>
              <w:rPr>
                <w:rFonts w:eastAsia="Times New Roman"/>
                <w:sz w:val="16"/>
                <w:szCs w:val="16"/>
                <w:lang w:val="es-ES_tradnl"/>
              </w:rPr>
            </w:pPr>
          </w:p>
        </w:tc>
        <w:tc>
          <w:tcPr>
            <w:tcW w:w="2200" w:type="dxa"/>
            <w:tcBorders>
              <w:left w:val="nil"/>
              <w:bottom w:val="nil"/>
              <w:right w:val="nil"/>
            </w:tcBorders>
            <w:shd w:val="clear" w:color="000000" w:fill="FFFFFF"/>
            <w:tcMar>
              <w:top w:w="85" w:type="dxa"/>
            </w:tcMar>
            <w:hideMark/>
          </w:tcPr>
          <w:p w:rsidR="00236E18" w:rsidRPr="00457309" w:rsidRDefault="00236E18" w:rsidP="00294272">
            <w:pPr>
              <w:ind w:left="103"/>
              <w:rPr>
                <w:rFonts w:eastAsia="Times New Roman"/>
                <w:sz w:val="16"/>
                <w:szCs w:val="16"/>
                <w:lang w:val="es-ES_tradnl"/>
              </w:rPr>
            </w:pPr>
            <w:r w:rsidRPr="00457309">
              <w:rPr>
                <w:rFonts w:eastAsia="Times New Roman"/>
                <w:sz w:val="16"/>
                <w:szCs w:val="16"/>
                <w:lang w:val="es-ES_tradnl"/>
              </w:rPr>
              <w:t>N</w:t>
            </w:r>
            <w:r>
              <w:rPr>
                <w:rFonts w:eastAsia="Times New Roman"/>
                <w:sz w:val="16"/>
                <w:szCs w:val="16"/>
                <w:lang w:val="es-ES_tradnl"/>
              </w:rPr>
              <w:t>º</w:t>
            </w:r>
            <w:r w:rsidRPr="00457309">
              <w:rPr>
                <w:rFonts w:eastAsia="Times New Roman"/>
                <w:sz w:val="16"/>
                <w:szCs w:val="16"/>
                <w:lang w:val="es-ES_tradnl"/>
              </w:rPr>
              <w:t xml:space="preserve"> de Estados miembros en sus respectivas regiones que colaboran con las bases de datos mundiales.</w:t>
            </w:r>
          </w:p>
        </w:tc>
        <w:tc>
          <w:tcPr>
            <w:tcW w:w="2560" w:type="dxa"/>
            <w:tcBorders>
              <w:left w:val="nil"/>
              <w:bottom w:val="nil"/>
              <w:right w:val="nil"/>
            </w:tcBorders>
            <w:shd w:val="clear" w:color="000000" w:fill="FFFFFF"/>
            <w:tcMar>
              <w:top w:w="85" w:type="dxa"/>
            </w:tcMar>
            <w:hideMark/>
          </w:tcPr>
          <w:p w:rsidR="00236E18" w:rsidRPr="00457309" w:rsidRDefault="00236E18" w:rsidP="00294272">
            <w:pPr>
              <w:ind w:left="289"/>
              <w:rPr>
                <w:rFonts w:eastAsia="Times New Roman"/>
                <w:sz w:val="16"/>
                <w:szCs w:val="16"/>
                <w:lang w:val="es-ES_tradnl"/>
              </w:rPr>
            </w:pPr>
            <w:r w:rsidRPr="00457309">
              <w:rPr>
                <w:rFonts w:eastAsia="Times New Roman"/>
                <w:sz w:val="16"/>
                <w:szCs w:val="16"/>
                <w:lang w:val="es-ES_tradnl"/>
              </w:rPr>
              <w:t>15 PATENTSCOPE, 1 GBD, 0 GDD LATIPAT</w:t>
            </w:r>
            <w:r w:rsidRPr="00457309">
              <w:rPr>
                <w:rFonts w:eastAsia="Times New Roman"/>
                <w:sz w:val="16"/>
                <w:szCs w:val="16"/>
                <w:lang w:val="es-ES_tradnl"/>
              </w:rPr>
              <w:br/>
              <w:t>3 PATENTSCOPE, 1 GBD, 0 GDD ARABPAT (febrero de 2015).</w:t>
            </w:r>
          </w:p>
        </w:tc>
        <w:tc>
          <w:tcPr>
            <w:tcW w:w="2373" w:type="dxa"/>
            <w:tcBorders>
              <w:left w:val="nil"/>
              <w:bottom w:val="nil"/>
              <w:right w:val="single" w:sz="4" w:space="0" w:color="auto"/>
            </w:tcBorders>
            <w:shd w:val="clear" w:color="000000" w:fill="FFFFFF"/>
            <w:tcMar>
              <w:top w:w="85" w:type="dxa"/>
            </w:tcMar>
            <w:hideMark/>
          </w:tcPr>
          <w:p w:rsidR="00236E18" w:rsidRPr="00457309" w:rsidRDefault="00236E18" w:rsidP="00294272">
            <w:pPr>
              <w:ind w:left="280"/>
              <w:rPr>
                <w:rFonts w:eastAsia="Times New Roman"/>
                <w:sz w:val="16"/>
                <w:szCs w:val="16"/>
                <w:lang w:val="es-ES_tradnl"/>
              </w:rPr>
            </w:pPr>
            <w:r w:rsidRPr="00457309">
              <w:rPr>
                <w:rFonts w:eastAsia="Times New Roman"/>
                <w:sz w:val="16"/>
                <w:szCs w:val="16"/>
                <w:lang w:val="es-ES_tradnl"/>
              </w:rPr>
              <w:t>+2 PATENTSCOPE, +4 GBD, +2 GDD, global</w:t>
            </w:r>
          </w:p>
        </w:tc>
      </w:tr>
      <w:tr w:rsidR="00236E18" w:rsidRPr="00457309" w:rsidTr="00294272">
        <w:trPr>
          <w:trHeight w:val="660"/>
        </w:trPr>
        <w:tc>
          <w:tcPr>
            <w:tcW w:w="2380" w:type="dxa"/>
            <w:vMerge/>
            <w:tcBorders>
              <w:top w:val="nil"/>
              <w:left w:val="single" w:sz="4" w:space="0" w:color="auto"/>
              <w:bottom w:val="single" w:sz="4" w:space="0" w:color="000000"/>
              <w:right w:val="nil"/>
            </w:tcBorders>
            <w:tcMar>
              <w:top w:w="85" w:type="dxa"/>
            </w:tcMar>
            <w:vAlign w:val="center"/>
            <w:hideMark/>
          </w:tcPr>
          <w:p w:rsidR="00236E18" w:rsidRPr="00457309" w:rsidRDefault="00236E18" w:rsidP="00294272">
            <w:pPr>
              <w:rPr>
                <w:rFonts w:eastAsia="Times New Roman"/>
                <w:sz w:val="16"/>
                <w:szCs w:val="16"/>
                <w:lang w:val="es-ES_tradnl"/>
              </w:rPr>
            </w:pPr>
          </w:p>
        </w:tc>
        <w:tc>
          <w:tcPr>
            <w:tcW w:w="2200" w:type="dxa"/>
            <w:tcBorders>
              <w:top w:val="nil"/>
              <w:left w:val="nil"/>
              <w:bottom w:val="nil"/>
              <w:right w:val="nil"/>
            </w:tcBorders>
            <w:shd w:val="clear" w:color="000000" w:fill="FFFFFF"/>
            <w:tcMar>
              <w:top w:w="85" w:type="dxa"/>
            </w:tcMar>
            <w:hideMark/>
          </w:tcPr>
          <w:p w:rsidR="00236E18" w:rsidRPr="00457309" w:rsidRDefault="00236E18" w:rsidP="00294272">
            <w:pPr>
              <w:ind w:left="103"/>
              <w:rPr>
                <w:rFonts w:eastAsia="Times New Roman"/>
                <w:sz w:val="16"/>
                <w:szCs w:val="16"/>
                <w:lang w:val="es-ES_tradnl"/>
              </w:rPr>
            </w:pPr>
            <w:r w:rsidRPr="00457309">
              <w:rPr>
                <w:rFonts w:eastAsia="Times New Roman"/>
                <w:sz w:val="16"/>
                <w:szCs w:val="16"/>
                <w:lang w:val="es-ES_tradnl"/>
              </w:rPr>
              <w:t>N</w:t>
            </w:r>
            <w:r>
              <w:rPr>
                <w:rFonts w:eastAsia="Times New Roman"/>
                <w:sz w:val="16"/>
                <w:szCs w:val="16"/>
                <w:lang w:val="es-ES_tradnl"/>
              </w:rPr>
              <w:t>º</w:t>
            </w:r>
            <w:r w:rsidRPr="00457309">
              <w:rPr>
                <w:rFonts w:eastAsia="Times New Roman"/>
                <w:sz w:val="16"/>
                <w:szCs w:val="16"/>
                <w:lang w:val="es-ES_tradnl"/>
              </w:rPr>
              <w:t xml:space="preserve"> de usuarios inscritos en ARDI y ASPI que utilizan dichos instrumentos.</w:t>
            </w:r>
          </w:p>
        </w:tc>
        <w:tc>
          <w:tcPr>
            <w:tcW w:w="2560" w:type="dxa"/>
            <w:tcBorders>
              <w:top w:val="nil"/>
              <w:left w:val="nil"/>
              <w:bottom w:val="nil"/>
              <w:right w:val="nil"/>
            </w:tcBorders>
            <w:shd w:val="clear" w:color="000000" w:fill="FFFFFF"/>
            <w:tcMar>
              <w:top w:w="85" w:type="dxa"/>
            </w:tcMar>
            <w:hideMark/>
          </w:tcPr>
          <w:p w:rsidR="00236E18" w:rsidRPr="00457309" w:rsidRDefault="00236E18" w:rsidP="00294272">
            <w:pPr>
              <w:ind w:left="274"/>
              <w:rPr>
                <w:rFonts w:eastAsia="Times New Roman"/>
                <w:sz w:val="16"/>
                <w:szCs w:val="16"/>
                <w:lang w:val="es-ES_tradnl"/>
              </w:rPr>
            </w:pPr>
            <w:r w:rsidRPr="00457309">
              <w:rPr>
                <w:rFonts w:eastAsia="Times New Roman"/>
                <w:sz w:val="16"/>
                <w:szCs w:val="16"/>
                <w:lang w:val="es-ES_tradnl"/>
              </w:rPr>
              <w:t xml:space="preserve">ARDI (411 usuarios activos) </w:t>
            </w:r>
          </w:p>
          <w:p w:rsidR="00236E18" w:rsidRPr="00457309" w:rsidRDefault="00236E18" w:rsidP="00294272">
            <w:pPr>
              <w:ind w:left="277"/>
              <w:rPr>
                <w:rFonts w:eastAsia="Times New Roman"/>
                <w:sz w:val="16"/>
                <w:szCs w:val="16"/>
                <w:lang w:val="es-ES_tradnl"/>
              </w:rPr>
            </w:pPr>
            <w:r w:rsidRPr="00457309">
              <w:rPr>
                <w:rFonts w:eastAsia="Times New Roman"/>
                <w:sz w:val="16"/>
                <w:szCs w:val="16"/>
                <w:lang w:val="es-ES_tradnl"/>
              </w:rPr>
              <w:t xml:space="preserve">ASPI (35 usuarios activos) </w:t>
            </w:r>
          </w:p>
          <w:p w:rsidR="00236E18" w:rsidRPr="00457309" w:rsidRDefault="00236E18" w:rsidP="00294272">
            <w:pPr>
              <w:ind w:left="277"/>
              <w:rPr>
                <w:rFonts w:eastAsia="Times New Roman"/>
                <w:sz w:val="16"/>
                <w:szCs w:val="16"/>
                <w:lang w:val="es-ES_tradnl"/>
              </w:rPr>
            </w:pPr>
            <w:r w:rsidRPr="00457309">
              <w:rPr>
                <w:rFonts w:eastAsia="Times New Roman"/>
                <w:sz w:val="16"/>
                <w:szCs w:val="16"/>
                <w:lang w:val="es-ES_tradnl"/>
              </w:rPr>
              <w:t>(</w:t>
            </w:r>
            <w:proofErr w:type="gramStart"/>
            <w:r w:rsidRPr="00457309">
              <w:rPr>
                <w:rFonts w:eastAsia="Times New Roman"/>
                <w:sz w:val="16"/>
                <w:szCs w:val="16"/>
                <w:lang w:val="es-ES_tradnl"/>
              </w:rPr>
              <w:t>fines</w:t>
            </w:r>
            <w:proofErr w:type="gramEnd"/>
            <w:r w:rsidRPr="00457309">
              <w:rPr>
                <w:rFonts w:eastAsia="Times New Roman"/>
                <w:sz w:val="16"/>
                <w:szCs w:val="16"/>
                <w:lang w:val="es-ES_tradnl"/>
              </w:rPr>
              <w:t xml:space="preserve"> de 2014).</w:t>
            </w:r>
          </w:p>
        </w:tc>
        <w:tc>
          <w:tcPr>
            <w:tcW w:w="2373" w:type="dxa"/>
            <w:tcBorders>
              <w:top w:val="nil"/>
              <w:left w:val="nil"/>
              <w:bottom w:val="nil"/>
              <w:right w:val="single" w:sz="4" w:space="0" w:color="auto"/>
            </w:tcBorders>
            <w:shd w:val="clear" w:color="000000" w:fill="FFFFFF"/>
            <w:tcMar>
              <w:top w:w="85" w:type="dxa"/>
            </w:tcMar>
            <w:hideMark/>
          </w:tcPr>
          <w:p w:rsidR="00236E18" w:rsidRPr="00457309" w:rsidRDefault="00236E18" w:rsidP="00294272">
            <w:pPr>
              <w:ind w:left="280"/>
              <w:rPr>
                <w:rFonts w:eastAsia="Times New Roman"/>
                <w:sz w:val="16"/>
                <w:szCs w:val="16"/>
                <w:lang w:val="es-ES_tradnl"/>
              </w:rPr>
            </w:pPr>
            <w:r w:rsidRPr="00457309">
              <w:rPr>
                <w:rFonts w:eastAsia="Times New Roman"/>
                <w:sz w:val="16"/>
                <w:szCs w:val="16"/>
                <w:lang w:val="es-ES_tradnl"/>
              </w:rPr>
              <w:t>ARDI (600), ASPI (60)</w:t>
            </w:r>
          </w:p>
        </w:tc>
      </w:tr>
      <w:tr w:rsidR="00236E18" w:rsidRPr="00457309" w:rsidTr="00294272">
        <w:trPr>
          <w:trHeight w:val="376"/>
        </w:trPr>
        <w:tc>
          <w:tcPr>
            <w:tcW w:w="2380" w:type="dxa"/>
            <w:vMerge/>
            <w:tcBorders>
              <w:top w:val="nil"/>
              <w:left w:val="single" w:sz="4" w:space="0" w:color="auto"/>
              <w:bottom w:val="single" w:sz="4" w:space="0" w:color="000000"/>
              <w:right w:val="nil"/>
            </w:tcBorders>
            <w:tcMar>
              <w:top w:w="85" w:type="dxa"/>
            </w:tcMar>
            <w:vAlign w:val="center"/>
            <w:hideMark/>
          </w:tcPr>
          <w:p w:rsidR="00236E18" w:rsidRPr="00457309" w:rsidRDefault="00236E18" w:rsidP="00294272">
            <w:pPr>
              <w:rPr>
                <w:rFonts w:eastAsia="Times New Roman"/>
                <w:sz w:val="16"/>
                <w:szCs w:val="16"/>
                <w:lang w:val="es-ES_tradnl"/>
              </w:rPr>
            </w:pPr>
          </w:p>
        </w:tc>
        <w:tc>
          <w:tcPr>
            <w:tcW w:w="2200" w:type="dxa"/>
            <w:tcBorders>
              <w:top w:val="nil"/>
              <w:left w:val="nil"/>
              <w:bottom w:val="nil"/>
              <w:right w:val="nil"/>
            </w:tcBorders>
            <w:shd w:val="clear" w:color="000000" w:fill="FFFFFF"/>
            <w:tcMar>
              <w:top w:w="85" w:type="dxa"/>
            </w:tcMar>
            <w:hideMark/>
          </w:tcPr>
          <w:p w:rsidR="00236E18" w:rsidRPr="00457309" w:rsidRDefault="00236E18" w:rsidP="00294272">
            <w:pPr>
              <w:ind w:left="103"/>
              <w:rPr>
                <w:rFonts w:eastAsia="Times New Roman"/>
                <w:sz w:val="16"/>
                <w:szCs w:val="16"/>
                <w:lang w:val="es-ES_tradnl"/>
              </w:rPr>
            </w:pPr>
            <w:r w:rsidRPr="00457309">
              <w:rPr>
                <w:rFonts w:eastAsia="Times New Roman"/>
                <w:sz w:val="16"/>
                <w:szCs w:val="16"/>
                <w:lang w:val="es-ES_tradnl"/>
              </w:rPr>
              <w:t>N</w:t>
            </w:r>
            <w:r>
              <w:rPr>
                <w:rFonts w:eastAsia="Times New Roman"/>
                <w:sz w:val="16"/>
                <w:szCs w:val="16"/>
                <w:lang w:val="es-ES_tradnl"/>
              </w:rPr>
              <w:t>º</w:t>
            </w:r>
            <w:r w:rsidRPr="00457309">
              <w:rPr>
                <w:rFonts w:eastAsia="Times New Roman"/>
                <w:sz w:val="16"/>
                <w:szCs w:val="16"/>
                <w:lang w:val="es-ES_tradnl"/>
              </w:rPr>
              <w:t xml:space="preserve"> de solicitudes cursadas a los CATI.</w:t>
            </w:r>
          </w:p>
        </w:tc>
        <w:tc>
          <w:tcPr>
            <w:tcW w:w="2560" w:type="dxa"/>
            <w:tcBorders>
              <w:top w:val="nil"/>
              <w:left w:val="nil"/>
              <w:bottom w:val="nil"/>
              <w:right w:val="nil"/>
            </w:tcBorders>
            <w:shd w:val="clear" w:color="000000" w:fill="FFFFFF"/>
            <w:tcMar>
              <w:top w:w="85" w:type="dxa"/>
            </w:tcMar>
            <w:hideMark/>
          </w:tcPr>
          <w:p w:rsidR="00236E18" w:rsidRPr="00457309" w:rsidRDefault="00236E18" w:rsidP="00294272">
            <w:pPr>
              <w:ind w:firstLineChars="200" w:firstLine="320"/>
              <w:rPr>
                <w:rFonts w:eastAsia="Times New Roman"/>
                <w:sz w:val="16"/>
                <w:szCs w:val="16"/>
                <w:lang w:val="es-ES_tradnl"/>
              </w:rPr>
            </w:pPr>
            <w:proofErr w:type="spellStart"/>
            <w:r w:rsidRPr="00457309">
              <w:rPr>
                <w:rFonts w:eastAsia="Times New Roman"/>
                <w:sz w:val="16"/>
                <w:szCs w:val="16"/>
                <w:lang w:val="es-ES_tradnl"/>
              </w:rPr>
              <w:t>n.d</w:t>
            </w:r>
            <w:proofErr w:type="spellEnd"/>
            <w:r w:rsidRPr="00457309">
              <w:rPr>
                <w:rFonts w:eastAsia="Times New Roman"/>
                <w:sz w:val="16"/>
                <w:szCs w:val="16"/>
                <w:lang w:val="es-ES_tradnl"/>
              </w:rPr>
              <w:t>.  (nuevo)</w:t>
            </w:r>
          </w:p>
        </w:tc>
        <w:tc>
          <w:tcPr>
            <w:tcW w:w="2373" w:type="dxa"/>
            <w:tcBorders>
              <w:top w:val="nil"/>
              <w:left w:val="nil"/>
              <w:bottom w:val="nil"/>
              <w:right w:val="single" w:sz="4" w:space="0" w:color="auto"/>
            </w:tcBorders>
            <w:shd w:val="clear" w:color="000000" w:fill="FFFFFF"/>
            <w:tcMar>
              <w:top w:w="85" w:type="dxa"/>
            </w:tcMar>
            <w:hideMark/>
          </w:tcPr>
          <w:p w:rsidR="00236E18" w:rsidRPr="00457309" w:rsidRDefault="00236E18" w:rsidP="00294272">
            <w:pPr>
              <w:ind w:firstLineChars="200" w:firstLine="320"/>
              <w:rPr>
                <w:rFonts w:eastAsia="Times New Roman"/>
                <w:sz w:val="16"/>
                <w:szCs w:val="16"/>
                <w:lang w:val="es-ES_tradnl"/>
              </w:rPr>
            </w:pPr>
            <w:r w:rsidRPr="00457309">
              <w:rPr>
                <w:rFonts w:eastAsia="Times New Roman"/>
                <w:sz w:val="16"/>
                <w:szCs w:val="16"/>
                <w:lang w:val="es-ES_tradnl"/>
              </w:rPr>
              <w:t>10</w:t>
            </w:r>
          </w:p>
        </w:tc>
      </w:tr>
      <w:tr w:rsidR="00236E18" w:rsidRPr="00457309" w:rsidTr="00294272">
        <w:trPr>
          <w:trHeight w:val="692"/>
        </w:trPr>
        <w:tc>
          <w:tcPr>
            <w:tcW w:w="2380" w:type="dxa"/>
            <w:vMerge/>
            <w:tcBorders>
              <w:top w:val="nil"/>
              <w:left w:val="single" w:sz="4" w:space="0" w:color="auto"/>
              <w:bottom w:val="single" w:sz="4" w:space="0" w:color="000000"/>
              <w:right w:val="nil"/>
            </w:tcBorders>
            <w:tcMar>
              <w:top w:w="85" w:type="dxa"/>
            </w:tcMar>
            <w:vAlign w:val="center"/>
            <w:hideMark/>
          </w:tcPr>
          <w:p w:rsidR="00236E18" w:rsidRPr="00457309" w:rsidRDefault="00236E18" w:rsidP="00294272">
            <w:pPr>
              <w:rPr>
                <w:rFonts w:eastAsia="Times New Roman"/>
                <w:sz w:val="16"/>
                <w:szCs w:val="16"/>
                <w:lang w:val="es-ES_tradnl"/>
              </w:rPr>
            </w:pPr>
          </w:p>
        </w:tc>
        <w:tc>
          <w:tcPr>
            <w:tcW w:w="2200" w:type="dxa"/>
            <w:tcBorders>
              <w:top w:val="nil"/>
              <w:left w:val="nil"/>
              <w:bottom w:val="single" w:sz="4" w:space="0" w:color="auto"/>
              <w:right w:val="nil"/>
            </w:tcBorders>
            <w:shd w:val="clear" w:color="000000" w:fill="FFFFFF"/>
            <w:tcMar>
              <w:top w:w="85" w:type="dxa"/>
            </w:tcMar>
            <w:hideMark/>
          </w:tcPr>
          <w:p w:rsidR="00236E18" w:rsidRPr="00457309" w:rsidRDefault="00236E18" w:rsidP="00294272">
            <w:pPr>
              <w:ind w:left="103"/>
              <w:rPr>
                <w:rFonts w:eastAsia="Times New Roman"/>
                <w:sz w:val="16"/>
                <w:szCs w:val="16"/>
                <w:lang w:val="es-ES_tradnl"/>
              </w:rPr>
            </w:pPr>
            <w:r w:rsidRPr="00457309">
              <w:rPr>
                <w:rFonts w:eastAsia="Times New Roman"/>
                <w:sz w:val="16"/>
                <w:szCs w:val="16"/>
                <w:lang w:val="es-ES_tradnl"/>
              </w:rPr>
              <w:t>N</w:t>
            </w:r>
            <w:r>
              <w:rPr>
                <w:rFonts w:eastAsia="Times New Roman"/>
                <w:sz w:val="16"/>
                <w:szCs w:val="16"/>
                <w:lang w:val="es-ES_tradnl"/>
              </w:rPr>
              <w:t>º</w:t>
            </w:r>
            <w:r w:rsidRPr="00457309">
              <w:rPr>
                <w:rFonts w:eastAsia="Times New Roman"/>
                <w:sz w:val="16"/>
                <w:szCs w:val="16"/>
                <w:lang w:val="es-ES_tradnl"/>
              </w:rPr>
              <w:t xml:space="preserve"> de CATI que ofrecen servicios de análisis de patentes.</w:t>
            </w:r>
          </w:p>
        </w:tc>
        <w:tc>
          <w:tcPr>
            <w:tcW w:w="2560" w:type="dxa"/>
            <w:tcBorders>
              <w:top w:val="nil"/>
              <w:left w:val="nil"/>
              <w:bottom w:val="single" w:sz="4" w:space="0" w:color="auto"/>
              <w:right w:val="nil"/>
            </w:tcBorders>
            <w:shd w:val="clear" w:color="000000" w:fill="FFFFFF"/>
            <w:tcMar>
              <w:top w:w="85" w:type="dxa"/>
            </w:tcMar>
            <w:hideMark/>
          </w:tcPr>
          <w:p w:rsidR="00236E18" w:rsidRPr="00457309" w:rsidRDefault="00236E18" w:rsidP="00294272">
            <w:pPr>
              <w:ind w:firstLineChars="200" w:firstLine="320"/>
              <w:rPr>
                <w:rFonts w:eastAsia="Times New Roman"/>
                <w:sz w:val="16"/>
                <w:szCs w:val="16"/>
                <w:lang w:val="es-ES_tradnl"/>
              </w:rPr>
            </w:pPr>
            <w:proofErr w:type="spellStart"/>
            <w:r w:rsidRPr="00457309">
              <w:rPr>
                <w:rFonts w:eastAsia="Times New Roman"/>
                <w:sz w:val="16"/>
                <w:szCs w:val="16"/>
                <w:lang w:val="es-ES_tradnl"/>
              </w:rPr>
              <w:t>n.d</w:t>
            </w:r>
            <w:proofErr w:type="spellEnd"/>
            <w:r w:rsidRPr="00457309">
              <w:rPr>
                <w:rFonts w:eastAsia="Times New Roman"/>
                <w:sz w:val="16"/>
                <w:szCs w:val="16"/>
                <w:lang w:val="es-ES_tradnl"/>
              </w:rPr>
              <w:t>.  (nuevo)</w:t>
            </w:r>
          </w:p>
        </w:tc>
        <w:tc>
          <w:tcPr>
            <w:tcW w:w="2373" w:type="dxa"/>
            <w:tcBorders>
              <w:top w:val="nil"/>
              <w:left w:val="nil"/>
              <w:bottom w:val="single" w:sz="4" w:space="0" w:color="auto"/>
              <w:right w:val="single" w:sz="4" w:space="0" w:color="auto"/>
            </w:tcBorders>
            <w:shd w:val="clear" w:color="000000" w:fill="FFFFFF"/>
            <w:tcMar>
              <w:top w:w="85" w:type="dxa"/>
            </w:tcMar>
            <w:hideMark/>
          </w:tcPr>
          <w:p w:rsidR="00236E18" w:rsidRPr="00457309" w:rsidRDefault="00236E18" w:rsidP="00294272">
            <w:pPr>
              <w:ind w:firstLineChars="200" w:firstLine="320"/>
              <w:rPr>
                <w:rFonts w:eastAsia="Times New Roman"/>
                <w:sz w:val="16"/>
                <w:szCs w:val="16"/>
                <w:lang w:val="es-ES_tradnl"/>
              </w:rPr>
            </w:pPr>
            <w:r w:rsidRPr="00457309">
              <w:rPr>
                <w:rFonts w:eastAsia="Times New Roman"/>
                <w:sz w:val="16"/>
                <w:szCs w:val="16"/>
                <w:lang w:val="es-ES_tradnl"/>
              </w:rPr>
              <w:t>5</w:t>
            </w:r>
          </w:p>
        </w:tc>
      </w:tr>
    </w:tbl>
    <w:p w:rsidR="00236E18" w:rsidRPr="00457309" w:rsidRDefault="00236E18" w:rsidP="00236E18">
      <w:pPr>
        <w:rPr>
          <w:rFonts w:eastAsia="Times New Roman"/>
          <w:sz w:val="20"/>
          <w:lang w:val="es-ES_tradnl"/>
        </w:rPr>
      </w:pPr>
    </w:p>
    <w:p w:rsidR="00236E18" w:rsidRDefault="00236E18" w:rsidP="00236E18">
      <w:pPr>
        <w:pStyle w:val="ListParagraph"/>
        <w:tabs>
          <w:tab w:val="left" w:pos="709"/>
        </w:tabs>
        <w:autoSpaceDE w:val="0"/>
        <w:autoSpaceDN w:val="0"/>
        <w:adjustRightInd w:val="0"/>
        <w:ind w:left="0"/>
        <w:rPr>
          <w:rFonts w:ascii="Arial" w:hAnsi="Arial" w:cs="Arial"/>
          <w:sz w:val="20"/>
          <w:szCs w:val="20"/>
        </w:rPr>
      </w:pPr>
    </w:p>
    <w:p w:rsidR="00236E18" w:rsidRPr="00F8163F" w:rsidRDefault="00236E18" w:rsidP="00236E18">
      <w:pPr>
        <w:rPr>
          <w:rFonts w:eastAsia="Times New Roman"/>
        </w:rPr>
      </w:pPr>
      <w:r w:rsidRPr="00F8163F">
        <w:rPr>
          <w:rFonts w:eastAsia="Times New Roman"/>
        </w:rPr>
        <w:t>RECURSOS PARA EL PROGRAMA 14</w:t>
      </w:r>
    </w:p>
    <w:p w:rsidR="00236E18" w:rsidRPr="00F8163F" w:rsidRDefault="00236E18" w:rsidP="00236E18">
      <w:pPr>
        <w:rPr>
          <w:rFonts w:eastAsia="Times New Roman"/>
        </w:rPr>
      </w:pPr>
    </w:p>
    <w:p w:rsidR="00236E18" w:rsidRPr="00F8163F" w:rsidRDefault="00236E18" w:rsidP="00236E18">
      <w:pPr>
        <w:numPr>
          <w:ilvl w:val="0"/>
          <w:numId w:val="28"/>
        </w:numPr>
        <w:tabs>
          <w:tab w:val="clear" w:pos="825"/>
        </w:tabs>
        <w:ind w:left="0"/>
        <w:jc w:val="both"/>
        <w:rPr>
          <w:rFonts w:eastAsia="Times New Roman"/>
          <w:bCs/>
          <w:sz w:val="20"/>
        </w:rPr>
      </w:pPr>
      <w:r w:rsidRPr="00F8163F">
        <w:rPr>
          <w:sz w:val="20"/>
        </w:rPr>
        <w:t>En 2016/17, la dotación global de recursos para el programa 14 se mantiene aproximadamente en el mismo nivel con respecto al presupuesto de 2014/</w:t>
      </w:r>
      <w:r>
        <w:rPr>
          <w:sz w:val="20"/>
        </w:rPr>
        <w:t>15 tras las</w:t>
      </w:r>
      <w:r w:rsidRPr="00F8163F">
        <w:rPr>
          <w:sz w:val="20"/>
        </w:rPr>
        <w:t xml:space="preserve"> transferencias.  Ese es el resultado neto de una disminución en los recursos de personal debido a la redistribución de un puesto del programa y a un incremento general de 450.000 francos suizos para la aplicación del proyecto de la A.D. “Uso de la información en el dominio público para la investigación y el desarrollo en los países en desarrollo”.</w:t>
      </w:r>
    </w:p>
    <w:p w:rsidR="00236E18" w:rsidRPr="00F8163F" w:rsidRDefault="00236E18" w:rsidP="00236E18">
      <w:pPr>
        <w:jc w:val="both"/>
        <w:rPr>
          <w:sz w:val="20"/>
        </w:rPr>
      </w:pPr>
    </w:p>
    <w:p w:rsidR="00236E18" w:rsidRPr="00F8163F" w:rsidRDefault="00236E18" w:rsidP="00236E18">
      <w:pPr>
        <w:tabs>
          <w:tab w:val="left" w:pos="1427"/>
        </w:tabs>
        <w:jc w:val="center"/>
        <w:rPr>
          <w:sz w:val="20"/>
          <w:lang w:val="es-ES_tradnl"/>
        </w:rPr>
      </w:pPr>
      <w:r w:rsidRPr="00F8163F">
        <w:rPr>
          <w:b/>
          <w:sz w:val="20"/>
          <w:lang w:val="es-ES_tradnl"/>
        </w:rPr>
        <w:t>Programa 14</w:t>
      </w:r>
      <w:proofErr w:type="gramStart"/>
      <w:r w:rsidRPr="00F8163F">
        <w:rPr>
          <w:b/>
          <w:sz w:val="20"/>
          <w:lang w:val="es-ES_tradnl"/>
        </w:rPr>
        <w:t>:  Recursos</w:t>
      </w:r>
      <w:proofErr w:type="gramEnd"/>
      <w:r w:rsidRPr="00F8163F">
        <w:rPr>
          <w:b/>
          <w:sz w:val="20"/>
          <w:lang w:val="es-ES_tradnl"/>
        </w:rPr>
        <w:t xml:space="preserve"> por resultado</w:t>
      </w:r>
    </w:p>
    <w:p w:rsidR="00236E18" w:rsidRPr="00F8163F" w:rsidRDefault="00236E18" w:rsidP="00236E18">
      <w:pPr>
        <w:tabs>
          <w:tab w:val="left" w:pos="1427"/>
        </w:tabs>
        <w:jc w:val="center"/>
        <w:rPr>
          <w:i/>
          <w:sz w:val="20"/>
          <w:szCs w:val="24"/>
          <w:lang w:val="es-ES_tradnl"/>
        </w:rPr>
      </w:pPr>
      <w:r w:rsidRPr="00F8163F">
        <w:rPr>
          <w:i/>
          <w:sz w:val="20"/>
          <w:lang w:val="es-ES_tradnl"/>
        </w:rPr>
        <w:t>(</w:t>
      </w:r>
      <w:proofErr w:type="gramStart"/>
      <w:r w:rsidRPr="00F8163F">
        <w:rPr>
          <w:i/>
          <w:sz w:val="20"/>
          <w:lang w:val="es-ES_tradnl"/>
        </w:rPr>
        <w:t>en</w:t>
      </w:r>
      <w:proofErr w:type="gramEnd"/>
      <w:r w:rsidRPr="00F8163F">
        <w:rPr>
          <w:i/>
          <w:sz w:val="20"/>
          <w:lang w:val="es-ES_tradnl"/>
        </w:rPr>
        <w:t xml:space="preserve"> miles de francos suizos)</w:t>
      </w:r>
    </w:p>
    <w:p w:rsidR="00236E18" w:rsidRPr="00810964" w:rsidRDefault="00236E18" w:rsidP="00236E18">
      <w:pPr>
        <w:tabs>
          <w:tab w:val="left" w:pos="1427"/>
        </w:tabs>
        <w:jc w:val="center"/>
        <w:rPr>
          <w:i/>
          <w:sz w:val="20"/>
          <w:szCs w:val="24"/>
          <w:lang w:val="es-ES_tradnl"/>
        </w:rPr>
      </w:pPr>
    </w:p>
    <w:p w:rsidR="00236E18" w:rsidRPr="009B4A78" w:rsidRDefault="00236E18" w:rsidP="00236E18">
      <w:pPr>
        <w:tabs>
          <w:tab w:val="left" w:pos="1427"/>
        </w:tabs>
        <w:jc w:val="center"/>
        <w:rPr>
          <w:i/>
          <w:sz w:val="20"/>
          <w:szCs w:val="24"/>
        </w:rPr>
      </w:pPr>
      <w:r w:rsidRPr="00B36ED0">
        <w:rPr>
          <w:noProof/>
          <w:lang w:val="en-US" w:eastAsia="en-US"/>
        </w:rPr>
        <w:drawing>
          <wp:inline distT="0" distB="0" distL="0" distR="0" wp14:anchorId="6AE45A76" wp14:editId="556F4C03">
            <wp:extent cx="5676900" cy="1360805"/>
            <wp:effectExtent l="0" t="0" r="0" b="0"/>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676900" cy="1360805"/>
                    </a:xfrm>
                    <a:prstGeom prst="rect">
                      <a:avLst/>
                    </a:prstGeom>
                    <a:noFill/>
                    <a:ln>
                      <a:noFill/>
                    </a:ln>
                  </pic:spPr>
                </pic:pic>
              </a:graphicData>
            </a:graphic>
          </wp:inline>
        </w:drawing>
      </w:r>
    </w:p>
    <w:p w:rsidR="00236E18" w:rsidRPr="009B4A78" w:rsidRDefault="00236E18" w:rsidP="00236E18">
      <w:pPr>
        <w:tabs>
          <w:tab w:val="left" w:pos="1427"/>
        </w:tabs>
        <w:jc w:val="center"/>
        <w:rPr>
          <w:i/>
          <w:sz w:val="20"/>
          <w:szCs w:val="24"/>
        </w:rPr>
      </w:pPr>
    </w:p>
    <w:p w:rsidR="00236E18" w:rsidRPr="009B4A78" w:rsidRDefault="00236E18" w:rsidP="00236E18">
      <w:pPr>
        <w:tabs>
          <w:tab w:val="left" w:pos="1427"/>
        </w:tabs>
        <w:jc w:val="center"/>
        <w:rPr>
          <w:i/>
          <w:sz w:val="20"/>
          <w:szCs w:val="24"/>
        </w:rPr>
      </w:pPr>
    </w:p>
    <w:p w:rsidR="00236E18" w:rsidRPr="005012AC" w:rsidRDefault="00236E18" w:rsidP="00236E18">
      <w:pPr>
        <w:keepNext/>
        <w:keepLines/>
        <w:tabs>
          <w:tab w:val="left" w:pos="1427"/>
        </w:tabs>
        <w:jc w:val="center"/>
        <w:rPr>
          <w:sz w:val="20"/>
          <w:lang w:val="es-ES_tradnl"/>
        </w:rPr>
      </w:pPr>
      <w:r w:rsidRPr="005012AC">
        <w:rPr>
          <w:b/>
          <w:sz w:val="20"/>
          <w:lang w:val="es-ES_tradnl"/>
        </w:rPr>
        <w:lastRenderedPageBreak/>
        <w:t>Programa 14</w:t>
      </w:r>
      <w:proofErr w:type="gramStart"/>
      <w:r w:rsidRPr="005012AC">
        <w:rPr>
          <w:b/>
          <w:sz w:val="20"/>
          <w:lang w:val="es-ES_tradnl"/>
        </w:rPr>
        <w:t>:  Recursos</w:t>
      </w:r>
      <w:proofErr w:type="gramEnd"/>
      <w:r w:rsidRPr="005012AC">
        <w:rPr>
          <w:b/>
          <w:sz w:val="20"/>
          <w:lang w:val="es-ES_tradnl"/>
        </w:rPr>
        <w:t xml:space="preserve"> por objeto de gasto</w:t>
      </w:r>
    </w:p>
    <w:p w:rsidR="00236E18" w:rsidRPr="005012AC" w:rsidRDefault="00236E18" w:rsidP="00236E18">
      <w:pPr>
        <w:keepNext/>
        <w:keepLines/>
        <w:tabs>
          <w:tab w:val="left" w:pos="1427"/>
        </w:tabs>
        <w:jc w:val="center"/>
        <w:rPr>
          <w:lang w:val="es-ES_tradnl"/>
        </w:rPr>
      </w:pPr>
      <w:r w:rsidRPr="005012AC">
        <w:rPr>
          <w:i/>
          <w:sz w:val="20"/>
          <w:lang w:val="es-ES_tradnl"/>
        </w:rPr>
        <w:t>(</w:t>
      </w:r>
      <w:proofErr w:type="gramStart"/>
      <w:r w:rsidRPr="005012AC">
        <w:rPr>
          <w:i/>
          <w:sz w:val="20"/>
          <w:lang w:val="es-ES_tradnl"/>
        </w:rPr>
        <w:t>en</w:t>
      </w:r>
      <w:proofErr w:type="gramEnd"/>
      <w:r w:rsidRPr="005012AC">
        <w:rPr>
          <w:i/>
          <w:sz w:val="20"/>
          <w:lang w:val="es-ES_tradnl"/>
        </w:rPr>
        <w:t xml:space="preserve"> miles de francos suizos)</w:t>
      </w:r>
    </w:p>
    <w:p w:rsidR="00236E18" w:rsidRPr="005012AC" w:rsidRDefault="00236E18" w:rsidP="00236E18">
      <w:pPr>
        <w:keepNext/>
        <w:keepLines/>
        <w:tabs>
          <w:tab w:val="left" w:pos="1427"/>
        </w:tabs>
        <w:jc w:val="center"/>
        <w:rPr>
          <w:lang w:val="es-ES_tradnl"/>
        </w:rPr>
      </w:pPr>
    </w:p>
    <w:p w:rsidR="00236E18" w:rsidRPr="009B4A78" w:rsidRDefault="00236E18" w:rsidP="00236E18">
      <w:pPr>
        <w:jc w:val="center"/>
        <w:rPr>
          <w:rFonts w:eastAsia="Times New Roman"/>
          <w:sz w:val="20"/>
        </w:rPr>
      </w:pPr>
      <w:r>
        <w:rPr>
          <w:noProof/>
          <w:lang w:val="en-US" w:eastAsia="en-US"/>
        </w:rPr>
        <w:drawing>
          <wp:inline distT="0" distB="0" distL="0" distR="0" wp14:anchorId="41D2E27E" wp14:editId="5247C38E">
            <wp:extent cx="5940425" cy="6676632"/>
            <wp:effectExtent l="0" t="0" r="3175" b="0"/>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940425" cy="6676632"/>
                    </a:xfrm>
                    <a:prstGeom prst="rect">
                      <a:avLst/>
                    </a:prstGeom>
                    <a:noFill/>
                    <a:ln>
                      <a:noFill/>
                    </a:ln>
                  </pic:spPr>
                </pic:pic>
              </a:graphicData>
            </a:graphic>
          </wp:inline>
        </w:drawing>
      </w:r>
    </w:p>
    <w:p w:rsidR="00236E18" w:rsidRPr="009B4A78" w:rsidRDefault="00236E18" w:rsidP="00236E18">
      <w:pPr>
        <w:rPr>
          <w:rFonts w:eastAsia="Times New Roman"/>
          <w:sz w:val="20"/>
        </w:rPr>
      </w:pPr>
    </w:p>
    <w:p w:rsidR="00236E18" w:rsidRDefault="00236E18" w:rsidP="00236E18">
      <w:pPr>
        <w:jc w:val="both"/>
        <w:rPr>
          <w:rFonts w:eastAsia="Times New Roman"/>
          <w:bCs/>
          <w:sz w:val="20"/>
          <w:lang w:val="en-US"/>
        </w:rPr>
      </w:pPr>
    </w:p>
    <w:p w:rsidR="00236E18" w:rsidRDefault="00236E18" w:rsidP="00236E18">
      <w:pPr>
        <w:rPr>
          <w:rFonts w:eastAsia="Times New Roman"/>
          <w:bCs/>
          <w:sz w:val="20"/>
          <w:lang w:val="en-US"/>
        </w:rPr>
      </w:pPr>
      <w:r>
        <w:rPr>
          <w:rFonts w:eastAsia="Times New Roman"/>
          <w:bCs/>
          <w:sz w:val="20"/>
          <w:lang w:val="en-US"/>
        </w:rPr>
        <w:br w:type="page"/>
      </w:r>
    </w:p>
    <w:p w:rsidR="00236E18" w:rsidRPr="000278D6" w:rsidRDefault="00236E18" w:rsidP="00236E18">
      <w:pPr>
        <w:pStyle w:val="StyleHeading3ComplexItalic"/>
        <w:rPr>
          <w:rStyle w:val="StyleStyleHeading3ComplexItalicLatin12ptChar"/>
          <w:rFonts w:eastAsia="SimSun"/>
          <w:b/>
          <w:lang w:val="es-ES_tradnl"/>
        </w:rPr>
      </w:pPr>
      <w:bookmarkStart w:id="83" w:name="_Toc431573559"/>
      <w:bookmarkStart w:id="84" w:name="_Toc431573960"/>
      <w:r w:rsidRPr="000278D6">
        <w:rPr>
          <w:rStyle w:val="StyleStyleHeading3ComplexItalicLatin12ptChar"/>
          <w:rFonts w:eastAsia="SimSun"/>
          <w:b/>
          <w:lang w:val="es-ES_tradnl"/>
        </w:rPr>
        <w:lastRenderedPageBreak/>
        <w:t>PROGRAMA 15</w:t>
      </w:r>
      <w:r w:rsidRPr="000278D6">
        <w:rPr>
          <w:rStyle w:val="StyleStyleHeading3ComplexItalicLatin12ptChar"/>
          <w:rFonts w:eastAsia="SimSun"/>
          <w:b/>
          <w:lang w:val="es-ES_tradnl"/>
        </w:rPr>
        <w:tab/>
        <w:t>SOLUCIONES OPERATIVAS PARA LAS OFICINAS DE P.I.</w:t>
      </w:r>
      <w:bookmarkEnd w:id="83"/>
      <w:bookmarkEnd w:id="84"/>
    </w:p>
    <w:p w:rsidR="00236E18" w:rsidRPr="000957E1" w:rsidRDefault="00236E18" w:rsidP="00236E18">
      <w:pPr>
        <w:rPr>
          <w:bCs/>
          <w:sz w:val="20"/>
          <w:szCs w:val="24"/>
        </w:rPr>
      </w:pPr>
    </w:p>
    <w:p w:rsidR="00236E18" w:rsidRPr="000957E1" w:rsidRDefault="00236E18" w:rsidP="00236E18">
      <w:pPr>
        <w:rPr>
          <w:bCs/>
          <w:sz w:val="20"/>
          <w:szCs w:val="24"/>
        </w:rPr>
      </w:pPr>
    </w:p>
    <w:p w:rsidR="00236E18" w:rsidRPr="00E12F14" w:rsidRDefault="00236E18" w:rsidP="00236E18">
      <w:pPr>
        <w:rPr>
          <w:bCs/>
          <w:szCs w:val="22"/>
        </w:rPr>
      </w:pPr>
      <w:r w:rsidRPr="00E12F14">
        <w:rPr>
          <w:bCs/>
          <w:szCs w:val="22"/>
        </w:rPr>
        <w:t>CONTEXTO DE PLANIFICACIÓN</w:t>
      </w:r>
    </w:p>
    <w:p w:rsidR="00236E18" w:rsidRPr="000957E1" w:rsidRDefault="00236E18" w:rsidP="00236E18">
      <w:pPr>
        <w:jc w:val="both"/>
        <w:rPr>
          <w:bCs/>
          <w:sz w:val="20"/>
          <w:szCs w:val="21"/>
        </w:rPr>
      </w:pPr>
    </w:p>
    <w:p w:rsidR="00236E18" w:rsidRPr="000957E1" w:rsidRDefault="00236E18" w:rsidP="00236E18">
      <w:pPr>
        <w:numPr>
          <w:ilvl w:val="0"/>
          <w:numId w:val="29"/>
        </w:numPr>
        <w:shd w:val="clear" w:color="auto" w:fill="FFFFFF"/>
        <w:tabs>
          <w:tab w:val="left" w:pos="709"/>
        </w:tabs>
        <w:suppressAutoHyphens/>
        <w:ind w:left="0" w:firstLine="0"/>
        <w:jc w:val="both"/>
        <w:rPr>
          <w:sz w:val="18"/>
        </w:rPr>
      </w:pPr>
      <w:r w:rsidRPr="000957E1">
        <w:rPr>
          <w:sz w:val="20"/>
        </w:rPr>
        <w:t xml:space="preserve">Este programa constituye la base de la infraestructura mundial, en la que la arquitectura técnica del sistema de P.I. complementa la arquitectura jurídica y operativa.  </w:t>
      </w:r>
      <w:r w:rsidRPr="000957E1">
        <w:rPr>
          <w:rFonts w:eastAsia="Calibri"/>
          <w:sz w:val="20"/>
          <w:szCs w:val="21"/>
        </w:rPr>
        <w:t xml:space="preserve">El programa aporta soluciones de </w:t>
      </w:r>
      <w:r w:rsidRPr="000957E1">
        <w:rPr>
          <w:rFonts w:eastAsia="Calibri"/>
          <w:i/>
          <w:sz w:val="20"/>
          <w:szCs w:val="21"/>
        </w:rPr>
        <w:t>software</w:t>
      </w:r>
      <w:r w:rsidRPr="000957E1">
        <w:rPr>
          <w:rFonts w:eastAsia="Calibri"/>
          <w:sz w:val="20"/>
          <w:szCs w:val="21"/>
        </w:rPr>
        <w:t xml:space="preserve"> adaptadas a cada caso y servicios conexos de formación y de gestión de proyectos para facilitar la tramitación eficiente de las solicitudes de derechos de P.I. en los Estados miembros y la colaboración efectiva entre las oficinas de P.I. y dar apoyo a los organismos de gestión colectiva del derecho de autor.  Las actividades del programa se dirigen especialmente a las Oficinas de P.I. de los países en desarrollo y los países menos adelantados.</w:t>
      </w:r>
    </w:p>
    <w:p w:rsidR="00236E18" w:rsidRPr="000957E1" w:rsidRDefault="00236E18" w:rsidP="00236E18">
      <w:pPr>
        <w:shd w:val="clear" w:color="auto" w:fill="FFFFFF"/>
        <w:tabs>
          <w:tab w:val="left" w:pos="709"/>
        </w:tabs>
        <w:jc w:val="both"/>
        <w:rPr>
          <w:sz w:val="18"/>
        </w:rPr>
      </w:pPr>
    </w:p>
    <w:p w:rsidR="00236E18" w:rsidRPr="000957E1" w:rsidRDefault="00236E18" w:rsidP="00236E18">
      <w:pPr>
        <w:pStyle w:val="p1"/>
        <w:shd w:val="clear" w:color="auto" w:fill="FFFFFF"/>
        <w:rPr>
          <w:rFonts w:ascii="Arial" w:hAnsi="Arial" w:cs="Arial"/>
          <w:lang w:val="es-ES" w:eastAsia="en-GB"/>
        </w:rPr>
      </w:pPr>
      <w:r>
        <w:rPr>
          <w:rFonts w:ascii="Arial" w:hAnsi="Arial" w:cs="Arial"/>
          <w:noProof/>
          <w:lang w:eastAsia="en-US"/>
        </w:rPr>
        <w:drawing>
          <wp:inline distT="0" distB="0" distL="0" distR="0" wp14:anchorId="61DE8C2E" wp14:editId="31B4B7C6">
            <wp:extent cx="5857200" cy="34164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857200" cy="3416400"/>
                    </a:xfrm>
                    <a:prstGeom prst="rect">
                      <a:avLst/>
                    </a:prstGeom>
                    <a:noFill/>
                  </pic:spPr>
                </pic:pic>
              </a:graphicData>
            </a:graphic>
          </wp:inline>
        </w:drawing>
      </w:r>
    </w:p>
    <w:p w:rsidR="00236E18" w:rsidRPr="000957E1" w:rsidRDefault="00236E18" w:rsidP="00236E18">
      <w:pPr>
        <w:shd w:val="clear" w:color="auto" w:fill="FFFFFF"/>
        <w:jc w:val="both"/>
        <w:rPr>
          <w:rFonts w:eastAsia="Calibri"/>
          <w:sz w:val="20"/>
          <w:szCs w:val="21"/>
        </w:rPr>
      </w:pPr>
    </w:p>
    <w:p w:rsidR="00236E18" w:rsidRPr="000957E1" w:rsidRDefault="00236E18" w:rsidP="00236E18">
      <w:pPr>
        <w:numPr>
          <w:ilvl w:val="0"/>
          <w:numId w:val="29"/>
        </w:numPr>
        <w:shd w:val="clear" w:color="auto" w:fill="FFFFFF"/>
        <w:tabs>
          <w:tab w:val="left" w:pos="709"/>
        </w:tabs>
        <w:suppressAutoHyphens/>
        <w:ind w:left="0" w:firstLine="0"/>
        <w:jc w:val="both"/>
        <w:rPr>
          <w:rFonts w:eastAsia="Calibri"/>
          <w:sz w:val="20"/>
          <w:szCs w:val="21"/>
        </w:rPr>
      </w:pPr>
      <w:r w:rsidRPr="000957E1">
        <w:rPr>
          <w:rFonts w:eastAsia="Calibri"/>
          <w:sz w:val="20"/>
          <w:szCs w:val="21"/>
        </w:rPr>
        <w:t xml:space="preserve">Todas las soluciones operativas de la OMPI se facilitan gratuitamente, si bien los demás costos del proyecto (por ejemplo, los costos de los equipos informáticos de T.I. y los costos de personal) corren a cargo de la Oficina de P.I.  De las Oficinas de P.I. que utilizan las plataformas de </w:t>
      </w:r>
      <w:r w:rsidRPr="000957E1">
        <w:rPr>
          <w:rFonts w:eastAsia="Calibri"/>
          <w:i/>
          <w:sz w:val="20"/>
          <w:szCs w:val="21"/>
        </w:rPr>
        <w:t>software</w:t>
      </w:r>
      <w:r w:rsidRPr="000957E1">
        <w:rPr>
          <w:rFonts w:eastAsia="Calibri"/>
          <w:sz w:val="20"/>
          <w:szCs w:val="21"/>
        </w:rPr>
        <w:t xml:space="preserve"> de la OMPI, 17 están en PMA.  Entre los sistemas facilitados figuran el Sistema de Automatización de la Propiedad Intelectual (IPAS), </w:t>
      </w:r>
      <w:r w:rsidRPr="00D842AD">
        <w:rPr>
          <w:rFonts w:eastAsia="Calibri"/>
          <w:i/>
          <w:sz w:val="20"/>
          <w:szCs w:val="21"/>
        </w:rPr>
        <w:t xml:space="preserve">WIPO </w:t>
      </w:r>
      <w:proofErr w:type="spellStart"/>
      <w:r w:rsidRPr="00D842AD">
        <w:rPr>
          <w:rFonts w:eastAsia="Calibri"/>
          <w:i/>
          <w:sz w:val="20"/>
          <w:szCs w:val="21"/>
        </w:rPr>
        <w:t>Scan</w:t>
      </w:r>
      <w:proofErr w:type="spellEnd"/>
      <w:r w:rsidRPr="000957E1">
        <w:rPr>
          <w:rFonts w:eastAsia="Calibri"/>
          <w:sz w:val="20"/>
          <w:szCs w:val="21"/>
        </w:rPr>
        <w:t xml:space="preserve"> y </w:t>
      </w:r>
      <w:r w:rsidRPr="00D842AD">
        <w:rPr>
          <w:rFonts w:eastAsia="Calibri"/>
          <w:i/>
          <w:sz w:val="20"/>
          <w:szCs w:val="21"/>
        </w:rPr>
        <w:t>WIPO EDMS</w:t>
      </w:r>
      <w:r w:rsidRPr="000957E1">
        <w:rPr>
          <w:rFonts w:eastAsia="Calibri"/>
          <w:sz w:val="20"/>
          <w:szCs w:val="21"/>
        </w:rPr>
        <w:t xml:space="preserve"> (Sistema de Gestión Electrónica de Documentos).  En el marco de este programa, también se crean y ofrecen plataformas internacionales de tramitación de solicitudes de derechos de P.I., como </w:t>
      </w:r>
      <w:r w:rsidRPr="00D842AD">
        <w:rPr>
          <w:rFonts w:eastAsia="Calibri"/>
          <w:i/>
          <w:sz w:val="20"/>
          <w:szCs w:val="21"/>
        </w:rPr>
        <w:t>WIPO DAS</w:t>
      </w:r>
      <w:r w:rsidRPr="000957E1">
        <w:rPr>
          <w:rFonts w:eastAsia="Calibri"/>
          <w:sz w:val="20"/>
          <w:szCs w:val="21"/>
        </w:rPr>
        <w:t xml:space="preserve"> (servicio de acceso digital para la transmisión de documentos de prioridad) y </w:t>
      </w:r>
      <w:r w:rsidRPr="00D842AD">
        <w:rPr>
          <w:rFonts w:eastAsia="Calibri"/>
          <w:i/>
          <w:sz w:val="20"/>
          <w:szCs w:val="21"/>
        </w:rPr>
        <w:t>WIPO CASE</w:t>
      </w:r>
      <w:r w:rsidRPr="000957E1">
        <w:rPr>
          <w:rFonts w:eastAsia="Calibri"/>
          <w:sz w:val="20"/>
          <w:szCs w:val="21"/>
        </w:rPr>
        <w:t xml:space="preserve"> (acceso centralizado a documentos de búsqueda y examen), para facilitar la cooperación internacional de las Oficinas de P.I. y prestar servicios baratos y eficientes a los usuarios del sistema de P.I. de todo el mundo. </w:t>
      </w:r>
    </w:p>
    <w:p w:rsidR="00236E18" w:rsidRPr="000957E1" w:rsidRDefault="00236E18" w:rsidP="00236E18">
      <w:pPr>
        <w:pStyle w:val="p1"/>
        <w:shd w:val="clear" w:color="auto" w:fill="FFFFFF"/>
        <w:jc w:val="both"/>
        <w:rPr>
          <w:rFonts w:ascii="Arial" w:hAnsi="Arial" w:cs="Arial"/>
          <w:sz w:val="20"/>
          <w:szCs w:val="21"/>
          <w:lang w:val="es-ES"/>
        </w:rPr>
      </w:pPr>
    </w:p>
    <w:p w:rsidR="00236E18" w:rsidRPr="000957E1" w:rsidRDefault="00236E18" w:rsidP="00236E18">
      <w:pPr>
        <w:pStyle w:val="p1"/>
        <w:shd w:val="clear" w:color="auto" w:fill="FFFFFF"/>
        <w:jc w:val="both"/>
        <w:rPr>
          <w:rFonts w:ascii="Arial" w:hAnsi="Arial" w:cs="Arial"/>
          <w:sz w:val="20"/>
          <w:szCs w:val="21"/>
          <w:lang w:val="es-ES"/>
        </w:rPr>
      </w:pPr>
    </w:p>
    <w:p w:rsidR="00236E18" w:rsidRPr="000957E1" w:rsidRDefault="00236E18" w:rsidP="00236E18">
      <w:pPr>
        <w:jc w:val="both"/>
        <w:rPr>
          <w:bCs/>
          <w:sz w:val="21"/>
          <w:szCs w:val="21"/>
        </w:rPr>
      </w:pPr>
      <w:r w:rsidRPr="000957E1">
        <w:rPr>
          <w:bCs/>
          <w:sz w:val="21"/>
          <w:szCs w:val="21"/>
        </w:rPr>
        <w:t>ESTRATEGIAS DE EJECUCIÓN</w:t>
      </w:r>
    </w:p>
    <w:p w:rsidR="00236E18" w:rsidRPr="000957E1" w:rsidRDefault="00236E18" w:rsidP="00236E18">
      <w:pPr>
        <w:pStyle w:val="p2"/>
        <w:shd w:val="clear" w:color="auto" w:fill="FFFFFF"/>
        <w:jc w:val="both"/>
        <w:rPr>
          <w:rFonts w:ascii="Arial" w:hAnsi="Arial" w:cs="Arial"/>
          <w:sz w:val="20"/>
          <w:szCs w:val="21"/>
          <w:lang w:val="es-ES"/>
        </w:rPr>
      </w:pPr>
    </w:p>
    <w:p w:rsidR="00236E18" w:rsidRPr="000957E1" w:rsidRDefault="00236E18" w:rsidP="00236E18">
      <w:pPr>
        <w:numPr>
          <w:ilvl w:val="0"/>
          <w:numId w:val="29"/>
        </w:numPr>
        <w:shd w:val="clear" w:color="auto" w:fill="FFFFFF"/>
        <w:tabs>
          <w:tab w:val="left" w:pos="709"/>
        </w:tabs>
        <w:suppressAutoHyphens/>
        <w:ind w:left="0" w:firstLine="0"/>
        <w:jc w:val="both"/>
        <w:rPr>
          <w:rFonts w:eastAsia="Calibri"/>
          <w:sz w:val="20"/>
          <w:szCs w:val="21"/>
        </w:rPr>
      </w:pPr>
      <w:r w:rsidRPr="000957E1">
        <w:rPr>
          <w:rFonts w:eastAsia="Calibri"/>
          <w:sz w:val="20"/>
          <w:szCs w:val="21"/>
        </w:rPr>
        <w:t xml:space="preserve">A la luz de las actuales tendencias y demandas de las Oficinas de P.I., se prevé que el número de Oficinas de P.I. que han recibido soluciones de la OMPI aumente y pase a ser de unas 80.  Sin dejar de dar respuesta a las nuevas demandas, las estrategias de ejecución se orientarán progresivamente hacia la mejora, la consolidación y la integración de las plataformas de </w:t>
      </w:r>
      <w:r w:rsidRPr="000957E1">
        <w:rPr>
          <w:rFonts w:eastAsia="Calibri"/>
          <w:i/>
          <w:sz w:val="20"/>
          <w:szCs w:val="21"/>
        </w:rPr>
        <w:t>software</w:t>
      </w:r>
      <w:r w:rsidRPr="000957E1">
        <w:rPr>
          <w:rFonts w:eastAsia="Calibri"/>
          <w:sz w:val="20"/>
          <w:szCs w:val="21"/>
        </w:rPr>
        <w:t xml:space="preserve"> de la OMPI y de sus servicios, así como a la sostenibilidad de los sistemas de administración y a que las Oficinas de P.I. los asuman como propios.</w:t>
      </w:r>
    </w:p>
    <w:p w:rsidR="00236E18" w:rsidRPr="000957E1" w:rsidRDefault="00236E18" w:rsidP="00236E18">
      <w:pPr>
        <w:shd w:val="clear" w:color="auto" w:fill="FFFFFF"/>
        <w:jc w:val="both"/>
        <w:rPr>
          <w:rFonts w:eastAsia="Calibri"/>
          <w:sz w:val="20"/>
          <w:szCs w:val="21"/>
        </w:rPr>
      </w:pPr>
    </w:p>
    <w:p w:rsidR="00236E18" w:rsidRPr="000957E1" w:rsidRDefault="00236E18" w:rsidP="00236E18">
      <w:pPr>
        <w:numPr>
          <w:ilvl w:val="0"/>
          <w:numId w:val="29"/>
        </w:numPr>
        <w:shd w:val="clear" w:color="auto" w:fill="FFFFFF"/>
        <w:tabs>
          <w:tab w:val="left" w:pos="709"/>
          <w:tab w:val="left" w:pos="1985"/>
        </w:tabs>
        <w:suppressAutoHyphens/>
        <w:ind w:left="0" w:firstLine="0"/>
        <w:jc w:val="both"/>
        <w:rPr>
          <w:sz w:val="20"/>
          <w:szCs w:val="21"/>
        </w:rPr>
      </w:pPr>
      <w:r w:rsidRPr="000957E1">
        <w:rPr>
          <w:sz w:val="20"/>
          <w:szCs w:val="21"/>
        </w:rPr>
        <w:t xml:space="preserve">La utilización de las soluciones operativas de la OMPI seguirá siendo una opción muy barata para las Oficinas de P.I., lo que supondrá un ahorro y un índice de riesgo menor que otras alternativas disponibles.  Se seguirán mejorando las soluciones operativas de la OMPI y se seguirán consolidando </w:t>
      </w:r>
      <w:r w:rsidRPr="000957E1">
        <w:rPr>
          <w:sz w:val="20"/>
          <w:szCs w:val="21"/>
        </w:rPr>
        <w:lastRenderedPageBreak/>
        <w:t>los servicios</w:t>
      </w:r>
      <w:r>
        <w:rPr>
          <w:sz w:val="20"/>
          <w:szCs w:val="21"/>
        </w:rPr>
        <w:t xml:space="preserve"> que presta</w:t>
      </w:r>
      <w:r w:rsidRPr="000957E1">
        <w:rPr>
          <w:sz w:val="20"/>
          <w:szCs w:val="21"/>
        </w:rPr>
        <w:t>.  El reto con respecto al bienio será continuar prestando servicios de alta calidad y baratos al tiempo que aumenta la demanda.</w:t>
      </w:r>
    </w:p>
    <w:p w:rsidR="00236E18" w:rsidRPr="000957E1" w:rsidRDefault="00236E18" w:rsidP="00236E18">
      <w:pPr>
        <w:pStyle w:val="p1"/>
        <w:widowControl w:val="0"/>
        <w:shd w:val="clear" w:color="auto" w:fill="FFFFFF"/>
        <w:suppressAutoHyphens w:val="0"/>
        <w:jc w:val="both"/>
        <w:rPr>
          <w:rFonts w:ascii="Arial" w:hAnsi="Arial" w:cs="Arial"/>
          <w:sz w:val="20"/>
          <w:szCs w:val="21"/>
          <w:lang w:val="es-ES"/>
        </w:rPr>
      </w:pPr>
    </w:p>
    <w:p w:rsidR="00236E18" w:rsidRPr="000957E1" w:rsidRDefault="00236E18" w:rsidP="00236E18">
      <w:pPr>
        <w:widowControl w:val="0"/>
        <w:numPr>
          <w:ilvl w:val="0"/>
          <w:numId w:val="29"/>
        </w:numPr>
        <w:shd w:val="clear" w:color="auto" w:fill="FFFFFF"/>
        <w:tabs>
          <w:tab w:val="left" w:pos="709"/>
        </w:tabs>
        <w:ind w:left="0" w:firstLine="0"/>
        <w:jc w:val="both"/>
        <w:rPr>
          <w:sz w:val="20"/>
          <w:szCs w:val="21"/>
        </w:rPr>
      </w:pPr>
      <w:r w:rsidRPr="000957E1">
        <w:rPr>
          <w:sz w:val="20"/>
          <w:szCs w:val="21"/>
        </w:rPr>
        <w:t>A continuación se enuncian las prioridades específicas del bienio:</w:t>
      </w:r>
    </w:p>
    <w:p w:rsidR="00236E18" w:rsidRPr="000957E1" w:rsidRDefault="00236E18" w:rsidP="00236E18">
      <w:pPr>
        <w:pStyle w:val="p1"/>
        <w:widowControl w:val="0"/>
        <w:shd w:val="clear" w:color="auto" w:fill="FFFFFF"/>
        <w:suppressAutoHyphens w:val="0"/>
        <w:ind w:left="360"/>
        <w:jc w:val="both"/>
        <w:rPr>
          <w:rFonts w:ascii="Arial" w:hAnsi="Arial" w:cs="Arial"/>
          <w:sz w:val="18"/>
          <w:szCs w:val="21"/>
          <w:lang w:val="es-ES"/>
        </w:rPr>
      </w:pPr>
    </w:p>
    <w:p w:rsidR="00236E18" w:rsidRPr="000957E1" w:rsidRDefault="00236E18" w:rsidP="00236E18">
      <w:pPr>
        <w:pStyle w:val="p1"/>
        <w:widowControl w:val="0"/>
        <w:numPr>
          <w:ilvl w:val="0"/>
          <w:numId w:val="30"/>
        </w:numPr>
        <w:shd w:val="clear" w:color="auto" w:fill="FFFFFF"/>
        <w:suppressAutoHyphens w:val="0"/>
        <w:ind w:left="993" w:hanging="426"/>
        <w:jc w:val="both"/>
        <w:rPr>
          <w:rFonts w:ascii="Arial" w:hAnsi="Arial" w:cs="Arial"/>
          <w:sz w:val="20"/>
          <w:szCs w:val="21"/>
          <w:lang w:val="es-ES"/>
        </w:rPr>
      </w:pPr>
      <w:r w:rsidRPr="000957E1">
        <w:rPr>
          <w:rFonts w:ascii="Arial" w:hAnsi="Arial" w:cs="Arial"/>
          <w:sz w:val="20"/>
          <w:szCs w:val="21"/>
          <w:lang w:val="es-ES"/>
        </w:rPr>
        <w:t xml:space="preserve">Se seguirá impulsando la sostenibilidad de los niveles de los servicios prestados y la continuidad de las operaciones mediante la ejecución de un plan de urgencia y de continuidad de las operaciones y la atribución de prioridad a la transferencia de conocimientos, las actividades de formación y los servicios de soporte reactivo; </w:t>
      </w:r>
    </w:p>
    <w:p w:rsidR="00236E18" w:rsidRPr="000957E1" w:rsidRDefault="00236E18" w:rsidP="00236E18">
      <w:pPr>
        <w:pStyle w:val="p1"/>
        <w:widowControl w:val="0"/>
        <w:shd w:val="clear" w:color="auto" w:fill="FFFFFF"/>
        <w:suppressAutoHyphens w:val="0"/>
        <w:ind w:left="993" w:hanging="426"/>
        <w:jc w:val="both"/>
        <w:rPr>
          <w:rFonts w:ascii="Arial" w:hAnsi="Arial" w:cs="Arial"/>
          <w:sz w:val="20"/>
          <w:szCs w:val="21"/>
          <w:lang w:val="es-ES"/>
        </w:rPr>
      </w:pPr>
    </w:p>
    <w:p w:rsidR="00236E18" w:rsidRPr="000957E1" w:rsidRDefault="00236E18" w:rsidP="00236E18">
      <w:pPr>
        <w:pStyle w:val="p1"/>
        <w:widowControl w:val="0"/>
        <w:numPr>
          <w:ilvl w:val="0"/>
          <w:numId w:val="30"/>
        </w:numPr>
        <w:shd w:val="clear" w:color="auto" w:fill="FFFFFF"/>
        <w:suppressAutoHyphens w:val="0"/>
        <w:ind w:left="993" w:hanging="426"/>
        <w:jc w:val="both"/>
        <w:rPr>
          <w:rFonts w:ascii="Arial" w:hAnsi="Arial" w:cs="Arial"/>
          <w:sz w:val="20"/>
          <w:szCs w:val="21"/>
          <w:lang w:val="es-ES"/>
        </w:rPr>
      </w:pPr>
      <w:r w:rsidRPr="000957E1">
        <w:rPr>
          <w:rFonts w:ascii="Arial" w:hAnsi="Arial" w:cs="Arial"/>
          <w:sz w:val="20"/>
          <w:szCs w:val="21"/>
          <w:lang w:val="es-ES"/>
        </w:rPr>
        <w:t xml:space="preserve">Se llevarán a término los nuevos módulos de </w:t>
      </w:r>
      <w:r w:rsidRPr="000957E1">
        <w:rPr>
          <w:rFonts w:ascii="Arial" w:hAnsi="Arial" w:cs="Arial"/>
          <w:i/>
          <w:sz w:val="20"/>
          <w:szCs w:val="21"/>
          <w:lang w:val="es-ES"/>
        </w:rPr>
        <w:t>software</w:t>
      </w:r>
      <w:r w:rsidRPr="000957E1">
        <w:rPr>
          <w:rFonts w:ascii="Arial" w:hAnsi="Arial" w:cs="Arial"/>
          <w:sz w:val="20"/>
          <w:szCs w:val="21"/>
          <w:lang w:val="es-ES"/>
        </w:rPr>
        <w:t xml:space="preserve"> para la presentación electrónica de solicitudes (</w:t>
      </w:r>
      <w:r w:rsidRPr="00A47448">
        <w:rPr>
          <w:rFonts w:ascii="Arial" w:hAnsi="Arial" w:cs="Arial"/>
          <w:i/>
          <w:sz w:val="20"/>
          <w:szCs w:val="21"/>
          <w:lang w:val="es-ES"/>
        </w:rPr>
        <w:t>WIPO File</w:t>
      </w:r>
      <w:r w:rsidRPr="000957E1">
        <w:rPr>
          <w:rFonts w:ascii="Arial" w:hAnsi="Arial" w:cs="Arial"/>
          <w:sz w:val="20"/>
          <w:szCs w:val="21"/>
          <w:lang w:val="es-ES"/>
        </w:rPr>
        <w:t>) y para la publicación e intercambio de datos por medios electrónicos (</w:t>
      </w:r>
      <w:r w:rsidRPr="00A47448">
        <w:rPr>
          <w:rFonts w:ascii="Arial" w:hAnsi="Arial" w:cs="Arial"/>
          <w:i/>
          <w:sz w:val="20"/>
          <w:szCs w:val="21"/>
          <w:lang w:val="es-ES"/>
        </w:rPr>
        <w:t>WIPO </w:t>
      </w:r>
      <w:proofErr w:type="spellStart"/>
      <w:r w:rsidRPr="00A47448">
        <w:rPr>
          <w:rFonts w:ascii="Arial" w:hAnsi="Arial" w:cs="Arial"/>
          <w:i/>
          <w:sz w:val="20"/>
          <w:szCs w:val="21"/>
          <w:lang w:val="es-ES"/>
        </w:rPr>
        <w:t>Publish</w:t>
      </w:r>
      <w:proofErr w:type="spellEnd"/>
      <w:r w:rsidRPr="000957E1">
        <w:rPr>
          <w:rFonts w:ascii="Arial" w:hAnsi="Arial" w:cs="Arial"/>
          <w:sz w:val="20"/>
          <w:szCs w:val="21"/>
          <w:lang w:val="es-ES"/>
        </w:rPr>
        <w:t>), y se pondrán a disposición de las Oficinas de P.I. que estén preparadas para ponerlos en funcionamiento;</w:t>
      </w:r>
    </w:p>
    <w:p w:rsidR="00236E18" w:rsidRPr="000957E1" w:rsidRDefault="00236E18" w:rsidP="00236E18">
      <w:pPr>
        <w:pStyle w:val="p1"/>
        <w:widowControl w:val="0"/>
        <w:shd w:val="clear" w:color="auto" w:fill="FFFFFF"/>
        <w:suppressAutoHyphens w:val="0"/>
        <w:ind w:left="993" w:hanging="426"/>
        <w:jc w:val="both"/>
        <w:rPr>
          <w:rFonts w:ascii="Arial" w:hAnsi="Arial" w:cs="Arial"/>
          <w:sz w:val="20"/>
          <w:szCs w:val="21"/>
          <w:lang w:val="es-ES"/>
        </w:rPr>
      </w:pPr>
    </w:p>
    <w:p w:rsidR="00236E18" w:rsidRPr="000957E1" w:rsidRDefault="00236E18" w:rsidP="00236E18">
      <w:pPr>
        <w:pStyle w:val="p1"/>
        <w:widowControl w:val="0"/>
        <w:numPr>
          <w:ilvl w:val="0"/>
          <w:numId w:val="30"/>
        </w:numPr>
        <w:shd w:val="clear" w:color="auto" w:fill="FFFFFF"/>
        <w:suppressAutoHyphens w:val="0"/>
        <w:ind w:left="993" w:hanging="426"/>
        <w:jc w:val="both"/>
        <w:rPr>
          <w:rFonts w:ascii="Arial" w:hAnsi="Arial" w:cs="Arial"/>
          <w:sz w:val="20"/>
          <w:szCs w:val="21"/>
          <w:lang w:val="es-ES"/>
        </w:rPr>
      </w:pPr>
      <w:r w:rsidRPr="000957E1">
        <w:rPr>
          <w:rFonts w:ascii="Arial" w:hAnsi="Arial" w:cs="Arial"/>
          <w:sz w:val="20"/>
          <w:szCs w:val="21"/>
          <w:lang w:val="es-ES"/>
        </w:rPr>
        <w:t>Se mejorará el sistema IPAS para albergar nuevas funciones, entre otras, las destinadas a facilitar la tramitación de las solicitudes de los Sistemas de Madrid y del PCT y la tramitación relativa a los diseños industriales, y otras funciones que soliciten los usuarios;</w:t>
      </w:r>
    </w:p>
    <w:p w:rsidR="00236E18" w:rsidRPr="000957E1" w:rsidRDefault="00236E18" w:rsidP="00236E18">
      <w:pPr>
        <w:pStyle w:val="p1"/>
        <w:widowControl w:val="0"/>
        <w:shd w:val="clear" w:color="auto" w:fill="FFFFFF"/>
        <w:suppressAutoHyphens w:val="0"/>
        <w:ind w:left="993" w:hanging="426"/>
        <w:jc w:val="both"/>
        <w:rPr>
          <w:rFonts w:ascii="Arial" w:hAnsi="Arial" w:cs="Arial"/>
          <w:sz w:val="20"/>
          <w:szCs w:val="21"/>
          <w:lang w:val="es-ES"/>
        </w:rPr>
      </w:pPr>
    </w:p>
    <w:p w:rsidR="00236E18" w:rsidRPr="000957E1" w:rsidRDefault="00236E18" w:rsidP="00236E18">
      <w:pPr>
        <w:pStyle w:val="p1"/>
        <w:widowControl w:val="0"/>
        <w:numPr>
          <w:ilvl w:val="0"/>
          <w:numId w:val="30"/>
        </w:numPr>
        <w:shd w:val="clear" w:color="auto" w:fill="FFFFFF"/>
        <w:suppressAutoHyphens w:val="0"/>
        <w:ind w:left="993" w:hanging="426"/>
        <w:jc w:val="both"/>
        <w:rPr>
          <w:rFonts w:ascii="Arial" w:hAnsi="Arial" w:cs="Arial"/>
          <w:sz w:val="20"/>
          <w:szCs w:val="21"/>
          <w:lang w:val="es-ES"/>
        </w:rPr>
      </w:pPr>
      <w:r w:rsidRPr="000957E1">
        <w:rPr>
          <w:rFonts w:ascii="Arial" w:hAnsi="Arial" w:cs="Arial"/>
          <w:sz w:val="20"/>
          <w:szCs w:val="21"/>
          <w:lang w:val="es-ES"/>
        </w:rPr>
        <w:t>Se desmantelará el sistema AIPMS y se sustituirá por el sistema IPAS, que ahora está totalmente adaptado al árabe;</w:t>
      </w:r>
    </w:p>
    <w:p w:rsidR="00236E18" w:rsidRPr="000957E1" w:rsidRDefault="00236E18" w:rsidP="00236E18">
      <w:pPr>
        <w:pStyle w:val="p1"/>
        <w:widowControl w:val="0"/>
        <w:shd w:val="clear" w:color="auto" w:fill="FFFFFF"/>
        <w:suppressAutoHyphens w:val="0"/>
        <w:ind w:left="993" w:hanging="426"/>
        <w:jc w:val="both"/>
        <w:rPr>
          <w:rFonts w:ascii="Arial" w:hAnsi="Arial" w:cs="Arial"/>
          <w:sz w:val="20"/>
          <w:szCs w:val="21"/>
          <w:lang w:val="es-ES"/>
        </w:rPr>
      </w:pPr>
    </w:p>
    <w:p w:rsidR="00236E18" w:rsidRPr="000957E1" w:rsidRDefault="00236E18" w:rsidP="00236E18">
      <w:pPr>
        <w:pStyle w:val="p1"/>
        <w:widowControl w:val="0"/>
        <w:numPr>
          <w:ilvl w:val="0"/>
          <w:numId w:val="30"/>
        </w:numPr>
        <w:shd w:val="clear" w:color="auto" w:fill="FFFFFF"/>
        <w:suppressAutoHyphens w:val="0"/>
        <w:ind w:left="993" w:hanging="426"/>
        <w:jc w:val="both"/>
        <w:rPr>
          <w:rFonts w:ascii="Arial" w:hAnsi="Arial" w:cs="Arial"/>
          <w:sz w:val="20"/>
          <w:szCs w:val="21"/>
          <w:lang w:val="es-ES"/>
        </w:rPr>
      </w:pPr>
      <w:r w:rsidRPr="000957E1">
        <w:rPr>
          <w:rFonts w:ascii="Arial" w:hAnsi="Arial" w:cs="Arial"/>
          <w:sz w:val="20"/>
          <w:szCs w:val="21"/>
          <w:lang w:val="es-ES"/>
        </w:rPr>
        <w:t>Se seguirán perfeccionando los sistemas de apoyo (servicio de ayuda en Internet);</w:t>
      </w:r>
    </w:p>
    <w:p w:rsidR="00236E18" w:rsidRPr="000957E1" w:rsidRDefault="00236E18" w:rsidP="00236E18">
      <w:pPr>
        <w:pStyle w:val="ListParagraph"/>
        <w:ind w:left="993" w:hanging="426"/>
        <w:jc w:val="both"/>
        <w:rPr>
          <w:rFonts w:ascii="Arial" w:hAnsi="Arial" w:cs="Arial"/>
          <w:sz w:val="20"/>
          <w:szCs w:val="21"/>
          <w:lang w:val="es-ES"/>
        </w:rPr>
      </w:pPr>
    </w:p>
    <w:p w:rsidR="00236E18" w:rsidRPr="000957E1" w:rsidRDefault="00236E18" w:rsidP="00236E18">
      <w:pPr>
        <w:pStyle w:val="p1"/>
        <w:numPr>
          <w:ilvl w:val="0"/>
          <w:numId w:val="30"/>
        </w:numPr>
        <w:shd w:val="clear" w:color="auto" w:fill="FFFFFF"/>
        <w:ind w:left="993" w:hanging="426"/>
        <w:jc w:val="both"/>
        <w:rPr>
          <w:rFonts w:ascii="Arial" w:hAnsi="Arial" w:cs="Arial"/>
          <w:sz w:val="20"/>
          <w:szCs w:val="21"/>
          <w:lang w:val="es-ES"/>
        </w:rPr>
      </w:pPr>
      <w:r w:rsidRPr="000957E1">
        <w:rPr>
          <w:rFonts w:ascii="Arial" w:hAnsi="Arial" w:cs="Arial"/>
          <w:sz w:val="20"/>
          <w:szCs w:val="21"/>
          <w:lang w:val="es-ES"/>
        </w:rPr>
        <w:t>Se pondrá a disposición de un primer grupo de organismos de gestión colectiva ubicados en países en desarrollo o PMA una primera versión del Sistema WCC;</w:t>
      </w:r>
    </w:p>
    <w:p w:rsidR="00236E18" w:rsidRPr="000957E1" w:rsidRDefault="00236E18" w:rsidP="00236E18">
      <w:pPr>
        <w:pStyle w:val="p1"/>
        <w:shd w:val="clear" w:color="auto" w:fill="FFFFFF"/>
        <w:ind w:left="993" w:hanging="426"/>
        <w:jc w:val="both"/>
        <w:rPr>
          <w:rFonts w:ascii="Arial" w:hAnsi="Arial" w:cs="Arial"/>
          <w:sz w:val="20"/>
          <w:szCs w:val="21"/>
          <w:lang w:val="es-ES"/>
        </w:rPr>
      </w:pPr>
    </w:p>
    <w:p w:rsidR="00236E18" w:rsidRPr="000957E1" w:rsidRDefault="00236E18" w:rsidP="00236E18">
      <w:pPr>
        <w:pStyle w:val="p1"/>
        <w:numPr>
          <w:ilvl w:val="0"/>
          <w:numId w:val="30"/>
        </w:numPr>
        <w:shd w:val="clear" w:color="auto" w:fill="FFFFFF"/>
        <w:ind w:left="993" w:hanging="426"/>
        <w:jc w:val="both"/>
        <w:rPr>
          <w:rFonts w:ascii="Arial" w:hAnsi="Arial" w:cs="Arial"/>
          <w:bCs/>
          <w:sz w:val="20"/>
          <w:szCs w:val="21"/>
          <w:lang w:val="es-ES"/>
        </w:rPr>
      </w:pPr>
      <w:r w:rsidRPr="000957E1">
        <w:rPr>
          <w:rFonts w:ascii="Arial" w:hAnsi="Arial" w:cs="Arial"/>
          <w:sz w:val="20"/>
          <w:szCs w:val="21"/>
          <w:lang w:val="es-ES"/>
        </w:rPr>
        <w:t xml:space="preserve">Se facilitará el sistema </w:t>
      </w:r>
      <w:r w:rsidRPr="00D842AD">
        <w:rPr>
          <w:rFonts w:ascii="Arial" w:hAnsi="Arial" w:cs="Arial"/>
          <w:i/>
          <w:sz w:val="20"/>
          <w:szCs w:val="21"/>
          <w:lang w:val="es-ES"/>
        </w:rPr>
        <w:t>WIPO CASE</w:t>
      </w:r>
      <w:r w:rsidRPr="000957E1">
        <w:rPr>
          <w:rFonts w:ascii="Arial" w:hAnsi="Arial" w:cs="Arial"/>
          <w:sz w:val="20"/>
          <w:szCs w:val="21"/>
          <w:lang w:val="es-ES"/>
        </w:rPr>
        <w:t xml:space="preserve"> (acceso centralizado a los informes de búsqueda y examen) a nuevas oficinas participantes y se creará una versión pública para dar acceso, desde cualquier parte del mundo, a los expedientes de las oficinas participantes; </w:t>
      </w:r>
    </w:p>
    <w:p w:rsidR="00236E18" w:rsidRPr="000957E1" w:rsidRDefault="00236E18" w:rsidP="00236E18">
      <w:pPr>
        <w:pStyle w:val="p1"/>
        <w:shd w:val="clear" w:color="auto" w:fill="FFFFFF"/>
        <w:ind w:left="993" w:hanging="426"/>
        <w:jc w:val="both"/>
        <w:rPr>
          <w:rFonts w:ascii="Arial" w:hAnsi="Arial" w:cs="Arial"/>
          <w:bCs/>
          <w:sz w:val="20"/>
          <w:szCs w:val="21"/>
          <w:lang w:val="es-ES"/>
        </w:rPr>
      </w:pPr>
    </w:p>
    <w:p w:rsidR="00236E18" w:rsidRPr="000957E1" w:rsidRDefault="00236E18" w:rsidP="00236E18">
      <w:pPr>
        <w:pStyle w:val="p1"/>
        <w:numPr>
          <w:ilvl w:val="0"/>
          <w:numId w:val="30"/>
        </w:numPr>
        <w:shd w:val="clear" w:color="auto" w:fill="FFFFFF"/>
        <w:ind w:left="993" w:hanging="426"/>
        <w:jc w:val="both"/>
        <w:rPr>
          <w:rFonts w:ascii="Arial" w:hAnsi="Arial" w:cs="Arial"/>
          <w:bCs/>
          <w:sz w:val="20"/>
          <w:szCs w:val="21"/>
          <w:lang w:val="es-ES"/>
        </w:rPr>
      </w:pPr>
      <w:r w:rsidRPr="000957E1">
        <w:rPr>
          <w:rFonts w:ascii="Arial" w:hAnsi="Arial" w:cs="Arial"/>
          <w:bCs/>
          <w:sz w:val="20"/>
          <w:szCs w:val="21"/>
          <w:lang w:val="es-ES"/>
        </w:rPr>
        <w:t>Se prestará asistencia técnica a las Oficinas de P.I. de PMA en la digitalización y la captación de datos de archivos de P.I. pendientes.</w:t>
      </w:r>
    </w:p>
    <w:p w:rsidR="00236E18" w:rsidRPr="000957E1" w:rsidRDefault="00236E18" w:rsidP="00236E18">
      <w:pPr>
        <w:pStyle w:val="ListParagraph"/>
        <w:ind w:left="0"/>
        <w:jc w:val="both"/>
        <w:rPr>
          <w:rFonts w:ascii="Arial" w:hAnsi="Arial" w:cs="Arial"/>
          <w:bCs/>
          <w:sz w:val="20"/>
          <w:szCs w:val="21"/>
          <w:lang w:val="es-ES"/>
        </w:rPr>
      </w:pPr>
    </w:p>
    <w:p w:rsidR="00236E18" w:rsidRDefault="00236E18" w:rsidP="00236E18">
      <w:pPr>
        <w:numPr>
          <w:ilvl w:val="0"/>
          <w:numId w:val="29"/>
        </w:numPr>
        <w:shd w:val="clear" w:color="auto" w:fill="FFFFFF"/>
        <w:tabs>
          <w:tab w:val="left" w:pos="709"/>
        </w:tabs>
        <w:suppressAutoHyphens/>
        <w:ind w:left="0" w:firstLine="0"/>
        <w:jc w:val="both"/>
        <w:rPr>
          <w:sz w:val="20"/>
          <w:szCs w:val="21"/>
        </w:rPr>
      </w:pPr>
      <w:r w:rsidRPr="000957E1">
        <w:rPr>
          <w:sz w:val="20"/>
          <w:szCs w:val="21"/>
        </w:rPr>
        <w:t xml:space="preserve">La elaboración, planificación y ejecución de las actividades en el marco del programa 15 se fundamentan y orientan por las recomendaciones pertinentes de la A.D., en particular </w:t>
      </w:r>
      <w:r>
        <w:rPr>
          <w:sz w:val="20"/>
          <w:szCs w:val="21"/>
        </w:rPr>
        <w:t>las recomendaciones 1, 2 y 10.</w:t>
      </w:r>
    </w:p>
    <w:p w:rsidR="00236E18" w:rsidRDefault="00236E18" w:rsidP="00236E18">
      <w:pPr>
        <w:shd w:val="clear" w:color="auto" w:fill="FFFFFF"/>
        <w:tabs>
          <w:tab w:val="left" w:pos="709"/>
        </w:tabs>
        <w:suppressAutoHyphens/>
        <w:jc w:val="both"/>
        <w:rPr>
          <w:sz w:val="20"/>
          <w:szCs w:val="21"/>
        </w:rPr>
      </w:pPr>
    </w:p>
    <w:p w:rsidR="00236E18" w:rsidRPr="00037E5E" w:rsidRDefault="00236E18" w:rsidP="00236E18">
      <w:pPr>
        <w:numPr>
          <w:ilvl w:val="0"/>
          <w:numId w:val="29"/>
        </w:numPr>
        <w:shd w:val="clear" w:color="auto" w:fill="FFFFFF"/>
        <w:tabs>
          <w:tab w:val="left" w:pos="709"/>
        </w:tabs>
        <w:suppressAutoHyphens/>
        <w:ind w:left="0" w:firstLine="0"/>
        <w:jc w:val="both"/>
        <w:rPr>
          <w:sz w:val="20"/>
          <w:szCs w:val="21"/>
        </w:rPr>
      </w:pPr>
      <w:r>
        <w:rPr>
          <w:color w:val="000000"/>
          <w:sz w:val="20"/>
          <w:szCs w:val="21"/>
        </w:rPr>
        <w:t>El p</w:t>
      </w:r>
      <w:r w:rsidRPr="00037E5E">
        <w:rPr>
          <w:color w:val="000000"/>
          <w:sz w:val="20"/>
          <w:szCs w:val="21"/>
        </w:rPr>
        <w:t>rogram</w:t>
      </w:r>
      <w:r>
        <w:rPr>
          <w:color w:val="000000"/>
          <w:sz w:val="20"/>
          <w:szCs w:val="21"/>
        </w:rPr>
        <w:t>a</w:t>
      </w:r>
      <w:r w:rsidRPr="00037E5E">
        <w:rPr>
          <w:color w:val="000000"/>
          <w:sz w:val="20"/>
          <w:szCs w:val="21"/>
        </w:rPr>
        <w:t xml:space="preserve"> 15 colabora</w:t>
      </w:r>
      <w:r>
        <w:rPr>
          <w:color w:val="000000"/>
          <w:sz w:val="20"/>
          <w:szCs w:val="21"/>
        </w:rPr>
        <w:t xml:space="preserve"> principalmente con los programas siguientes</w:t>
      </w:r>
      <w:r w:rsidRPr="00037E5E">
        <w:rPr>
          <w:color w:val="000000"/>
          <w:sz w:val="20"/>
          <w:szCs w:val="21"/>
        </w:rPr>
        <w:t>:</w:t>
      </w:r>
    </w:p>
    <w:p w:rsidR="00236E18" w:rsidRPr="006A3CA4" w:rsidRDefault="00236E18" w:rsidP="00236E18">
      <w:pPr>
        <w:rPr>
          <w:sz w:val="18"/>
          <w:lang w:val="es-ES_tradnl"/>
        </w:rPr>
      </w:pPr>
    </w:p>
    <w:p w:rsidR="00236E18" w:rsidRPr="006A3CA4" w:rsidRDefault="00236E18" w:rsidP="00236E18">
      <w:pPr>
        <w:pStyle w:val="p1"/>
        <w:shd w:val="clear" w:color="auto" w:fill="FFFFFF"/>
        <w:rPr>
          <w:rFonts w:ascii="Arial" w:hAnsi="Arial" w:cs="Arial"/>
          <w:bCs/>
          <w:lang w:val="es-ES_tradnl"/>
        </w:rPr>
      </w:pPr>
      <w:r w:rsidRPr="000957E1">
        <w:rPr>
          <w:rFonts w:ascii="Arial" w:hAnsi="Arial" w:cs="Arial"/>
          <w:noProof/>
          <w:lang w:eastAsia="en-US"/>
        </w:rPr>
        <w:drawing>
          <wp:anchor distT="0" distB="0" distL="114300" distR="114300" simplePos="0" relativeHeight="251661312" behindDoc="0" locked="0" layoutInCell="1" allowOverlap="1" wp14:anchorId="0B56BA52" wp14:editId="1936865F">
            <wp:simplePos x="0" y="0"/>
            <wp:positionH relativeFrom="column">
              <wp:posOffset>-1270</wp:posOffset>
            </wp:positionH>
            <wp:positionV relativeFrom="paragraph">
              <wp:posOffset>635</wp:posOffset>
            </wp:positionV>
            <wp:extent cx="5759450" cy="1794510"/>
            <wp:effectExtent l="0" t="0" r="0" b="34290"/>
            <wp:wrapTopAndBottom/>
            <wp:docPr id="988" name="Diagram 9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9" r:lo="rId150" r:qs="rId151" r:cs="rId152"/>
              </a:graphicData>
            </a:graphic>
            <wp14:sizeRelH relativeFrom="page">
              <wp14:pctWidth>0</wp14:pctWidth>
            </wp14:sizeRelH>
            <wp14:sizeRelV relativeFrom="page">
              <wp14:pctHeight>0</wp14:pctHeight>
            </wp14:sizeRelV>
          </wp:anchor>
        </w:drawing>
      </w:r>
    </w:p>
    <w:p w:rsidR="00236E18" w:rsidRPr="006A3CA4" w:rsidRDefault="00236E18" w:rsidP="00236E18">
      <w:pPr>
        <w:pStyle w:val="p1"/>
        <w:keepNext/>
        <w:keepLines/>
        <w:shd w:val="clear" w:color="auto" w:fill="FFFFFF"/>
        <w:rPr>
          <w:rFonts w:ascii="Arial" w:hAnsi="Arial" w:cs="Arial"/>
          <w:bCs/>
          <w:lang w:val="es-ES_tradnl"/>
        </w:rPr>
      </w:pPr>
    </w:p>
    <w:p w:rsidR="00236E18" w:rsidRPr="000957E1" w:rsidRDefault="00236E18" w:rsidP="00236E18">
      <w:pPr>
        <w:pStyle w:val="p1"/>
        <w:keepNext/>
        <w:keepLines/>
        <w:shd w:val="clear" w:color="auto" w:fill="FFFFFF"/>
        <w:rPr>
          <w:rFonts w:ascii="Arial" w:hAnsi="Arial" w:cs="Arial"/>
          <w:bCs/>
          <w:sz w:val="22"/>
          <w:lang w:val="es-ES"/>
        </w:rPr>
      </w:pPr>
      <w:r w:rsidRPr="000957E1">
        <w:rPr>
          <w:rFonts w:ascii="Arial" w:hAnsi="Arial" w:cs="Arial"/>
          <w:bCs/>
          <w:sz w:val="22"/>
          <w:lang w:val="es-ES"/>
        </w:rPr>
        <w:t>PRINCIPALES RIESGOS Y ESTRATEGIAS DE MITIGACIÓN</w:t>
      </w:r>
    </w:p>
    <w:p w:rsidR="00236E18" w:rsidRPr="000957E1" w:rsidRDefault="00236E18" w:rsidP="00236E18">
      <w:pPr>
        <w:keepNext/>
        <w:keepLines/>
        <w:rPr>
          <w:szCs w:val="22"/>
          <w:lang w:eastAsia="en-US"/>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961"/>
      </w:tblGrid>
      <w:tr w:rsidR="00236E18" w:rsidRPr="000957E1" w:rsidTr="00294272">
        <w:trPr>
          <w:trHeight w:val="577"/>
        </w:trPr>
        <w:tc>
          <w:tcPr>
            <w:tcW w:w="4253" w:type="dxa"/>
            <w:tcBorders>
              <w:top w:val="single" w:sz="4" w:space="0" w:color="auto"/>
              <w:bottom w:val="single" w:sz="4" w:space="0" w:color="auto"/>
            </w:tcBorders>
            <w:shd w:val="clear" w:color="auto" w:fill="C6D9F1"/>
            <w:vAlign w:val="center"/>
          </w:tcPr>
          <w:p w:rsidR="00236E18" w:rsidRPr="000957E1" w:rsidRDefault="00236E18" w:rsidP="00294272">
            <w:pPr>
              <w:keepNext/>
              <w:keepLines/>
              <w:jc w:val="center"/>
              <w:rPr>
                <w:b/>
                <w:bCs/>
                <w:sz w:val="18"/>
                <w:szCs w:val="18"/>
                <w:lang w:eastAsia="en-US"/>
              </w:rPr>
            </w:pPr>
            <w:r w:rsidRPr="000957E1">
              <w:rPr>
                <w:b/>
                <w:bCs/>
                <w:sz w:val="18"/>
                <w:szCs w:val="18"/>
                <w:lang w:eastAsia="en-US"/>
              </w:rPr>
              <w:t>Riesgo</w:t>
            </w:r>
          </w:p>
        </w:tc>
        <w:tc>
          <w:tcPr>
            <w:tcW w:w="4961" w:type="dxa"/>
            <w:tcBorders>
              <w:top w:val="single" w:sz="4" w:space="0" w:color="auto"/>
              <w:bottom w:val="single" w:sz="4" w:space="0" w:color="auto"/>
            </w:tcBorders>
            <w:shd w:val="clear" w:color="auto" w:fill="C6D9F1"/>
            <w:vAlign w:val="center"/>
          </w:tcPr>
          <w:p w:rsidR="00236E18" w:rsidRPr="000957E1" w:rsidRDefault="00236E18" w:rsidP="00294272">
            <w:pPr>
              <w:keepNext/>
              <w:keepLines/>
              <w:jc w:val="center"/>
              <w:rPr>
                <w:b/>
                <w:bCs/>
                <w:sz w:val="18"/>
                <w:szCs w:val="18"/>
                <w:lang w:eastAsia="en-US"/>
              </w:rPr>
            </w:pPr>
            <w:r w:rsidRPr="000957E1">
              <w:rPr>
                <w:b/>
                <w:bCs/>
                <w:sz w:val="18"/>
                <w:szCs w:val="18"/>
                <w:lang w:eastAsia="en-US"/>
              </w:rPr>
              <w:t>Mitigación</w:t>
            </w:r>
          </w:p>
        </w:tc>
      </w:tr>
      <w:tr w:rsidR="00236E18" w:rsidRPr="000957E1" w:rsidTr="00294272">
        <w:trPr>
          <w:trHeight w:val="175"/>
        </w:trPr>
        <w:tc>
          <w:tcPr>
            <w:tcW w:w="4253" w:type="dxa"/>
            <w:tcBorders>
              <w:top w:val="single" w:sz="4" w:space="0" w:color="auto"/>
              <w:left w:val="single" w:sz="4" w:space="0" w:color="auto"/>
              <w:bottom w:val="nil"/>
              <w:right w:val="nil"/>
            </w:tcBorders>
            <w:shd w:val="clear" w:color="auto" w:fill="auto"/>
            <w:tcMar>
              <w:top w:w="113" w:type="dxa"/>
              <w:bottom w:w="113" w:type="dxa"/>
            </w:tcMar>
          </w:tcPr>
          <w:p w:rsidR="00236E18" w:rsidRPr="000957E1" w:rsidRDefault="00236E18" w:rsidP="00294272">
            <w:pPr>
              <w:keepNext/>
              <w:keepLines/>
              <w:rPr>
                <w:sz w:val="16"/>
                <w:szCs w:val="16"/>
                <w:lang w:eastAsia="en-US"/>
              </w:rPr>
            </w:pPr>
            <w:r w:rsidRPr="000957E1">
              <w:rPr>
                <w:sz w:val="16"/>
                <w:lang w:eastAsia="en-US"/>
              </w:rPr>
              <w:t xml:space="preserve">Incapacidad de las oficinas de P.I. para mantener y continuar apoyando el funcionamiento autónomo de los sistemas de </w:t>
            </w:r>
            <w:r w:rsidRPr="000957E1">
              <w:rPr>
                <w:i/>
                <w:sz w:val="16"/>
                <w:lang w:eastAsia="en-US"/>
              </w:rPr>
              <w:t>software</w:t>
            </w:r>
            <w:r w:rsidRPr="000957E1">
              <w:rPr>
                <w:sz w:val="16"/>
                <w:lang w:eastAsia="en-US"/>
              </w:rPr>
              <w:t xml:space="preserve"> de la OMPI utilizados para sus actividades principales.</w:t>
            </w:r>
          </w:p>
        </w:tc>
        <w:tc>
          <w:tcPr>
            <w:tcW w:w="4961" w:type="dxa"/>
            <w:tcBorders>
              <w:top w:val="single" w:sz="4" w:space="0" w:color="auto"/>
              <w:left w:val="nil"/>
              <w:bottom w:val="nil"/>
              <w:right w:val="single" w:sz="4" w:space="0" w:color="auto"/>
            </w:tcBorders>
            <w:shd w:val="clear" w:color="auto" w:fill="auto"/>
            <w:tcMar>
              <w:top w:w="113" w:type="dxa"/>
              <w:bottom w:w="113" w:type="dxa"/>
            </w:tcMar>
          </w:tcPr>
          <w:p w:rsidR="00236E18" w:rsidRPr="000957E1" w:rsidRDefault="00236E18" w:rsidP="00294272">
            <w:pPr>
              <w:keepNext/>
              <w:keepLines/>
              <w:rPr>
                <w:sz w:val="16"/>
                <w:szCs w:val="16"/>
                <w:lang w:eastAsia="en-US"/>
              </w:rPr>
            </w:pPr>
            <w:r w:rsidRPr="000957E1">
              <w:rPr>
                <w:sz w:val="16"/>
                <w:lang w:eastAsia="en-US"/>
              </w:rPr>
              <w:t xml:space="preserve">Asegurar que el personal local de las Oficinas de P.I. reciba formación.  Establecimiento de procedimientos formales relacionados con los programas informáticos y el apoyo que se presta a estos.  </w:t>
            </w:r>
          </w:p>
        </w:tc>
      </w:tr>
      <w:tr w:rsidR="00236E18" w:rsidRPr="000957E1" w:rsidTr="00294272">
        <w:trPr>
          <w:trHeight w:val="487"/>
        </w:trPr>
        <w:tc>
          <w:tcPr>
            <w:tcW w:w="4253" w:type="dxa"/>
            <w:tcBorders>
              <w:top w:val="nil"/>
              <w:left w:val="single" w:sz="4" w:space="0" w:color="auto"/>
              <w:bottom w:val="single" w:sz="4" w:space="0" w:color="auto"/>
              <w:right w:val="nil"/>
            </w:tcBorders>
            <w:shd w:val="clear" w:color="auto" w:fill="auto"/>
            <w:tcMar>
              <w:top w:w="113" w:type="dxa"/>
              <w:bottom w:w="113" w:type="dxa"/>
            </w:tcMar>
          </w:tcPr>
          <w:p w:rsidR="00236E18" w:rsidRPr="000957E1" w:rsidRDefault="00236E18" w:rsidP="00294272">
            <w:pPr>
              <w:keepNext/>
              <w:keepLines/>
              <w:rPr>
                <w:sz w:val="16"/>
                <w:lang w:eastAsia="en-US"/>
              </w:rPr>
            </w:pPr>
            <w:r w:rsidRPr="000957E1">
              <w:rPr>
                <w:sz w:val="16"/>
                <w:lang w:eastAsia="en-US"/>
              </w:rPr>
              <w:t xml:space="preserve">Falta de acceso a la información técnica y de dominio privado de que disponen los sectores interesados pertinentes, que podría ser necesaria para la aplicación del proyecto WCC. </w:t>
            </w:r>
          </w:p>
        </w:tc>
        <w:tc>
          <w:tcPr>
            <w:tcW w:w="4961" w:type="dxa"/>
            <w:tcBorders>
              <w:top w:val="nil"/>
              <w:left w:val="nil"/>
              <w:bottom w:val="single" w:sz="4" w:space="0" w:color="auto"/>
              <w:right w:val="single" w:sz="4" w:space="0" w:color="auto"/>
            </w:tcBorders>
            <w:shd w:val="clear" w:color="auto" w:fill="auto"/>
            <w:tcMar>
              <w:top w:w="113" w:type="dxa"/>
              <w:bottom w:w="113" w:type="dxa"/>
            </w:tcMar>
          </w:tcPr>
          <w:p w:rsidR="00236E18" w:rsidRPr="000957E1" w:rsidRDefault="00236E18" w:rsidP="00294272">
            <w:pPr>
              <w:keepNext/>
              <w:keepLines/>
              <w:rPr>
                <w:sz w:val="16"/>
                <w:lang w:eastAsia="en-US"/>
              </w:rPr>
            </w:pPr>
            <w:r w:rsidRPr="000957E1">
              <w:rPr>
                <w:sz w:val="16"/>
                <w:lang w:eastAsia="en-US"/>
              </w:rPr>
              <w:t>Invitar a los sectores interesados pertinentes a participar en las reuniones del grupo de expertos operativos del proyecto WCC para intercambiar información pertinente.</w:t>
            </w:r>
          </w:p>
        </w:tc>
      </w:tr>
    </w:tbl>
    <w:p w:rsidR="00236E18" w:rsidRPr="000957E1" w:rsidRDefault="00236E18" w:rsidP="00236E18">
      <w:pPr>
        <w:keepNext/>
        <w:keepLines/>
        <w:rPr>
          <w:szCs w:val="22"/>
          <w:lang w:eastAsia="en-US"/>
        </w:rPr>
      </w:pPr>
    </w:p>
    <w:p w:rsidR="00236E18" w:rsidRPr="000957E1" w:rsidRDefault="00236E18" w:rsidP="00236E18">
      <w:pPr>
        <w:keepNext/>
        <w:keepLines/>
        <w:rPr>
          <w:b/>
          <w:bCs/>
          <w:sz w:val="20"/>
        </w:rPr>
      </w:pPr>
    </w:p>
    <w:p w:rsidR="00236E18" w:rsidRPr="000957E1" w:rsidRDefault="00236E18" w:rsidP="00236E18">
      <w:pPr>
        <w:keepNext/>
        <w:keepLines/>
        <w:rPr>
          <w:bCs/>
          <w:szCs w:val="24"/>
        </w:rPr>
      </w:pPr>
      <w:r w:rsidRPr="000957E1">
        <w:rPr>
          <w:bCs/>
          <w:szCs w:val="24"/>
        </w:rPr>
        <w:t>MARCO DE RESULTADOS</w:t>
      </w:r>
    </w:p>
    <w:p w:rsidR="00236E18" w:rsidRPr="000957E1" w:rsidRDefault="00236E18" w:rsidP="00236E18">
      <w:pPr>
        <w:rPr>
          <w:sz w:val="20"/>
        </w:rPr>
      </w:pPr>
    </w:p>
    <w:tbl>
      <w:tblPr>
        <w:tblW w:w="9340" w:type="dxa"/>
        <w:tblInd w:w="93" w:type="dxa"/>
        <w:tblLook w:val="04A0" w:firstRow="1" w:lastRow="0" w:firstColumn="1" w:lastColumn="0" w:noHBand="0" w:noVBand="1"/>
      </w:tblPr>
      <w:tblGrid>
        <w:gridCol w:w="2940"/>
        <w:gridCol w:w="2620"/>
        <w:gridCol w:w="1980"/>
        <w:gridCol w:w="1800"/>
      </w:tblGrid>
      <w:tr w:rsidR="00236E18" w:rsidRPr="000957E1" w:rsidTr="00294272">
        <w:trPr>
          <w:trHeight w:val="585"/>
        </w:trPr>
        <w:tc>
          <w:tcPr>
            <w:tcW w:w="2940" w:type="dxa"/>
            <w:tcBorders>
              <w:top w:val="single" w:sz="4" w:space="0" w:color="auto"/>
              <w:left w:val="single" w:sz="4" w:space="0" w:color="auto"/>
              <w:bottom w:val="single" w:sz="4" w:space="0" w:color="auto"/>
              <w:right w:val="nil"/>
            </w:tcBorders>
            <w:shd w:val="clear" w:color="auto" w:fill="C6D9F1"/>
            <w:noWrap/>
            <w:vAlign w:val="center"/>
            <w:hideMark/>
          </w:tcPr>
          <w:p w:rsidR="00236E18" w:rsidRPr="000957E1" w:rsidRDefault="00236E18" w:rsidP="00294272">
            <w:pPr>
              <w:jc w:val="center"/>
              <w:rPr>
                <w:b/>
                <w:bCs/>
                <w:sz w:val="18"/>
                <w:szCs w:val="18"/>
                <w:lang w:eastAsia="en-US"/>
              </w:rPr>
            </w:pPr>
            <w:r w:rsidRPr="000957E1">
              <w:rPr>
                <w:b/>
                <w:bCs/>
                <w:sz w:val="18"/>
                <w:szCs w:val="18"/>
                <w:lang w:eastAsia="en-US"/>
              </w:rPr>
              <w:t>Resultados previstos</w:t>
            </w:r>
          </w:p>
        </w:tc>
        <w:tc>
          <w:tcPr>
            <w:tcW w:w="2620" w:type="dxa"/>
            <w:tcBorders>
              <w:top w:val="single" w:sz="4" w:space="0" w:color="auto"/>
              <w:left w:val="nil"/>
              <w:bottom w:val="single" w:sz="4" w:space="0" w:color="auto"/>
              <w:right w:val="nil"/>
            </w:tcBorders>
            <w:shd w:val="clear" w:color="auto" w:fill="C6D9F1"/>
            <w:noWrap/>
            <w:vAlign w:val="center"/>
            <w:hideMark/>
          </w:tcPr>
          <w:p w:rsidR="00236E18" w:rsidRPr="000957E1" w:rsidRDefault="00236E18" w:rsidP="00294272">
            <w:pPr>
              <w:jc w:val="center"/>
              <w:rPr>
                <w:b/>
                <w:bCs/>
                <w:sz w:val="18"/>
                <w:szCs w:val="18"/>
                <w:lang w:eastAsia="en-US"/>
              </w:rPr>
            </w:pPr>
            <w:r w:rsidRPr="000957E1">
              <w:rPr>
                <w:b/>
                <w:bCs/>
                <w:sz w:val="18"/>
                <w:szCs w:val="18"/>
                <w:lang w:eastAsia="en-US"/>
              </w:rPr>
              <w:t>Indicadores de rendimiento</w:t>
            </w:r>
          </w:p>
        </w:tc>
        <w:tc>
          <w:tcPr>
            <w:tcW w:w="1980" w:type="dxa"/>
            <w:tcBorders>
              <w:top w:val="single" w:sz="4" w:space="0" w:color="auto"/>
              <w:left w:val="nil"/>
              <w:bottom w:val="single" w:sz="4" w:space="0" w:color="auto"/>
              <w:right w:val="nil"/>
            </w:tcBorders>
            <w:shd w:val="clear" w:color="auto" w:fill="C6D9F1"/>
            <w:noWrap/>
            <w:vAlign w:val="center"/>
            <w:hideMark/>
          </w:tcPr>
          <w:p w:rsidR="00236E18" w:rsidRPr="000957E1" w:rsidRDefault="00236E18" w:rsidP="00294272">
            <w:pPr>
              <w:jc w:val="center"/>
              <w:rPr>
                <w:b/>
                <w:bCs/>
                <w:sz w:val="18"/>
                <w:szCs w:val="18"/>
                <w:lang w:eastAsia="en-US"/>
              </w:rPr>
            </w:pPr>
            <w:r w:rsidRPr="000957E1">
              <w:rPr>
                <w:b/>
                <w:bCs/>
                <w:sz w:val="18"/>
                <w:szCs w:val="18"/>
                <w:lang w:eastAsia="en-US"/>
              </w:rPr>
              <w:t>Referencia</w:t>
            </w:r>
          </w:p>
        </w:tc>
        <w:tc>
          <w:tcPr>
            <w:tcW w:w="1800" w:type="dxa"/>
            <w:tcBorders>
              <w:top w:val="single" w:sz="4" w:space="0" w:color="auto"/>
              <w:left w:val="nil"/>
              <w:bottom w:val="single" w:sz="4" w:space="0" w:color="auto"/>
              <w:right w:val="single" w:sz="4" w:space="0" w:color="auto"/>
            </w:tcBorders>
            <w:shd w:val="clear" w:color="auto" w:fill="C6D9F1"/>
            <w:noWrap/>
            <w:vAlign w:val="center"/>
            <w:hideMark/>
          </w:tcPr>
          <w:p w:rsidR="00236E18" w:rsidRPr="000957E1" w:rsidRDefault="00236E18" w:rsidP="00294272">
            <w:pPr>
              <w:jc w:val="center"/>
              <w:rPr>
                <w:b/>
                <w:bCs/>
                <w:sz w:val="18"/>
                <w:szCs w:val="18"/>
                <w:lang w:eastAsia="en-US"/>
              </w:rPr>
            </w:pPr>
            <w:r w:rsidRPr="000957E1">
              <w:rPr>
                <w:b/>
                <w:bCs/>
                <w:sz w:val="18"/>
                <w:szCs w:val="18"/>
                <w:lang w:eastAsia="en-US"/>
              </w:rPr>
              <w:t>Objetivos</w:t>
            </w:r>
          </w:p>
        </w:tc>
      </w:tr>
      <w:tr w:rsidR="00236E18" w:rsidRPr="000957E1" w:rsidTr="00294272">
        <w:trPr>
          <w:trHeight w:val="1409"/>
        </w:trPr>
        <w:tc>
          <w:tcPr>
            <w:tcW w:w="2940" w:type="dxa"/>
            <w:vMerge w:val="restart"/>
            <w:tcBorders>
              <w:top w:val="nil"/>
              <w:left w:val="single" w:sz="4" w:space="0" w:color="auto"/>
              <w:bottom w:val="single" w:sz="4" w:space="0" w:color="000000"/>
              <w:right w:val="nil"/>
            </w:tcBorders>
            <w:shd w:val="clear" w:color="000000" w:fill="FFFFFF"/>
            <w:hideMark/>
          </w:tcPr>
          <w:p w:rsidR="00236E18" w:rsidRPr="000957E1" w:rsidRDefault="00236E18" w:rsidP="00294272">
            <w:pPr>
              <w:rPr>
                <w:sz w:val="16"/>
                <w:szCs w:val="16"/>
                <w:lang w:eastAsia="en-US"/>
              </w:rPr>
            </w:pPr>
          </w:p>
          <w:p w:rsidR="00236E18" w:rsidRPr="000957E1" w:rsidRDefault="00236E18" w:rsidP="00294272">
            <w:pPr>
              <w:rPr>
                <w:sz w:val="16"/>
                <w:szCs w:val="16"/>
                <w:lang w:eastAsia="en-US"/>
              </w:rPr>
            </w:pPr>
            <w:r w:rsidRPr="000957E1">
              <w:rPr>
                <w:sz w:val="16"/>
                <w:szCs w:val="16"/>
                <w:lang w:eastAsia="en-US"/>
              </w:rPr>
              <w:t xml:space="preserve">IV.4 </w:t>
            </w:r>
            <w:r>
              <w:rPr>
                <w:sz w:val="16"/>
                <w:szCs w:val="16"/>
                <w:lang w:eastAsia="en-US"/>
              </w:rPr>
              <w:t xml:space="preserve"> </w:t>
            </w:r>
            <w:r w:rsidRPr="00037E5E">
              <w:rPr>
                <w:sz w:val="16"/>
                <w:szCs w:val="16"/>
                <w:lang w:val="es-ES_tradnl"/>
              </w:rPr>
              <w:t>Mejora de la infraestructura técnica y de conocimientos de las Oficinas y demás instituciones de P.I. que les permita prestar mejores servicios (más baratos, más rápidos y de mejor calidad) a los sectores interesados y mejores resultados en la administración de la P.I.</w:t>
            </w:r>
          </w:p>
        </w:tc>
        <w:tc>
          <w:tcPr>
            <w:tcW w:w="2620" w:type="dxa"/>
            <w:tcBorders>
              <w:top w:val="nil"/>
              <w:left w:val="nil"/>
              <w:bottom w:val="nil"/>
              <w:right w:val="nil"/>
            </w:tcBorders>
            <w:shd w:val="clear" w:color="000000" w:fill="FFFFFF"/>
            <w:hideMark/>
          </w:tcPr>
          <w:p w:rsidR="00236E18" w:rsidRPr="000957E1" w:rsidRDefault="00236E18" w:rsidP="00294272">
            <w:pPr>
              <w:ind w:left="228"/>
              <w:rPr>
                <w:sz w:val="16"/>
                <w:szCs w:val="16"/>
                <w:lang w:eastAsia="en-US"/>
              </w:rPr>
            </w:pPr>
          </w:p>
          <w:p w:rsidR="00236E18" w:rsidRPr="000957E1" w:rsidRDefault="00236E18" w:rsidP="00294272">
            <w:pPr>
              <w:ind w:left="89"/>
              <w:rPr>
                <w:sz w:val="16"/>
                <w:szCs w:val="16"/>
                <w:lang w:eastAsia="en-US"/>
              </w:rPr>
            </w:pPr>
            <w:r w:rsidRPr="000957E1">
              <w:rPr>
                <w:sz w:val="16"/>
                <w:szCs w:val="16"/>
                <w:lang w:eastAsia="en-US"/>
              </w:rPr>
              <w:t>N</w:t>
            </w:r>
            <w:r>
              <w:rPr>
                <w:sz w:val="16"/>
                <w:szCs w:val="16"/>
                <w:lang w:eastAsia="en-US"/>
              </w:rPr>
              <w:t>º</w:t>
            </w:r>
            <w:r w:rsidRPr="000957E1">
              <w:rPr>
                <w:sz w:val="16"/>
                <w:szCs w:val="16"/>
                <w:lang w:eastAsia="en-US"/>
              </w:rPr>
              <w:t xml:space="preserve"> de oficinas que utilizan las plataformas de infraestructura de la OMPI.</w:t>
            </w:r>
          </w:p>
        </w:tc>
        <w:tc>
          <w:tcPr>
            <w:tcW w:w="1980" w:type="dxa"/>
            <w:tcBorders>
              <w:top w:val="nil"/>
              <w:left w:val="nil"/>
              <w:bottom w:val="nil"/>
              <w:right w:val="nil"/>
            </w:tcBorders>
            <w:shd w:val="clear" w:color="000000" w:fill="FFFFFF"/>
            <w:hideMark/>
          </w:tcPr>
          <w:p w:rsidR="00236E18" w:rsidRPr="000957E1" w:rsidRDefault="00236E18" w:rsidP="00294272">
            <w:pPr>
              <w:ind w:left="17"/>
              <w:rPr>
                <w:sz w:val="16"/>
                <w:szCs w:val="16"/>
                <w:lang w:eastAsia="en-US"/>
              </w:rPr>
            </w:pPr>
          </w:p>
          <w:p w:rsidR="00236E18" w:rsidRPr="000957E1" w:rsidRDefault="00236E18" w:rsidP="00294272">
            <w:pPr>
              <w:ind w:left="17"/>
              <w:rPr>
                <w:sz w:val="16"/>
                <w:szCs w:val="16"/>
                <w:lang w:eastAsia="en-US"/>
              </w:rPr>
            </w:pPr>
            <w:r w:rsidRPr="000957E1">
              <w:rPr>
                <w:sz w:val="16"/>
                <w:szCs w:val="16"/>
                <w:lang w:eastAsia="en-US"/>
              </w:rPr>
              <w:t>22 Oficinas en marzo de 2015</w:t>
            </w:r>
          </w:p>
          <w:p w:rsidR="00236E18" w:rsidRPr="000957E1" w:rsidRDefault="00236E18" w:rsidP="00294272">
            <w:pPr>
              <w:ind w:left="17"/>
              <w:rPr>
                <w:sz w:val="16"/>
                <w:szCs w:val="16"/>
                <w:lang w:eastAsia="en-US"/>
              </w:rPr>
            </w:pPr>
            <w:r w:rsidRPr="000957E1">
              <w:rPr>
                <w:sz w:val="16"/>
                <w:szCs w:val="16"/>
                <w:lang w:eastAsia="en-US"/>
              </w:rPr>
              <w:t>Asia-Pacífico: 12</w:t>
            </w:r>
          </w:p>
          <w:p w:rsidR="00236E18" w:rsidRPr="000957E1" w:rsidRDefault="00236E18" w:rsidP="00294272">
            <w:pPr>
              <w:ind w:left="17"/>
              <w:rPr>
                <w:sz w:val="16"/>
                <w:szCs w:val="16"/>
                <w:lang w:eastAsia="en-US"/>
              </w:rPr>
            </w:pPr>
            <w:r>
              <w:rPr>
                <w:sz w:val="16"/>
                <w:szCs w:val="16"/>
                <w:lang w:eastAsia="en-US"/>
              </w:rPr>
              <w:t>P</w:t>
            </w:r>
            <w:r w:rsidRPr="000957E1">
              <w:rPr>
                <w:sz w:val="16"/>
                <w:szCs w:val="16"/>
                <w:lang w:eastAsia="en-US"/>
              </w:rPr>
              <w:t xml:space="preserve">aíses </w:t>
            </w:r>
            <w:r>
              <w:rPr>
                <w:sz w:val="16"/>
                <w:szCs w:val="16"/>
                <w:lang w:eastAsia="en-US"/>
              </w:rPr>
              <w:t>en transición</w:t>
            </w:r>
            <w:r w:rsidRPr="000957E1">
              <w:rPr>
                <w:sz w:val="16"/>
                <w:szCs w:val="16"/>
                <w:lang w:eastAsia="en-US"/>
              </w:rPr>
              <w:t>: 1</w:t>
            </w:r>
          </w:p>
          <w:p w:rsidR="00236E18" w:rsidRPr="000957E1" w:rsidRDefault="00236E18" w:rsidP="00294272">
            <w:pPr>
              <w:ind w:left="17"/>
              <w:rPr>
                <w:sz w:val="16"/>
                <w:szCs w:val="16"/>
                <w:lang w:eastAsia="en-US"/>
              </w:rPr>
            </w:pPr>
            <w:r>
              <w:rPr>
                <w:sz w:val="16"/>
                <w:szCs w:val="16"/>
                <w:lang w:eastAsia="en-US"/>
              </w:rPr>
              <w:t>Países d</w:t>
            </w:r>
            <w:r w:rsidRPr="000957E1">
              <w:rPr>
                <w:sz w:val="16"/>
                <w:szCs w:val="16"/>
                <w:lang w:eastAsia="en-US"/>
              </w:rPr>
              <w:t>esarrollados: 9</w:t>
            </w:r>
          </w:p>
        </w:tc>
        <w:tc>
          <w:tcPr>
            <w:tcW w:w="1800" w:type="dxa"/>
            <w:tcBorders>
              <w:top w:val="nil"/>
              <w:left w:val="nil"/>
              <w:bottom w:val="nil"/>
              <w:right w:val="single" w:sz="4" w:space="0" w:color="auto"/>
            </w:tcBorders>
            <w:shd w:val="clear" w:color="000000" w:fill="FFFFFF"/>
            <w:hideMark/>
          </w:tcPr>
          <w:p w:rsidR="00236E18" w:rsidRPr="000957E1" w:rsidRDefault="00236E18" w:rsidP="00294272">
            <w:pPr>
              <w:ind w:left="305"/>
              <w:rPr>
                <w:sz w:val="16"/>
                <w:szCs w:val="16"/>
                <w:lang w:eastAsia="en-US"/>
              </w:rPr>
            </w:pPr>
          </w:p>
          <w:p w:rsidR="00236E18" w:rsidRPr="000957E1" w:rsidRDefault="00236E18" w:rsidP="00294272">
            <w:pPr>
              <w:ind w:left="305"/>
              <w:rPr>
                <w:sz w:val="16"/>
                <w:szCs w:val="16"/>
                <w:lang w:eastAsia="en-US"/>
              </w:rPr>
            </w:pPr>
            <w:r w:rsidRPr="000957E1">
              <w:rPr>
                <w:sz w:val="16"/>
                <w:szCs w:val="16"/>
                <w:lang w:eastAsia="en-US"/>
              </w:rPr>
              <w:t>29 oficinas (al final de 2017)</w:t>
            </w:r>
          </w:p>
        </w:tc>
      </w:tr>
      <w:tr w:rsidR="00236E18" w:rsidRPr="000957E1" w:rsidTr="00294272">
        <w:trPr>
          <w:trHeight w:val="716"/>
        </w:trPr>
        <w:tc>
          <w:tcPr>
            <w:tcW w:w="2940" w:type="dxa"/>
            <w:vMerge/>
            <w:tcBorders>
              <w:top w:val="nil"/>
              <w:left w:val="single" w:sz="4" w:space="0" w:color="auto"/>
              <w:bottom w:val="single" w:sz="4" w:space="0" w:color="000000"/>
              <w:right w:val="nil"/>
            </w:tcBorders>
            <w:vAlign w:val="center"/>
            <w:hideMark/>
          </w:tcPr>
          <w:p w:rsidR="00236E18" w:rsidRPr="000957E1" w:rsidRDefault="00236E18" w:rsidP="00294272">
            <w:pPr>
              <w:rPr>
                <w:sz w:val="16"/>
                <w:szCs w:val="16"/>
                <w:lang w:eastAsia="en-US"/>
              </w:rPr>
            </w:pPr>
          </w:p>
        </w:tc>
        <w:tc>
          <w:tcPr>
            <w:tcW w:w="2620" w:type="dxa"/>
            <w:tcBorders>
              <w:top w:val="nil"/>
              <w:left w:val="nil"/>
              <w:bottom w:val="nil"/>
              <w:right w:val="nil"/>
            </w:tcBorders>
            <w:shd w:val="clear" w:color="000000" w:fill="FFFFFF"/>
            <w:hideMark/>
          </w:tcPr>
          <w:p w:rsidR="00236E18" w:rsidRPr="000957E1" w:rsidRDefault="00236E18" w:rsidP="00294272">
            <w:pPr>
              <w:ind w:left="89"/>
              <w:rPr>
                <w:sz w:val="16"/>
                <w:szCs w:val="16"/>
                <w:lang w:eastAsia="en-US"/>
              </w:rPr>
            </w:pPr>
            <w:r>
              <w:rPr>
                <w:sz w:val="16"/>
                <w:szCs w:val="16"/>
                <w:lang w:eastAsia="en-US"/>
              </w:rPr>
              <w:br/>
            </w:r>
            <w:r w:rsidRPr="000957E1">
              <w:rPr>
                <w:sz w:val="16"/>
                <w:szCs w:val="16"/>
                <w:lang w:eastAsia="en-US"/>
              </w:rPr>
              <w:t>Media del nivel de los servicios prestados por las Oficinas de P.I. que reciben asistencia (en una escala del 1 al 5).</w:t>
            </w:r>
            <w:r>
              <w:rPr>
                <w:sz w:val="16"/>
                <w:szCs w:val="16"/>
                <w:lang w:eastAsia="en-US"/>
              </w:rPr>
              <w:br/>
            </w:r>
          </w:p>
        </w:tc>
        <w:tc>
          <w:tcPr>
            <w:tcW w:w="1980" w:type="dxa"/>
            <w:tcBorders>
              <w:top w:val="nil"/>
              <w:left w:val="nil"/>
              <w:bottom w:val="nil"/>
              <w:right w:val="nil"/>
            </w:tcBorders>
            <w:shd w:val="clear" w:color="000000" w:fill="FFFFFF"/>
            <w:hideMark/>
          </w:tcPr>
          <w:p w:rsidR="00236E18" w:rsidRPr="000957E1" w:rsidRDefault="00236E18" w:rsidP="00294272">
            <w:pPr>
              <w:ind w:left="17"/>
              <w:rPr>
                <w:sz w:val="16"/>
                <w:szCs w:val="16"/>
                <w:lang w:eastAsia="en-US"/>
              </w:rPr>
            </w:pPr>
            <w:r>
              <w:rPr>
                <w:sz w:val="16"/>
                <w:szCs w:val="16"/>
                <w:lang w:eastAsia="en-US"/>
              </w:rPr>
              <w:br/>
            </w:r>
            <w:r w:rsidRPr="000957E1">
              <w:rPr>
                <w:sz w:val="16"/>
                <w:szCs w:val="16"/>
                <w:lang w:eastAsia="en-US"/>
              </w:rPr>
              <w:t>2</w:t>
            </w:r>
            <w:r>
              <w:rPr>
                <w:sz w:val="16"/>
                <w:szCs w:val="16"/>
                <w:lang w:eastAsia="en-US"/>
              </w:rPr>
              <w:t>,</w:t>
            </w:r>
            <w:r w:rsidRPr="000957E1">
              <w:rPr>
                <w:sz w:val="16"/>
                <w:szCs w:val="16"/>
                <w:lang w:eastAsia="en-US"/>
              </w:rPr>
              <w:t>9 (al final de 2015).</w:t>
            </w:r>
          </w:p>
        </w:tc>
        <w:tc>
          <w:tcPr>
            <w:tcW w:w="1800" w:type="dxa"/>
            <w:tcBorders>
              <w:top w:val="nil"/>
              <w:left w:val="nil"/>
              <w:bottom w:val="nil"/>
              <w:right w:val="single" w:sz="4" w:space="0" w:color="auto"/>
            </w:tcBorders>
            <w:shd w:val="clear" w:color="000000" w:fill="FFFFFF"/>
            <w:hideMark/>
          </w:tcPr>
          <w:p w:rsidR="00236E18" w:rsidRPr="000957E1" w:rsidRDefault="00236E18" w:rsidP="00294272">
            <w:pPr>
              <w:ind w:left="228"/>
              <w:rPr>
                <w:sz w:val="16"/>
                <w:szCs w:val="16"/>
                <w:lang w:eastAsia="en-US"/>
              </w:rPr>
            </w:pPr>
            <w:r>
              <w:rPr>
                <w:sz w:val="16"/>
                <w:szCs w:val="16"/>
                <w:lang w:eastAsia="en-US"/>
              </w:rPr>
              <w:br/>
            </w:r>
            <w:r w:rsidRPr="000957E1">
              <w:rPr>
                <w:sz w:val="16"/>
                <w:szCs w:val="16"/>
                <w:lang w:eastAsia="en-US"/>
              </w:rPr>
              <w:t>3 (al final de 2017).</w:t>
            </w:r>
          </w:p>
        </w:tc>
      </w:tr>
      <w:tr w:rsidR="00236E18" w:rsidRPr="000957E1" w:rsidTr="00294272">
        <w:trPr>
          <w:trHeight w:val="1166"/>
        </w:trPr>
        <w:tc>
          <w:tcPr>
            <w:tcW w:w="2940" w:type="dxa"/>
            <w:vMerge/>
            <w:tcBorders>
              <w:top w:val="nil"/>
              <w:left w:val="single" w:sz="4" w:space="0" w:color="auto"/>
              <w:bottom w:val="single" w:sz="4" w:space="0" w:color="000000"/>
              <w:right w:val="nil"/>
            </w:tcBorders>
            <w:vAlign w:val="center"/>
            <w:hideMark/>
          </w:tcPr>
          <w:p w:rsidR="00236E18" w:rsidRPr="000957E1" w:rsidRDefault="00236E18" w:rsidP="00294272">
            <w:pPr>
              <w:rPr>
                <w:sz w:val="16"/>
                <w:szCs w:val="16"/>
                <w:lang w:eastAsia="en-US"/>
              </w:rPr>
            </w:pPr>
          </w:p>
        </w:tc>
        <w:tc>
          <w:tcPr>
            <w:tcW w:w="2620" w:type="dxa"/>
            <w:tcBorders>
              <w:top w:val="nil"/>
              <w:left w:val="nil"/>
              <w:bottom w:val="single" w:sz="4" w:space="0" w:color="auto"/>
              <w:right w:val="nil"/>
            </w:tcBorders>
            <w:shd w:val="clear" w:color="000000" w:fill="FFFFFF"/>
            <w:hideMark/>
          </w:tcPr>
          <w:p w:rsidR="00236E18" w:rsidRPr="000957E1" w:rsidRDefault="00236E18" w:rsidP="00294272">
            <w:pPr>
              <w:ind w:left="89"/>
              <w:rPr>
                <w:sz w:val="16"/>
                <w:szCs w:val="16"/>
                <w:lang w:eastAsia="en-US"/>
              </w:rPr>
            </w:pPr>
            <w:r w:rsidRPr="000957E1">
              <w:rPr>
                <w:sz w:val="16"/>
                <w:szCs w:val="16"/>
                <w:lang w:eastAsia="en-US"/>
              </w:rPr>
              <w:t>N</w:t>
            </w:r>
            <w:r>
              <w:rPr>
                <w:sz w:val="16"/>
                <w:szCs w:val="16"/>
                <w:lang w:eastAsia="en-US"/>
              </w:rPr>
              <w:t>º</w:t>
            </w:r>
            <w:r w:rsidRPr="000957E1">
              <w:rPr>
                <w:sz w:val="16"/>
                <w:szCs w:val="16"/>
                <w:lang w:eastAsia="en-US"/>
              </w:rPr>
              <w:t xml:space="preserve"> de organismos de gestión colectiva de países en desarrollo y PMA que participan en las redes regionales y mundiales facilitadas por la OMPI.</w:t>
            </w:r>
            <w:r>
              <w:rPr>
                <w:sz w:val="16"/>
                <w:szCs w:val="16"/>
                <w:lang w:eastAsia="en-US"/>
              </w:rPr>
              <w:br/>
            </w:r>
          </w:p>
        </w:tc>
        <w:tc>
          <w:tcPr>
            <w:tcW w:w="1980" w:type="dxa"/>
            <w:tcBorders>
              <w:top w:val="nil"/>
              <w:left w:val="nil"/>
              <w:bottom w:val="single" w:sz="4" w:space="0" w:color="auto"/>
              <w:right w:val="nil"/>
            </w:tcBorders>
            <w:shd w:val="clear" w:color="000000" w:fill="FFFFFF"/>
            <w:hideMark/>
          </w:tcPr>
          <w:p w:rsidR="00236E18" w:rsidRPr="000957E1" w:rsidRDefault="00236E18" w:rsidP="00294272">
            <w:pPr>
              <w:ind w:left="17"/>
              <w:rPr>
                <w:sz w:val="16"/>
                <w:szCs w:val="16"/>
                <w:lang w:eastAsia="en-US"/>
              </w:rPr>
            </w:pPr>
            <w:r w:rsidRPr="000957E1">
              <w:rPr>
                <w:sz w:val="16"/>
                <w:szCs w:val="16"/>
                <w:lang w:eastAsia="en-US"/>
              </w:rPr>
              <w:t>Ningún organismo de gestión colectiva al final de 2015</w:t>
            </w:r>
          </w:p>
        </w:tc>
        <w:tc>
          <w:tcPr>
            <w:tcW w:w="1800" w:type="dxa"/>
            <w:tcBorders>
              <w:top w:val="nil"/>
              <w:left w:val="nil"/>
              <w:bottom w:val="single" w:sz="4" w:space="0" w:color="auto"/>
              <w:right w:val="single" w:sz="4" w:space="0" w:color="auto"/>
            </w:tcBorders>
            <w:shd w:val="clear" w:color="000000" w:fill="FFFFFF"/>
            <w:hideMark/>
          </w:tcPr>
          <w:p w:rsidR="00236E18" w:rsidRPr="000957E1" w:rsidRDefault="00236E18" w:rsidP="00294272">
            <w:pPr>
              <w:ind w:left="305"/>
              <w:rPr>
                <w:sz w:val="16"/>
                <w:szCs w:val="16"/>
                <w:lang w:eastAsia="en-US"/>
              </w:rPr>
            </w:pPr>
            <w:r w:rsidRPr="000957E1">
              <w:rPr>
                <w:sz w:val="16"/>
                <w:szCs w:val="16"/>
                <w:lang w:eastAsia="en-US"/>
              </w:rPr>
              <w:t>7 organismos de gestión colectiva al final de 2017</w:t>
            </w:r>
          </w:p>
        </w:tc>
      </w:tr>
    </w:tbl>
    <w:p w:rsidR="00236E18" w:rsidRPr="000957E1" w:rsidRDefault="00236E18" w:rsidP="00236E18">
      <w:pPr>
        <w:rPr>
          <w:sz w:val="20"/>
        </w:rPr>
      </w:pPr>
    </w:p>
    <w:p w:rsidR="00236E18" w:rsidRPr="000957E1" w:rsidRDefault="00236E18" w:rsidP="00236E18">
      <w:pPr>
        <w:rPr>
          <w:sz w:val="20"/>
        </w:rPr>
      </w:pPr>
    </w:p>
    <w:p w:rsidR="00236E18" w:rsidRPr="00F8163F" w:rsidRDefault="00236E18" w:rsidP="00236E18">
      <w:pPr>
        <w:rPr>
          <w:highlight w:val="lightGray"/>
          <w:lang w:val="en-US"/>
        </w:rPr>
      </w:pPr>
      <w:r w:rsidRPr="00F8163F">
        <w:rPr>
          <w:lang w:val="en-US"/>
        </w:rPr>
        <w:t>RECURSOS PARA EL PROGRAMA 15</w:t>
      </w:r>
    </w:p>
    <w:p w:rsidR="00236E18" w:rsidRDefault="00236E18" w:rsidP="00236E18">
      <w:pPr>
        <w:rPr>
          <w:highlight w:val="lightGray"/>
          <w:lang w:val="en-US"/>
        </w:rPr>
      </w:pPr>
    </w:p>
    <w:p w:rsidR="00236E18" w:rsidRDefault="00236E18" w:rsidP="00236E18">
      <w:pPr>
        <w:numPr>
          <w:ilvl w:val="0"/>
          <w:numId w:val="29"/>
        </w:numPr>
        <w:shd w:val="clear" w:color="auto" w:fill="FFFFFF"/>
        <w:tabs>
          <w:tab w:val="left" w:pos="709"/>
        </w:tabs>
        <w:suppressAutoHyphens/>
        <w:ind w:left="0" w:firstLine="0"/>
        <w:jc w:val="both"/>
        <w:rPr>
          <w:sz w:val="20"/>
          <w:szCs w:val="21"/>
        </w:rPr>
      </w:pPr>
      <w:r w:rsidRPr="00892A2A">
        <w:rPr>
          <w:sz w:val="20"/>
        </w:rPr>
        <w:t>En 2016/17, el aumento en la dotación global de recursos (recursos de personal y no relativos a personal) con respecto al presupuesto de 2014/</w:t>
      </w:r>
      <w:r>
        <w:rPr>
          <w:sz w:val="20"/>
        </w:rPr>
        <w:t>15 tras las</w:t>
      </w:r>
      <w:r w:rsidRPr="00892A2A">
        <w:rPr>
          <w:sz w:val="20"/>
        </w:rPr>
        <w:t xml:space="preserve"> transferencias refleja la transferencia de responsabilidades del desarrollo y la puesta en marcha de la plataforma de software del WCC y el apoyo consiguiente a las organizaciones de gestión colectiva desde el programa 3 (Derecho de autor y derechos conexos) a este programa.  Por otra parte, dicho aumento refleja los recursos de personal adicionales procedentes del programa 12 para reforzar el apoyo a las Oficinas de P.I. de todo el mundo.</w:t>
      </w:r>
    </w:p>
    <w:p w:rsidR="00236E18" w:rsidRPr="002F1327" w:rsidRDefault="00236E18" w:rsidP="00236E18">
      <w:pPr>
        <w:rPr>
          <w:highlight w:val="lightGray"/>
        </w:rPr>
      </w:pPr>
    </w:p>
    <w:p w:rsidR="00236E18" w:rsidRPr="00E61A24" w:rsidRDefault="00236E18" w:rsidP="00236E18">
      <w:pPr>
        <w:shd w:val="clear" w:color="auto" w:fill="FFFFFF"/>
        <w:tabs>
          <w:tab w:val="left" w:pos="709"/>
        </w:tabs>
        <w:suppressAutoHyphens/>
        <w:jc w:val="both"/>
        <w:rPr>
          <w:sz w:val="20"/>
          <w:highlight w:val="lightGray"/>
        </w:rPr>
      </w:pPr>
    </w:p>
    <w:p w:rsidR="00236E18" w:rsidRPr="002F1327" w:rsidRDefault="00236E18" w:rsidP="00236E18">
      <w:pPr>
        <w:keepNext/>
        <w:keepLines/>
        <w:tabs>
          <w:tab w:val="left" w:pos="1427"/>
        </w:tabs>
        <w:jc w:val="center"/>
        <w:rPr>
          <w:sz w:val="20"/>
          <w:lang w:val="es-ES_tradnl" w:eastAsia="en-US"/>
        </w:rPr>
      </w:pPr>
      <w:r w:rsidRPr="002F1327">
        <w:rPr>
          <w:b/>
          <w:sz w:val="20"/>
          <w:lang w:val="es-ES_tradnl" w:eastAsia="en-US"/>
        </w:rPr>
        <w:lastRenderedPageBreak/>
        <w:t>Programa 15</w:t>
      </w:r>
      <w:proofErr w:type="gramStart"/>
      <w:r w:rsidRPr="002F1327">
        <w:rPr>
          <w:b/>
          <w:sz w:val="20"/>
          <w:lang w:val="es-ES_tradnl" w:eastAsia="en-US"/>
        </w:rPr>
        <w:t>:  Recursos</w:t>
      </w:r>
      <w:proofErr w:type="gramEnd"/>
      <w:r w:rsidRPr="002F1327">
        <w:rPr>
          <w:b/>
          <w:sz w:val="20"/>
          <w:lang w:val="es-ES_tradnl" w:eastAsia="en-US"/>
        </w:rPr>
        <w:t xml:space="preserve"> por resultado</w:t>
      </w:r>
    </w:p>
    <w:p w:rsidR="00236E18" w:rsidRPr="002F1327" w:rsidRDefault="00236E18" w:rsidP="00236E18">
      <w:pPr>
        <w:keepNext/>
        <w:keepLines/>
        <w:tabs>
          <w:tab w:val="left" w:pos="1427"/>
        </w:tabs>
        <w:jc w:val="center"/>
        <w:rPr>
          <w:highlight w:val="lightGray"/>
          <w:lang w:val="es-ES_tradnl" w:eastAsia="en-US"/>
        </w:rPr>
      </w:pPr>
      <w:r w:rsidRPr="002F1327">
        <w:rPr>
          <w:i/>
          <w:sz w:val="20"/>
          <w:lang w:val="es-ES_tradnl" w:eastAsia="en-US"/>
        </w:rPr>
        <w:t>(</w:t>
      </w:r>
      <w:proofErr w:type="gramStart"/>
      <w:r w:rsidRPr="002F1327">
        <w:rPr>
          <w:i/>
          <w:sz w:val="20"/>
          <w:lang w:val="es-ES_tradnl" w:eastAsia="en-US"/>
        </w:rPr>
        <w:t>en</w:t>
      </w:r>
      <w:proofErr w:type="gramEnd"/>
      <w:r w:rsidRPr="002F1327">
        <w:rPr>
          <w:i/>
          <w:sz w:val="20"/>
          <w:lang w:val="es-ES_tradnl" w:eastAsia="en-US"/>
        </w:rPr>
        <w:t xml:space="preserve"> miles de francos suizos)</w:t>
      </w:r>
    </w:p>
    <w:p w:rsidR="00236E18" w:rsidRPr="00810964" w:rsidRDefault="00236E18" w:rsidP="00236E18">
      <w:pPr>
        <w:keepNext/>
        <w:keepLines/>
        <w:rPr>
          <w:highlight w:val="lightGray"/>
          <w:lang w:val="es-ES_tradnl"/>
        </w:rPr>
      </w:pPr>
    </w:p>
    <w:p w:rsidR="00236E18" w:rsidRPr="0025311B" w:rsidRDefault="00236E18" w:rsidP="00236E18">
      <w:pPr>
        <w:keepNext/>
        <w:keepLines/>
        <w:jc w:val="center"/>
        <w:rPr>
          <w:highlight w:val="lightGray"/>
        </w:rPr>
      </w:pPr>
      <w:r w:rsidRPr="00037E5E">
        <w:rPr>
          <w:noProof/>
          <w:lang w:val="en-US" w:eastAsia="en-US"/>
        </w:rPr>
        <w:drawing>
          <wp:inline distT="0" distB="0" distL="0" distR="0" wp14:anchorId="571B163F" wp14:editId="4531450E">
            <wp:extent cx="5676900" cy="1572895"/>
            <wp:effectExtent l="0" t="0" r="0" b="8255"/>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676900" cy="1572895"/>
                    </a:xfrm>
                    <a:prstGeom prst="rect">
                      <a:avLst/>
                    </a:prstGeom>
                    <a:noFill/>
                    <a:ln>
                      <a:noFill/>
                    </a:ln>
                  </pic:spPr>
                </pic:pic>
              </a:graphicData>
            </a:graphic>
          </wp:inline>
        </w:drawing>
      </w:r>
    </w:p>
    <w:p w:rsidR="00236E18" w:rsidRPr="0025311B" w:rsidRDefault="00236E18" w:rsidP="00236E18">
      <w:pPr>
        <w:keepNext/>
        <w:keepLines/>
        <w:rPr>
          <w:sz w:val="20"/>
          <w:highlight w:val="lightGray"/>
        </w:rPr>
      </w:pPr>
    </w:p>
    <w:p w:rsidR="00236E18" w:rsidRPr="005012AC" w:rsidRDefault="00236E18" w:rsidP="00236E18">
      <w:pPr>
        <w:keepNext/>
        <w:keepLines/>
        <w:tabs>
          <w:tab w:val="left" w:pos="1427"/>
        </w:tabs>
        <w:jc w:val="center"/>
        <w:rPr>
          <w:sz w:val="20"/>
          <w:lang w:val="es-ES_tradnl" w:eastAsia="en-US"/>
        </w:rPr>
      </w:pPr>
      <w:r w:rsidRPr="005012AC">
        <w:rPr>
          <w:b/>
          <w:sz w:val="20"/>
          <w:lang w:val="es-ES_tradnl" w:eastAsia="en-US"/>
        </w:rPr>
        <w:t>Programa 15</w:t>
      </w:r>
      <w:proofErr w:type="gramStart"/>
      <w:r w:rsidRPr="005012AC">
        <w:rPr>
          <w:b/>
          <w:sz w:val="20"/>
          <w:lang w:val="es-ES_tradnl" w:eastAsia="en-US"/>
        </w:rPr>
        <w:t>:  Recursos</w:t>
      </w:r>
      <w:proofErr w:type="gramEnd"/>
      <w:r w:rsidRPr="005012AC">
        <w:rPr>
          <w:b/>
          <w:sz w:val="20"/>
          <w:lang w:val="es-ES_tradnl" w:eastAsia="en-US"/>
        </w:rPr>
        <w:t xml:space="preserve"> por objeto de gasto</w:t>
      </w:r>
    </w:p>
    <w:p w:rsidR="00236E18" w:rsidRPr="005012AC" w:rsidRDefault="00236E18" w:rsidP="00236E18">
      <w:pPr>
        <w:keepNext/>
        <w:keepLines/>
        <w:tabs>
          <w:tab w:val="left" w:pos="1427"/>
        </w:tabs>
        <w:jc w:val="center"/>
        <w:rPr>
          <w:highlight w:val="lightGray"/>
          <w:lang w:val="es-ES_tradnl" w:eastAsia="en-US"/>
        </w:rPr>
      </w:pPr>
      <w:r w:rsidRPr="005012AC">
        <w:rPr>
          <w:i/>
          <w:sz w:val="20"/>
          <w:lang w:val="es-ES_tradnl" w:eastAsia="en-US"/>
        </w:rPr>
        <w:t>(</w:t>
      </w:r>
      <w:proofErr w:type="gramStart"/>
      <w:r w:rsidRPr="005012AC">
        <w:rPr>
          <w:i/>
          <w:sz w:val="20"/>
          <w:lang w:val="es-ES_tradnl" w:eastAsia="en-US"/>
        </w:rPr>
        <w:t>en</w:t>
      </w:r>
      <w:proofErr w:type="gramEnd"/>
      <w:r w:rsidRPr="005012AC">
        <w:rPr>
          <w:i/>
          <w:sz w:val="20"/>
          <w:lang w:val="es-ES_tradnl" w:eastAsia="en-US"/>
        </w:rPr>
        <w:t xml:space="preserve"> miles de francos suizos)</w:t>
      </w:r>
    </w:p>
    <w:p w:rsidR="00236E18" w:rsidRPr="005012AC" w:rsidRDefault="00236E18" w:rsidP="00236E18">
      <w:pPr>
        <w:keepNext/>
        <w:keepLines/>
        <w:rPr>
          <w:sz w:val="20"/>
          <w:highlight w:val="lightGray"/>
          <w:lang w:val="es-ES_tradnl"/>
        </w:rPr>
      </w:pPr>
    </w:p>
    <w:p w:rsidR="00236E18" w:rsidRPr="009B4A78" w:rsidRDefault="00236E18" w:rsidP="00236E18">
      <w:pPr>
        <w:jc w:val="center"/>
        <w:rPr>
          <w:sz w:val="20"/>
        </w:rPr>
      </w:pPr>
      <w:r>
        <w:rPr>
          <w:noProof/>
          <w:lang w:val="en-US" w:eastAsia="en-US"/>
        </w:rPr>
        <w:drawing>
          <wp:inline distT="0" distB="0" distL="0" distR="0" wp14:anchorId="6A637AD7" wp14:editId="056C716F">
            <wp:extent cx="5940425" cy="6157479"/>
            <wp:effectExtent l="0" t="0" r="3175" b="0"/>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940425" cy="6157479"/>
                    </a:xfrm>
                    <a:prstGeom prst="rect">
                      <a:avLst/>
                    </a:prstGeom>
                    <a:noFill/>
                    <a:ln>
                      <a:noFill/>
                    </a:ln>
                  </pic:spPr>
                </pic:pic>
              </a:graphicData>
            </a:graphic>
          </wp:inline>
        </w:drawing>
      </w:r>
    </w:p>
    <w:p w:rsidR="00236E18" w:rsidRDefault="00236E18" w:rsidP="00236E18">
      <w:pPr>
        <w:shd w:val="clear" w:color="auto" w:fill="FFFFFF"/>
        <w:tabs>
          <w:tab w:val="left" w:pos="709"/>
        </w:tabs>
        <w:suppressAutoHyphens/>
        <w:jc w:val="both"/>
        <w:rPr>
          <w:sz w:val="20"/>
          <w:szCs w:val="21"/>
          <w:lang w:val="en-US"/>
        </w:rPr>
      </w:pPr>
    </w:p>
    <w:p w:rsidR="00236E18" w:rsidRDefault="00236E18" w:rsidP="00236E18">
      <w:pPr>
        <w:rPr>
          <w:sz w:val="20"/>
          <w:szCs w:val="21"/>
          <w:lang w:val="en-US"/>
        </w:rPr>
      </w:pPr>
      <w:r>
        <w:rPr>
          <w:sz w:val="20"/>
          <w:szCs w:val="21"/>
          <w:lang w:val="en-US"/>
        </w:rPr>
        <w:br w:type="page"/>
      </w:r>
    </w:p>
    <w:p w:rsidR="00236E18" w:rsidRPr="000278D6" w:rsidRDefault="00236E18" w:rsidP="00236E18">
      <w:pPr>
        <w:pStyle w:val="StyleHeading3ComplexItalic"/>
        <w:tabs>
          <w:tab w:val="clear" w:pos="1985"/>
          <w:tab w:val="left" w:pos="3119"/>
        </w:tabs>
        <w:ind w:left="3119" w:hanging="3119"/>
        <w:rPr>
          <w:rStyle w:val="StyleStyleHeading3ComplexItalicLatin12ptChar"/>
          <w:rFonts w:eastAsia="SimSun"/>
          <w:b/>
          <w:color w:val="808080"/>
          <w:lang w:val="es-ES_tradnl"/>
        </w:rPr>
      </w:pPr>
      <w:bookmarkStart w:id="85" w:name="_Toc367350592"/>
      <w:bookmarkStart w:id="86" w:name="_Toc419283261"/>
      <w:bookmarkStart w:id="87" w:name="_Toc431573560"/>
      <w:bookmarkStart w:id="88" w:name="_Toc431573961"/>
      <w:r w:rsidRPr="000278D6">
        <w:rPr>
          <w:rStyle w:val="StyleStyleHeading3ComplexItalicLatin12ptChar"/>
          <w:rFonts w:eastAsia="SimSun"/>
          <w:b/>
          <w:lang w:val="es-ES_tradnl"/>
        </w:rPr>
        <w:lastRenderedPageBreak/>
        <w:t>META ESTRATÉGICA V</w:t>
      </w:r>
      <w:r w:rsidRPr="000278D6">
        <w:rPr>
          <w:rStyle w:val="StyleStyleHeading3ComplexItalicLatin12ptChar"/>
          <w:rFonts w:eastAsia="SimSun"/>
          <w:b/>
          <w:lang w:val="es-ES_tradnl"/>
        </w:rPr>
        <w:tab/>
      </w:r>
      <w:bookmarkEnd w:id="85"/>
      <w:bookmarkEnd w:id="86"/>
      <w:r w:rsidRPr="000278D6">
        <w:rPr>
          <w:rStyle w:val="StyleStyleHeading3ComplexItalicLatin12ptChar"/>
          <w:rFonts w:eastAsia="SimSun"/>
          <w:b/>
          <w:lang w:val="es-ES_tradnl"/>
        </w:rPr>
        <w:t>FUENTE DE REFERENCIA EN EL MUNDO DE INFORMACIÓN Y ANÁLISIS EN MATERIA DE P.I.</w:t>
      </w:r>
      <w:bookmarkEnd w:id="87"/>
      <w:bookmarkEnd w:id="88"/>
    </w:p>
    <w:p w:rsidR="00236E18" w:rsidRPr="00336FF1" w:rsidRDefault="00236E18" w:rsidP="00236E18">
      <w:pPr>
        <w:tabs>
          <w:tab w:val="left" w:pos="1701"/>
        </w:tabs>
        <w:ind w:left="1701" w:hanging="1701"/>
        <w:jc w:val="center"/>
        <w:rPr>
          <w:b/>
          <w:bCs/>
          <w:caps/>
          <w:szCs w:val="24"/>
          <w:lang w:val="es-ES_tradnl"/>
        </w:rPr>
      </w:pPr>
    </w:p>
    <w:p w:rsidR="00236E18" w:rsidRPr="00336FF1" w:rsidRDefault="00236E18" w:rsidP="00236E18">
      <w:pPr>
        <w:tabs>
          <w:tab w:val="left" w:pos="1701"/>
        </w:tabs>
        <w:ind w:left="1701" w:hanging="1701"/>
        <w:jc w:val="center"/>
        <w:rPr>
          <w:b/>
          <w:bCs/>
          <w:caps/>
          <w:szCs w:val="24"/>
          <w:highlight w:val="lightGray"/>
          <w:lang w:val="es-ES_tradnl"/>
        </w:rPr>
      </w:pPr>
    </w:p>
    <w:p w:rsidR="00236E18" w:rsidRPr="00336FF1" w:rsidRDefault="00236E18" w:rsidP="00236E18">
      <w:pPr>
        <w:jc w:val="both"/>
        <w:rPr>
          <w:sz w:val="20"/>
          <w:highlight w:val="lightGray"/>
          <w:lang w:val="es-ES_tradnl"/>
        </w:rPr>
      </w:pPr>
      <w:r w:rsidRPr="00245E53">
        <w:rPr>
          <w:sz w:val="20"/>
          <w:lang w:val="es-ES_tradnl"/>
        </w:rPr>
        <w:t>En la OMPI se crean y se mantienen destacadas colecciones de información sobre tecnología divulgada, datos sobre marcas e información técnica y jurídica del ámbito de la P.I.  Esas colecciones reflejan lo que sucede en sectores importantes de la economía y en el sistema de P.I.;  su valor es inmenso para los encargados de la adopción de políticas, el sector industrial, las empresas y otros usuarios del sistema de P.I., además del público interesado.  Ese valor ha sido reconocido también en la Agenda para el Desarrollo, en cuyo marco se insta a la OMPI a que realice análisis y estudios económicos de base empírica.</w:t>
      </w:r>
    </w:p>
    <w:p w:rsidR="00236E18" w:rsidRPr="00336FF1" w:rsidRDefault="00236E18" w:rsidP="00236E18">
      <w:pPr>
        <w:autoSpaceDE w:val="0"/>
        <w:autoSpaceDN w:val="0"/>
        <w:adjustRightInd w:val="0"/>
        <w:spacing w:before="120"/>
        <w:jc w:val="both"/>
        <w:rPr>
          <w:sz w:val="20"/>
          <w:highlight w:val="lightGray"/>
          <w:lang w:val="es-ES_tradnl"/>
        </w:rPr>
      </w:pPr>
      <w:r w:rsidRPr="00245E53">
        <w:rPr>
          <w:sz w:val="20"/>
          <w:lang w:val="es-ES_tradnl"/>
        </w:rPr>
        <w:t>Sin embargo, el valor referencial de las colecciones de datos de la OMPI depende de que esas colecciones sean exactas, estén actualizadas y respondan a las necesidades de los sectores interesados, además de ser de acceso libre y universal.  La OMPI se encuentra en una posición de privilegio para servir de anfitrión de las colecciones de información sobre P.I. más vastas y valiosas del mundo y crear un portal de acceso a ellas.  En el marco de esta meta estratégica, la OMPI procurará aprovechar el potencial que le da esa posición de privilegio.</w:t>
      </w:r>
    </w:p>
    <w:p w:rsidR="00236E18" w:rsidRPr="00336FF1" w:rsidRDefault="00236E18" w:rsidP="00236E18">
      <w:pPr>
        <w:tabs>
          <w:tab w:val="left" w:pos="1701"/>
        </w:tabs>
        <w:ind w:left="1701" w:hanging="1701"/>
        <w:rPr>
          <w:bCs/>
          <w:caps/>
          <w:sz w:val="20"/>
          <w:highlight w:val="lightGray"/>
          <w:lang w:val="es-ES_tradnl"/>
        </w:rPr>
      </w:pPr>
    </w:p>
    <w:p w:rsidR="00236E18" w:rsidRPr="00336FF1" w:rsidRDefault="00236E18" w:rsidP="00236E18">
      <w:pPr>
        <w:rPr>
          <w:bCs/>
          <w:sz w:val="20"/>
          <w:highlight w:val="lightGray"/>
          <w:lang w:val="es-ES_tradn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14"/>
        <w:gridCol w:w="2723"/>
        <w:gridCol w:w="3056"/>
      </w:tblGrid>
      <w:tr w:rsidR="00236E18" w:rsidRPr="00245E53" w:rsidTr="00294272">
        <w:trPr>
          <w:cantSplit/>
          <w:trHeight w:val="470"/>
        </w:trPr>
        <w:tc>
          <w:tcPr>
            <w:tcW w:w="1891" w:type="pct"/>
            <w:tcBorders>
              <w:top w:val="single" w:sz="4" w:space="0" w:color="auto"/>
              <w:bottom w:val="single" w:sz="4" w:space="0" w:color="auto"/>
            </w:tcBorders>
            <w:shd w:val="clear" w:color="auto" w:fill="C6D9F1" w:themeFill="text2" w:themeFillTint="33"/>
            <w:tcMar>
              <w:top w:w="113" w:type="dxa"/>
              <w:bottom w:w="85" w:type="dxa"/>
            </w:tcMar>
            <w:vAlign w:val="center"/>
          </w:tcPr>
          <w:p w:rsidR="00236E18" w:rsidRPr="00245E53" w:rsidRDefault="00236E18" w:rsidP="00294272">
            <w:pPr>
              <w:spacing w:after="120"/>
              <w:jc w:val="center"/>
              <w:rPr>
                <w:b/>
                <w:bCs/>
                <w:sz w:val="18"/>
                <w:szCs w:val="18"/>
              </w:rPr>
            </w:pPr>
            <w:r w:rsidRPr="00245E53">
              <w:rPr>
                <w:b/>
                <w:bCs/>
                <w:sz w:val="18"/>
                <w:szCs w:val="18"/>
                <w:lang w:val="es-ES_tradnl"/>
              </w:rPr>
              <w:t>Resultados previstos</w:t>
            </w:r>
          </w:p>
        </w:tc>
        <w:tc>
          <w:tcPr>
            <w:tcW w:w="1465" w:type="pct"/>
            <w:tcBorders>
              <w:top w:val="single" w:sz="4" w:space="0" w:color="auto"/>
              <w:bottom w:val="single" w:sz="4" w:space="0" w:color="auto"/>
            </w:tcBorders>
            <w:shd w:val="clear" w:color="auto" w:fill="C6D9F1" w:themeFill="text2" w:themeFillTint="33"/>
            <w:tcMar>
              <w:top w:w="113" w:type="dxa"/>
              <w:bottom w:w="85" w:type="dxa"/>
            </w:tcMar>
            <w:vAlign w:val="center"/>
          </w:tcPr>
          <w:p w:rsidR="00236E18" w:rsidRPr="00245E53" w:rsidRDefault="00236E18" w:rsidP="00294272">
            <w:pPr>
              <w:spacing w:after="120"/>
              <w:jc w:val="center"/>
              <w:rPr>
                <w:b/>
                <w:bCs/>
                <w:sz w:val="18"/>
                <w:szCs w:val="18"/>
              </w:rPr>
            </w:pPr>
            <w:r w:rsidRPr="00245E53">
              <w:rPr>
                <w:b/>
                <w:bCs/>
                <w:sz w:val="18"/>
                <w:szCs w:val="18"/>
                <w:lang w:val="es-ES_tradnl"/>
              </w:rPr>
              <w:t>Indicadores de rendimiento</w:t>
            </w:r>
          </w:p>
        </w:tc>
        <w:tc>
          <w:tcPr>
            <w:tcW w:w="1644" w:type="pct"/>
            <w:tcBorders>
              <w:top w:val="single" w:sz="4" w:space="0" w:color="auto"/>
              <w:bottom w:val="single" w:sz="4" w:space="0" w:color="auto"/>
            </w:tcBorders>
            <w:shd w:val="clear" w:color="auto" w:fill="C6D9F1" w:themeFill="text2" w:themeFillTint="33"/>
            <w:tcMar>
              <w:top w:w="113" w:type="dxa"/>
              <w:bottom w:w="85" w:type="dxa"/>
            </w:tcMar>
            <w:vAlign w:val="center"/>
          </w:tcPr>
          <w:p w:rsidR="00236E18" w:rsidRPr="00245E53" w:rsidRDefault="00236E18" w:rsidP="00294272">
            <w:pPr>
              <w:spacing w:after="120"/>
              <w:ind w:left="85"/>
              <w:jc w:val="center"/>
              <w:rPr>
                <w:b/>
                <w:bCs/>
                <w:sz w:val="18"/>
                <w:szCs w:val="18"/>
              </w:rPr>
            </w:pPr>
            <w:r w:rsidRPr="00245E53">
              <w:rPr>
                <w:b/>
                <w:bCs/>
                <w:sz w:val="18"/>
                <w:szCs w:val="18"/>
                <w:lang w:val="es-ES_tradnl"/>
              </w:rPr>
              <w:t>Programas responsables</w:t>
            </w:r>
          </w:p>
        </w:tc>
      </w:tr>
      <w:tr w:rsidR="00236E18" w:rsidRPr="00245E53" w:rsidTr="00294272">
        <w:trPr>
          <w:cantSplit/>
        </w:trPr>
        <w:tc>
          <w:tcPr>
            <w:tcW w:w="1891" w:type="pct"/>
            <w:tcBorders>
              <w:top w:val="single" w:sz="4" w:space="0" w:color="auto"/>
            </w:tcBorders>
            <w:shd w:val="clear" w:color="auto" w:fill="auto"/>
            <w:tcMar>
              <w:top w:w="113" w:type="dxa"/>
              <w:bottom w:w="85" w:type="dxa"/>
            </w:tcMar>
          </w:tcPr>
          <w:p w:rsidR="00236E18" w:rsidRPr="00037E5E" w:rsidRDefault="00236E18" w:rsidP="00294272">
            <w:pPr>
              <w:rPr>
                <w:sz w:val="16"/>
                <w:szCs w:val="16"/>
              </w:rPr>
            </w:pPr>
            <w:r w:rsidRPr="00037E5E">
              <w:rPr>
                <w:sz w:val="16"/>
                <w:szCs w:val="16"/>
              </w:rPr>
              <w:t xml:space="preserve">V.1  </w:t>
            </w:r>
            <w:r w:rsidRPr="00037E5E">
              <w:rPr>
                <w:sz w:val="16"/>
                <w:szCs w:val="16"/>
                <w:lang w:val="es-ES_tradnl"/>
              </w:rPr>
              <w:t>Mayor y mejor utilización de la información estadística de la OMPI en materia de P.I.</w:t>
            </w:r>
          </w:p>
        </w:tc>
        <w:tc>
          <w:tcPr>
            <w:tcW w:w="1465" w:type="pct"/>
            <w:tcBorders>
              <w:top w:val="single" w:sz="4" w:space="0" w:color="auto"/>
            </w:tcBorders>
            <w:shd w:val="clear" w:color="auto" w:fill="auto"/>
            <w:tcMar>
              <w:top w:w="113" w:type="dxa"/>
              <w:bottom w:w="85" w:type="dxa"/>
            </w:tcMar>
          </w:tcPr>
          <w:p w:rsidR="00236E18" w:rsidRPr="00245E53" w:rsidRDefault="00236E18" w:rsidP="00294272">
            <w:pPr>
              <w:rPr>
                <w:sz w:val="16"/>
                <w:szCs w:val="16"/>
              </w:rPr>
            </w:pPr>
            <w:r w:rsidRPr="00245E53">
              <w:rPr>
                <w:sz w:val="16"/>
                <w:szCs w:val="16"/>
                <w:lang w:val="es-ES_tradnl"/>
              </w:rPr>
              <w:t>N</w:t>
            </w:r>
            <w:r>
              <w:rPr>
                <w:sz w:val="16"/>
                <w:szCs w:val="16"/>
                <w:lang w:val="es-ES_tradnl"/>
              </w:rPr>
              <w:t>º</w:t>
            </w:r>
            <w:r w:rsidRPr="00245E53">
              <w:rPr>
                <w:sz w:val="16"/>
                <w:szCs w:val="16"/>
                <w:lang w:val="es-ES_tradnl"/>
              </w:rPr>
              <w:t xml:space="preserve"> de búsquedas en el Centro de Datos Estadísticos de P.I.</w:t>
            </w:r>
          </w:p>
        </w:tc>
        <w:tc>
          <w:tcPr>
            <w:tcW w:w="1644" w:type="pct"/>
            <w:tcBorders>
              <w:top w:val="single" w:sz="4" w:space="0" w:color="auto"/>
            </w:tcBorders>
            <w:shd w:val="clear" w:color="auto" w:fill="FFFFFF"/>
            <w:tcMar>
              <w:top w:w="113" w:type="dxa"/>
              <w:bottom w:w="85" w:type="dxa"/>
            </w:tcMar>
          </w:tcPr>
          <w:p w:rsidR="00236E18" w:rsidRPr="00245E53" w:rsidRDefault="00236E18" w:rsidP="00294272">
            <w:pPr>
              <w:ind w:left="768"/>
              <w:rPr>
                <w:sz w:val="16"/>
                <w:szCs w:val="16"/>
              </w:rPr>
            </w:pPr>
            <w:r w:rsidRPr="00245E53">
              <w:rPr>
                <w:sz w:val="16"/>
                <w:szCs w:val="16"/>
                <w:lang w:bidi="th-TH"/>
              </w:rPr>
              <w:t>Programa 16</w:t>
            </w:r>
          </w:p>
        </w:tc>
      </w:tr>
      <w:tr w:rsidR="00236E18" w:rsidRPr="00245E53" w:rsidTr="00294272">
        <w:trPr>
          <w:cantSplit/>
          <w:trHeight w:val="500"/>
        </w:trPr>
        <w:tc>
          <w:tcPr>
            <w:tcW w:w="1891" w:type="pct"/>
            <w:shd w:val="clear" w:color="auto" w:fill="auto"/>
            <w:tcMar>
              <w:top w:w="113" w:type="dxa"/>
              <w:bottom w:w="85" w:type="dxa"/>
            </w:tcMar>
          </w:tcPr>
          <w:p w:rsidR="00236E18" w:rsidRPr="00037E5E" w:rsidRDefault="00236E18" w:rsidP="00294272">
            <w:pPr>
              <w:rPr>
                <w:sz w:val="16"/>
                <w:szCs w:val="16"/>
              </w:rPr>
            </w:pPr>
          </w:p>
        </w:tc>
        <w:tc>
          <w:tcPr>
            <w:tcW w:w="1465" w:type="pct"/>
            <w:shd w:val="clear" w:color="auto" w:fill="auto"/>
            <w:tcMar>
              <w:top w:w="113" w:type="dxa"/>
              <w:bottom w:w="85" w:type="dxa"/>
            </w:tcMar>
          </w:tcPr>
          <w:p w:rsidR="00236E18" w:rsidRPr="00245E53" w:rsidRDefault="00236E18" w:rsidP="00294272">
            <w:pPr>
              <w:rPr>
                <w:sz w:val="16"/>
                <w:szCs w:val="16"/>
              </w:rPr>
            </w:pPr>
            <w:r w:rsidRPr="00245E53">
              <w:rPr>
                <w:sz w:val="16"/>
                <w:szCs w:val="16"/>
              </w:rPr>
              <w:t>N</w:t>
            </w:r>
            <w:r>
              <w:rPr>
                <w:sz w:val="16"/>
                <w:szCs w:val="16"/>
              </w:rPr>
              <w:t>º</w:t>
            </w:r>
            <w:r w:rsidRPr="00245E53">
              <w:rPr>
                <w:sz w:val="16"/>
                <w:szCs w:val="16"/>
              </w:rPr>
              <w:t xml:space="preserve"> de descargas de los informes estadísticos anuales en el plazo de 6 meses desde su publicación</w:t>
            </w:r>
          </w:p>
        </w:tc>
        <w:tc>
          <w:tcPr>
            <w:tcW w:w="1644" w:type="pct"/>
            <w:shd w:val="clear" w:color="auto" w:fill="FFFFFF"/>
            <w:tcMar>
              <w:top w:w="113" w:type="dxa"/>
              <w:bottom w:w="85" w:type="dxa"/>
            </w:tcMar>
          </w:tcPr>
          <w:p w:rsidR="00236E18" w:rsidRPr="00245E53" w:rsidRDefault="00236E18" w:rsidP="00294272">
            <w:pPr>
              <w:ind w:left="768"/>
              <w:rPr>
                <w:sz w:val="16"/>
                <w:szCs w:val="16"/>
              </w:rPr>
            </w:pPr>
            <w:r w:rsidRPr="00245E53">
              <w:rPr>
                <w:sz w:val="16"/>
                <w:szCs w:val="16"/>
                <w:lang w:bidi="th-TH"/>
              </w:rPr>
              <w:t>Programa 16</w:t>
            </w:r>
          </w:p>
        </w:tc>
      </w:tr>
      <w:tr w:rsidR="00236E18" w:rsidRPr="00245E53" w:rsidTr="00294272">
        <w:trPr>
          <w:cantSplit/>
          <w:trHeight w:val="500"/>
        </w:trPr>
        <w:tc>
          <w:tcPr>
            <w:tcW w:w="1891" w:type="pct"/>
            <w:shd w:val="clear" w:color="auto" w:fill="auto"/>
            <w:tcMar>
              <w:top w:w="113" w:type="dxa"/>
              <w:bottom w:w="85" w:type="dxa"/>
            </w:tcMar>
          </w:tcPr>
          <w:p w:rsidR="00236E18" w:rsidRPr="00037E5E" w:rsidRDefault="00236E18" w:rsidP="00294272">
            <w:pPr>
              <w:rPr>
                <w:sz w:val="16"/>
                <w:szCs w:val="16"/>
              </w:rPr>
            </w:pPr>
          </w:p>
        </w:tc>
        <w:tc>
          <w:tcPr>
            <w:tcW w:w="1465" w:type="pct"/>
            <w:shd w:val="clear" w:color="auto" w:fill="auto"/>
            <w:tcMar>
              <w:top w:w="113" w:type="dxa"/>
              <w:bottom w:w="85" w:type="dxa"/>
            </w:tcMar>
          </w:tcPr>
          <w:p w:rsidR="00236E18" w:rsidRPr="00245E53" w:rsidRDefault="00236E18" w:rsidP="00294272">
            <w:pPr>
              <w:rPr>
                <w:sz w:val="16"/>
                <w:szCs w:val="16"/>
              </w:rPr>
            </w:pPr>
            <w:r w:rsidRPr="00245E53">
              <w:rPr>
                <w:sz w:val="16"/>
                <w:szCs w:val="16"/>
              </w:rPr>
              <w:t xml:space="preserve">La diferencia entre las previsiones de enero y el número real de solicitudes PCT, Madrid y </w:t>
            </w:r>
            <w:r>
              <w:rPr>
                <w:sz w:val="16"/>
                <w:szCs w:val="16"/>
              </w:rPr>
              <w:t>La Haya</w:t>
            </w:r>
            <w:r w:rsidRPr="00245E53">
              <w:rPr>
                <w:sz w:val="16"/>
                <w:szCs w:val="16"/>
              </w:rPr>
              <w:t xml:space="preserve"> presentadas se mantiene dentro de los límites.</w:t>
            </w:r>
          </w:p>
        </w:tc>
        <w:tc>
          <w:tcPr>
            <w:tcW w:w="1644" w:type="pct"/>
            <w:shd w:val="clear" w:color="auto" w:fill="FFFFFF"/>
            <w:tcMar>
              <w:top w:w="113" w:type="dxa"/>
              <w:bottom w:w="85" w:type="dxa"/>
            </w:tcMar>
          </w:tcPr>
          <w:p w:rsidR="00236E18" w:rsidRPr="00245E53" w:rsidRDefault="00236E18" w:rsidP="00294272">
            <w:pPr>
              <w:ind w:left="768"/>
              <w:rPr>
                <w:sz w:val="16"/>
                <w:szCs w:val="16"/>
                <w:lang w:bidi="th-TH"/>
              </w:rPr>
            </w:pPr>
            <w:r w:rsidRPr="00245E53">
              <w:rPr>
                <w:sz w:val="16"/>
                <w:szCs w:val="16"/>
                <w:lang w:bidi="th-TH"/>
              </w:rPr>
              <w:t>Programa 16</w:t>
            </w:r>
          </w:p>
        </w:tc>
      </w:tr>
      <w:tr w:rsidR="00236E18" w:rsidRPr="00245E53" w:rsidTr="00294272">
        <w:trPr>
          <w:cantSplit/>
          <w:trHeight w:val="522"/>
        </w:trPr>
        <w:tc>
          <w:tcPr>
            <w:tcW w:w="1891" w:type="pct"/>
            <w:shd w:val="clear" w:color="auto" w:fill="auto"/>
            <w:tcMar>
              <w:top w:w="113" w:type="dxa"/>
              <w:bottom w:w="85" w:type="dxa"/>
            </w:tcMar>
          </w:tcPr>
          <w:p w:rsidR="00236E18" w:rsidRPr="00037E5E" w:rsidRDefault="00236E18" w:rsidP="00294272">
            <w:pPr>
              <w:tabs>
                <w:tab w:val="right" w:pos="2835"/>
              </w:tabs>
              <w:spacing w:after="60"/>
              <w:rPr>
                <w:sz w:val="16"/>
                <w:szCs w:val="16"/>
                <w:lang w:val="es-ES_tradnl"/>
              </w:rPr>
            </w:pPr>
            <w:r w:rsidRPr="00037E5E">
              <w:rPr>
                <w:sz w:val="16"/>
                <w:szCs w:val="16"/>
                <w:lang w:val="es-ES_tradnl"/>
              </w:rPr>
              <w:t>V.2</w:t>
            </w:r>
            <w:r w:rsidRPr="00037E5E">
              <w:rPr>
                <w:sz w:val="15"/>
                <w:szCs w:val="15"/>
                <w:lang w:val="es-ES_tradnl"/>
              </w:rPr>
              <w:t xml:space="preserve">  </w:t>
            </w:r>
            <w:r w:rsidRPr="00037E5E">
              <w:rPr>
                <w:sz w:val="16"/>
                <w:szCs w:val="16"/>
                <w:lang w:val="es-ES_tradnl"/>
              </w:rPr>
              <w:t>Uso más amplio y mejor de los análisis económicos de la OMPI en la formulación de políticas</w:t>
            </w:r>
          </w:p>
        </w:tc>
        <w:tc>
          <w:tcPr>
            <w:tcW w:w="1465" w:type="pct"/>
            <w:shd w:val="clear" w:color="auto" w:fill="auto"/>
            <w:tcMar>
              <w:top w:w="113" w:type="dxa"/>
              <w:bottom w:w="85" w:type="dxa"/>
            </w:tcMar>
          </w:tcPr>
          <w:p w:rsidR="00236E18" w:rsidRPr="00245E53" w:rsidRDefault="00236E18" w:rsidP="00294272">
            <w:pPr>
              <w:rPr>
                <w:sz w:val="16"/>
                <w:szCs w:val="16"/>
              </w:rPr>
            </w:pPr>
            <w:r w:rsidRPr="00245E53">
              <w:rPr>
                <w:sz w:val="16"/>
                <w:szCs w:val="16"/>
              </w:rPr>
              <w:t>N</w:t>
            </w:r>
            <w:r>
              <w:rPr>
                <w:sz w:val="16"/>
                <w:szCs w:val="16"/>
              </w:rPr>
              <w:t>º</w:t>
            </w:r>
            <w:r w:rsidRPr="00245E53">
              <w:rPr>
                <w:sz w:val="16"/>
                <w:szCs w:val="16"/>
              </w:rPr>
              <w:t xml:space="preserve"> de visitas por año </w:t>
            </w:r>
            <w:r>
              <w:rPr>
                <w:sz w:val="16"/>
                <w:szCs w:val="16"/>
              </w:rPr>
              <w:t>a</w:t>
            </w:r>
            <w:r w:rsidRPr="00245E53">
              <w:rPr>
                <w:sz w:val="16"/>
                <w:szCs w:val="16"/>
              </w:rPr>
              <w:t xml:space="preserve"> los sitios web del Índice Mundial de Innovación</w:t>
            </w:r>
          </w:p>
        </w:tc>
        <w:tc>
          <w:tcPr>
            <w:tcW w:w="1644" w:type="pct"/>
            <w:shd w:val="clear" w:color="auto" w:fill="FFFFFF"/>
            <w:tcMar>
              <w:top w:w="113" w:type="dxa"/>
              <w:bottom w:w="85" w:type="dxa"/>
            </w:tcMar>
          </w:tcPr>
          <w:p w:rsidR="00236E18" w:rsidRPr="00245E53" w:rsidRDefault="00236E18" w:rsidP="00294272">
            <w:pPr>
              <w:ind w:left="768"/>
              <w:rPr>
                <w:sz w:val="16"/>
                <w:szCs w:val="16"/>
              </w:rPr>
            </w:pPr>
            <w:r w:rsidRPr="00245E53">
              <w:rPr>
                <w:sz w:val="16"/>
                <w:szCs w:val="16"/>
                <w:lang w:bidi="th-TH"/>
              </w:rPr>
              <w:t>Programa 16</w:t>
            </w:r>
          </w:p>
        </w:tc>
      </w:tr>
      <w:tr w:rsidR="00236E18" w:rsidRPr="00245E53" w:rsidTr="00294272">
        <w:trPr>
          <w:cantSplit/>
          <w:trHeight w:val="720"/>
        </w:trPr>
        <w:tc>
          <w:tcPr>
            <w:tcW w:w="1891" w:type="pct"/>
            <w:shd w:val="clear" w:color="auto" w:fill="auto"/>
            <w:tcMar>
              <w:top w:w="113" w:type="dxa"/>
              <w:bottom w:w="85" w:type="dxa"/>
            </w:tcMar>
          </w:tcPr>
          <w:p w:rsidR="00236E18" w:rsidRPr="00245E53" w:rsidRDefault="00236E18" w:rsidP="00294272">
            <w:pPr>
              <w:rPr>
                <w:sz w:val="16"/>
                <w:szCs w:val="16"/>
              </w:rPr>
            </w:pPr>
          </w:p>
        </w:tc>
        <w:tc>
          <w:tcPr>
            <w:tcW w:w="1465" w:type="pct"/>
            <w:shd w:val="clear" w:color="auto" w:fill="auto"/>
            <w:tcMar>
              <w:top w:w="113" w:type="dxa"/>
              <w:bottom w:w="85" w:type="dxa"/>
            </w:tcMar>
          </w:tcPr>
          <w:p w:rsidR="00236E18" w:rsidRPr="00245E53" w:rsidRDefault="00236E18" w:rsidP="00294272">
            <w:pPr>
              <w:rPr>
                <w:sz w:val="16"/>
                <w:szCs w:val="16"/>
              </w:rPr>
            </w:pPr>
            <w:r w:rsidRPr="00245E53">
              <w:rPr>
                <w:sz w:val="16"/>
                <w:szCs w:val="16"/>
              </w:rPr>
              <w:t>N</w:t>
            </w:r>
            <w:r>
              <w:rPr>
                <w:sz w:val="16"/>
                <w:szCs w:val="16"/>
              </w:rPr>
              <w:t>º</w:t>
            </w:r>
            <w:r w:rsidRPr="00245E53">
              <w:rPr>
                <w:sz w:val="16"/>
                <w:szCs w:val="16"/>
              </w:rPr>
              <w:t xml:space="preserve"> de descargas del Informe mundial sobre la P.I. en el plazo de 6 meses desde su publicación.</w:t>
            </w:r>
          </w:p>
        </w:tc>
        <w:tc>
          <w:tcPr>
            <w:tcW w:w="1644" w:type="pct"/>
            <w:shd w:val="clear" w:color="auto" w:fill="FFFFFF"/>
            <w:tcMar>
              <w:top w:w="113" w:type="dxa"/>
              <w:bottom w:w="85" w:type="dxa"/>
            </w:tcMar>
          </w:tcPr>
          <w:p w:rsidR="00236E18" w:rsidRPr="00245E53" w:rsidRDefault="00236E18" w:rsidP="00294272">
            <w:pPr>
              <w:ind w:left="768"/>
              <w:rPr>
                <w:sz w:val="16"/>
                <w:szCs w:val="16"/>
              </w:rPr>
            </w:pPr>
            <w:r w:rsidRPr="00245E53">
              <w:rPr>
                <w:sz w:val="16"/>
                <w:szCs w:val="16"/>
                <w:lang w:bidi="th-TH"/>
              </w:rPr>
              <w:t>Programa 16</w:t>
            </w:r>
          </w:p>
        </w:tc>
      </w:tr>
    </w:tbl>
    <w:p w:rsidR="00236E18" w:rsidRPr="00245E53" w:rsidRDefault="00236E18" w:rsidP="00236E18">
      <w:pPr>
        <w:rPr>
          <w:bCs/>
          <w:sz w:val="20"/>
        </w:rPr>
      </w:pPr>
    </w:p>
    <w:p w:rsidR="00236E18" w:rsidRDefault="00236E18" w:rsidP="00236E18">
      <w:pPr>
        <w:shd w:val="clear" w:color="auto" w:fill="FFFFFF"/>
        <w:tabs>
          <w:tab w:val="left" w:pos="709"/>
        </w:tabs>
        <w:suppressAutoHyphens/>
        <w:jc w:val="both"/>
        <w:rPr>
          <w:sz w:val="20"/>
          <w:szCs w:val="21"/>
          <w:lang w:val="en-US"/>
        </w:rPr>
      </w:pPr>
    </w:p>
    <w:p w:rsidR="00236E18" w:rsidRDefault="00236E18" w:rsidP="00236E18">
      <w:pPr>
        <w:rPr>
          <w:sz w:val="20"/>
          <w:szCs w:val="21"/>
          <w:lang w:val="en-US"/>
        </w:rPr>
      </w:pPr>
      <w:r>
        <w:rPr>
          <w:sz w:val="20"/>
          <w:szCs w:val="21"/>
          <w:lang w:val="en-US"/>
        </w:rPr>
        <w:br w:type="page"/>
      </w:r>
    </w:p>
    <w:p w:rsidR="00236E18" w:rsidRPr="004F598F" w:rsidRDefault="00236E18" w:rsidP="00236E18">
      <w:pPr>
        <w:pStyle w:val="StyleStyleHeading3ComplexItalicLatin12pt"/>
        <w:rPr>
          <w:lang w:val="es-ES"/>
        </w:rPr>
      </w:pPr>
      <w:bookmarkStart w:id="89" w:name="_Toc431573561"/>
      <w:bookmarkStart w:id="90" w:name="_Toc431573962"/>
      <w:r>
        <w:rPr>
          <w:caps w:val="0"/>
        </w:rPr>
        <w:lastRenderedPageBreak/>
        <w:t>PROGRAMA 16</w:t>
      </w:r>
      <w:r w:rsidRPr="004F598F">
        <w:rPr>
          <w:caps w:val="0"/>
        </w:rPr>
        <w:tab/>
        <w:t>ECONOMÍA Y ESTADÍSTICA</w:t>
      </w:r>
      <w:bookmarkEnd w:id="89"/>
      <w:bookmarkEnd w:id="90"/>
    </w:p>
    <w:p w:rsidR="00236E18" w:rsidRPr="004F598F" w:rsidRDefault="00236E18" w:rsidP="00236E18">
      <w:pPr>
        <w:rPr>
          <w:bCs/>
          <w:i/>
          <w:szCs w:val="22"/>
        </w:rPr>
      </w:pPr>
    </w:p>
    <w:p w:rsidR="00236E18" w:rsidRPr="004F598F" w:rsidRDefault="00236E18" w:rsidP="00236E18">
      <w:pPr>
        <w:rPr>
          <w:bCs/>
          <w:i/>
          <w:szCs w:val="22"/>
        </w:rPr>
      </w:pPr>
    </w:p>
    <w:p w:rsidR="00236E18" w:rsidRPr="004F598F" w:rsidRDefault="00236E18" w:rsidP="00236E18">
      <w:pPr>
        <w:rPr>
          <w:bCs/>
          <w:sz w:val="24"/>
          <w:szCs w:val="24"/>
        </w:rPr>
      </w:pPr>
      <w:r w:rsidRPr="004F598F">
        <w:rPr>
          <w:bCs/>
          <w:sz w:val="24"/>
          <w:szCs w:val="24"/>
          <w:lang w:val="es-ES_tradnl"/>
        </w:rPr>
        <w:t>CONTEXTO DE PLANIFICACIÓN</w:t>
      </w:r>
    </w:p>
    <w:p w:rsidR="00236E18" w:rsidRPr="004F598F" w:rsidRDefault="00236E18" w:rsidP="00236E18">
      <w:pPr>
        <w:rPr>
          <w:sz w:val="20"/>
        </w:rPr>
      </w:pPr>
    </w:p>
    <w:p w:rsidR="00236E18" w:rsidRPr="004F598F" w:rsidRDefault="00236E18" w:rsidP="00236E18">
      <w:pPr>
        <w:numPr>
          <w:ilvl w:val="0"/>
          <w:numId w:val="31"/>
        </w:numPr>
        <w:jc w:val="both"/>
        <w:rPr>
          <w:bCs/>
          <w:sz w:val="20"/>
        </w:rPr>
      </w:pPr>
      <w:r w:rsidRPr="004F598F">
        <w:rPr>
          <w:bCs/>
          <w:sz w:val="20"/>
        </w:rPr>
        <w:t>En la medida en que la recuperación de la economía mundial prosiga a un ritmo desigual, la innovación continuará siendo esencial para sustentar el crecimiento a largo plazo y fomentar el desarrollo humano.</w:t>
      </w:r>
      <w:r w:rsidRPr="004F598F">
        <w:rPr>
          <w:bCs/>
          <w:sz w:val="20"/>
          <w:lang w:val="es-ES_tradnl"/>
        </w:rPr>
        <w:t xml:space="preserve">  </w:t>
      </w:r>
      <w:r w:rsidRPr="004F598F">
        <w:rPr>
          <w:bCs/>
          <w:sz w:val="20"/>
        </w:rPr>
        <w:t>Afortunadamente, el entorno cambiante de la innovación ofrece nuevas oportunidades para poner los conocimientos al servicio de las sociedades. En particular, los países están invirtiendo más recursos que nunca en la economía del conocimiento y han surgido nuevas fuentes de innovación, especialmente en Asia.  Sin embargo, y a pesar del rápido crecimiento registrado por algunos países en desarrollo, una parte importante de la población mundial sigue sumida en la pobreza y no ha podido aprovechar los conocimientos para crear prosperidad económica.</w:t>
      </w:r>
    </w:p>
    <w:p w:rsidR="00236E18" w:rsidRPr="004F598F" w:rsidRDefault="00236E18" w:rsidP="00236E18">
      <w:pPr>
        <w:tabs>
          <w:tab w:val="num" w:pos="709"/>
        </w:tabs>
        <w:jc w:val="both"/>
        <w:rPr>
          <w:bCs/>
          <w:sz w:val="20"/>
        </w:rPr>
      </w:pPr>
    </w:p>
    <w:p w:rsidR="00236E18" w:rsidRPr="004F598F" w:rsidRDefault="00236E18" w:rsidP="00236E18">
      <w:pPr>
        <w:numPr>
          <w:ilvl w:val="0"/>
          <w:numId w:val="31"/>
        </w:numPr>
        <w:jc w:val="both"/>
        <w:rPr>
          <w:bCs/>
          <w:sz w:val="20"/>
        </w:rPr>
      </w:pPr>
      <w:r w:rsidRPr="004F598F">
        <w:rPr>
          <w:bCs/>
          <w:sz w:val="20"/>
          <w:lang w:val="es-ES_tradnl"/>
        </w:rPr>
        <w:t>En este contexto, al sistema mundial de P.I. se le plantean importantes retos.  Los responsables de la adopción de políticas se ven confrontados con una demanda continuamente creciente de derechos de P.I., nuevas tecnologías y nuevos modelos de negocios, así como la necesidad de promover un marco internacional conducente a una protección equilibrada de la P.I.  A los encargados de la adopción de políticas de los países en desarrollo incumbe además la tarea de adaptar la política de P.I. a las necesidades de sus economías, habida cuenta de sus diferentes dotaciones de recursos y estructuras industriales.</w:t>
      </w:r>
    </w:p>
    <w:p w:rsidR="00236E18" w:rsidRPr="004F598F" w:rsidRDefault="00236E18" w:rsidP="00236E18">
      <w:pPr>
        <w:tabs>
          <w:tab w:val="num" w:pos="709"/>
        </w:tabs>
        <w:jc w:val="both"/>
        <w:rPr>
          <w:bCs/>
          <w:sz w:val="20"/>
        </w:rPr>
      </w:pPr>
    </w:p>
    <w:p w:rsidR="00236E18" w:rsidRPr="004F598F" w:rsidRDefault="00236E18" w:rsidP="00236E18">
      <w:pPr>
        <w:numPr>
          <w:ilvl w:val="0"/>
          <w:numId w:val="31"/>
        </w:numPr>
        <w:jc w:val="both"/>
        <w:rPr>
          <w:bCs/>
          <w:sz w:val="20"/>
          <w:lang w:val="es-ES_tradnl"/>
        </w:rPr>
      </w:pPr>
      <w:r w:rsidRPr="004F598F">
        <w:rPr>
          <w:bCs/>
          <w:sz w:val="20"/>
        </w:rPr>
        <w:t>Así, se persiguen dos objetivos</w:t>
      </w:r>
      <w:proofErr w:type="gramStart"/>
      <w:r w:rsidRPr="004F598F">
        <w:rPr>
          <w:bCs/>
          <w:sz w:val="20"/>
        </w:rPr>
        <w:t>:  en</w:t>
      </w:r>
      <w:proofErr w:type="gramEnd"/>
      <w:r w:rsidRPr="004F598F">
        <w:rPr>
          <w:bCs/>
          <w:sz w:val="20"/>
        </w:rPr>
        <w:t xml:space="preserve"> primer lugar, facilitar información estadística precisa, exhaustiva y puntual sobre los resultados del sistema de P.I. a escala mundial;  en segundo lugar, elaborar análisis empíricos de alta calidad en apoyo de la elaboración de políticas bien fundamentadas</w:t>
      </w:r>
      <w:r w:rsidRPr="004F598F">
        <w:rPr>
          <w:bCs/>
          <w:sz w:val="20"/>
          <w:lang w:val="es-ES_tradnl"/>
        </w:rPr>
        <w:t>.</w:t>
      </w:r>
    </w:p>
    <w:p w:rsidR="00236E18" w:rsidRPr="004F598F" w:rsidRDefault="00236E18" w:rsidP="00236E18">
      <w:pPr>
        <w:tabs>
          <w:tab w:val="num" w:pos="709"/>
        </w:tabs>
        <w:jc w:val="both"/>
        <w:rPr>
          <w:bCs/>
          <w:sz w:val="20"/>
          <w:lang w:val="es-ES_tradnl"/>
        </w:rPr>
      </w:pPr>
    </w:p>
    <w:p w:rsidR="00236E18" w:rsidRPr="004F598F" w:rsidRDefault="00236E18" w:rsidP="00236E18">
      <w:pPr>
        <w:tabs>
          <w:tab w:val="num" w:pos="709"/>
        </w:tabs>
        <w:jc w:val="both"/>
        <w:rPr>
          <w:bCs/>
          <w:sz w:val="20"/>
          <w:lang w:val="es-ES_tradnl"/>
        </w:rPr>
      </w:pPr>
    </w:p>
    <w:p w:rsidR="00236E18" w:rsidRPr="004F598F" w:rsidRDefault="00236E18" w:rsidP="00236E18">
      <w:pPr>
        <w:tabs>
          <w:tab w:val="num" w:pos="709"/>
        </w:tabs>
        <w:jc w:val="both"/>
        <w:rPr>
          <w:bCs/>
          <w:sz w:val="20"/>
        </w:rPr>
      </w:pPr>
      <w:r w:rsidRPr="004F598F">
        <w:rPr>
          <w:bCs/>
          <w:sz w:val="20"/>
          <w:lang w:val="es-ES_tradnl"/>
        </w:rPr>
        <w:t>ESTRATEGIAS DE EJECUCIÓN</w:t>
      </w:r>
    </w:p>
    <w:p w:rsidR="00236E18" w:rsidRPr="004F598F" w:rsidRDefault="00236E18" w:rsidP="00236E18">
      <w:pPr>
        <w:tabs>
          <w:tab w:val="num" w:pos="709"/>
        </w:tabs>
        <w:jc w:val="both"/>
        <w:rPr>
          <w:bCs/>
          <w:sz w:val="20"/>
        </w:rPr>
      </w:pPr>
    </w:p>
    <w:p w:rsidR="00236E18" w:rsidRPr="004F598F" w:rsidRDefault="00236E18" w:rsidP="00236E18">
      <w:pPr>
        <w:numPr>
          <w:ilvl w:val="0"/>
          <w:numId w:val="31"/>
        </w:numPr>
        <w:jc w:val="both"/>
        <w:rPr>
          <w:bCs/>
          <w:sz w:val="20"/>
          <w:lang w:val="es-ES_tradnl"/>
        </w:rPr>
      </w:pPr>
      <w:r w:rsidRPr="004F598F">
        <w:rPr>
          <w:bCs/>
          <w:sz w:val="20"/>
          <w:lang w:val="es-ES_tradnl"/>
        </w:rPr>
        <w:t>En el ámbito de las estadísticas de P.I., la OMPI colabora con las oficinas nacionales y regionales de P.I. recopilando datos sobre la actividad de P.I. a escala mundial a través de su encuesta estadística anual.   Las estadísticas relativas a los tratados administrados por la OMPI en virtud de los cuales se presentan solicitudes de registro de derechos de P.I. se generan internamente.</w:t>
      </w:r>
      <w:r w:rsidRPr="004F598F">
        <w:rPr>
          <w:bCs/>
          <w:sz w:val="20"/>
        </w:rPr>
        <w:t xml:space="preserve">  </w:t>
      </w:r>
      <w:r w:rsidRPr="004F598F">
        <w:rPr>
          <w:bCs/>
          <w:sz w:val="20"/>
          <w:lang w:val="es-ES_tradnl"/>
        </w:rPr>
        <w:t>La principal publicación estadística de la OMPI, los “Indicadores mundiales de propiedad intelectual”, continuará resumiendo las grandes tendencias estadísticas en el ámbito de las patentes, los modelos de utilidad, las marcas, los diseños industriales y las variedades vegetales.</w:t>
      </w:r>
      <w:r w:rsidRPr="004F598F">
        <w:rPr>
          <w:bCs/>
          <w:sz w:val="20"/>
        </w:rPr>
        <w:t xml:space="preserve">  </w:t>
      </w:r>
      <w:r w:rsidRPr="004F598F">
        <w:rPr>
          <w:bCs/>
          <w:sz w:val="20"/>
          <w:lang w:val="es-ES_tradnl"/>
        </w:rPr>
        <w:t xml:space="preserve">Existen otras publicaciones estadísticas dedicadas a informar sobre los resultados de los Sistemas del PCT, Madrid y </w:t>
      </w:r>
      <w:r>
        <w:rPr>
          <w:bCs/>
          <w:sz w:val="20"/>
          <w:lang w:val="es-ES_tradnl"/>
        </w:rPr>
        <w:t>La Haya</w:t>
      </w:r>
      <w:r w:rsidRPr="004F598F">
        <w:rPr>
          <w:bCs/>
          <w:sz w:val="20"/>
          <w:lang w:val="es-ES_tradnl"/>
        </w:rPr>
        <w:t>.</w:t>
      </w:r>
      <w:r w:rsidRPr="004F598F">
        <w:rPr>
          <w:bCs/>
          <w:sz w:val="20"/>
        </w:rPr>
        <w:t xml:space="preserve">  </w:t>
      </w:r>
      <w:r w:rsidRPr="004F598F">
        <w:rPr>
          <w:bCs/>
          <w:sz w:val="20"/>
          <w:lang w:val="es-ES_tradnl"/>
        </w:rPr>
        <w:t>El Centro de Datos Estadísticos de P.I. continuará facilitando todas las estadísticas a los usuarios de todo el mundo.</w:t>
      </w:r>
      <w:r w:rsidRPr="004F598F">
        <w:rPr>
          <w:bCs/>
          <w:sz w:val="20"/>
        </w:rPr>
        <w:t xml:space="preserve">  En consonancia con las antedichas prioridades, en el marco del programa se desplegarán especiales esfuerzos para compilar datos, y presentar informes, de nuevas estadísticas sobre indicaciones geográficas</w:t>
      </w:r>
      <w:r>
        <w:rPr>
          <w:bCs/>
          <w:sz w:val="20"/>
        </w:rPr>
        <w:t>, marcas colectivas y de certificación</w:t>
      </w:r>
      <w:r w:rsidRPr="004F598F">
        <w:rPr>
          <w:bCs/>
          <w:sz w:val="20"/>
        </w:rPr>
        <w:t xml:space="preserve"> y actividades relacionadas con el derecho de autor, y para seguir mejorando la fácil consulta de las estadísticas de la OMPI.</w:t>
      </w:r>
    </w:p>
    <w:p w:rsidR="00236E18" w:rsidRPr="004F598F" w:rsidRDefault="00236E18" w:rsidP="00236E18">
      <w:pPr>
        <w:tabs>
          <w:tab w:val="num" w:pos="709"/>
        </w:tabs>
        <w:jc w:val="both"/>
        <w:rPr>
          <w:bCs/>
          <w:sz w:val="20"/>
          <w:lang w:val="es-ES_tradnl"/>
        </w:rPr>
      </w:pPr>
    </w:p>
    <w:p w:rsidR="00236E18" w:rsidRPr="004F598F" w:rsidRDefault="00236E18" w:rsidP="00236E18">
      <w:pPr>
        <w:numPr>
          <w:ilvl w:val="0"/>
          <w:numId w:val="31"/>
        </w:numPr>
        <w:jc w:val="both"/>
        <w:rPr>
          <w:bCs/>
          <w:sz w:val="20"/>
          <w:lang w:val="es-ES_tradnl"/>
        </w:rPr>
      </w:pPr>
      <w:r w:rsidRPr="004F598F">
        <w:rPr>
          <w:bCs/>
          <w:sz w:val="20"/>
          <w:lang w:val="es-ES_tradnl"/>
        </w:rPr>
        <w:t xml:space="preserve">En el ámbito del análisis económico, la OMPI continuará siendo </w:t>
      </w:r>
      <w:proofErr w:type="spellStart"/>
      <w:r w:rsidRPr="004F598F">
        <w:rPr>
          <w:bCs/>
          <w:sz w:val="20"/>
          <w:lang w:val="es-ES_tradnl"/>
        </w:rPr>
        <w:t>co</w:t>
      </w:r>
      <w:proofErr w:type="spellEnd"/>
      <w:r w:rsidRPr="004F598F">
        <w:rPr>
          <w:bCs/>
          <w:sz w:val="20"/>
          <w:lang w:val="es-ES_tradnl"/>
        </w:rPr>
        <w:t xml:space="preserve">-editor del Índice mundial de innovación, en el empeño de coadyuvar a la medición de la innovación y proporcionar a los responsables de la adopción de políticas </w:t>
      </w:r>
      <w:r>
        <w:rPr>
          <w:bCs/>
          <w:sz w:val="20"/>
          <w:lang w:val="es-ES_tradnl"/>
        </w:rPr>
        <w:t>información en materia de</w:t>
      </w:r>
      <w:r w:rsidRPr="004F598F">
        <w:rPr>
          <w:bCs/>
          <w:sz w:val="20"/>
          <w:lang w:val="es-ES_tradnl"/>
        </w:rPr>
        <w:t xml:space="preserve"> resultados de la innovación.</w:t>
      </w:r>
      <w:r w:rsidRPr="004F598F">
        <w:rPr>
          <w:bCs/>
          <w:sz w:val="20"/>
        </w:rPr>
        <w:t xml:space="preserve">  </w:t>
      </w:r>
      <w:r w:rsidRPr="004F598F">
        <w:rPr>
          <w:bCs/>
          <w:sz w:val="20"/>
          <w:lang w:val="es-ES_tradnl"/>
        </w:rPr>
        <w:t>La OMPI</w:t>
      </w:r>
      <w:r>
        <w:rPr>
          <w:bCs/>
          <w:sz w:val="20"/>
          <w:lang w:val="es-ES_tradnl"/>
        </w:rPr>
        <w:t xml:space="preserve"> seguirá recabando las observaciones que tengan los Estados miembros acerca de la manera de mejorar el índice. </w:t>
      </w:r>
      <w:r w:rsidRPr="004F598F">
        <w:rPr>
          <w:bCs/>
          <w:sz w:val="20"/>
          <w:lang w:val="es-ES_tradnl"/>
        </w:rPr>
        <w:t xml:space="preserve"> </w:t>
      </w:r>
      <w:r>
        <w:rPr>
          <w:bCs/>
          <w:sz w:val="20"/>
          <w:lang w:val="es-ES_tradnl"/>
        </w:rPr>
        <w:t>C</w:t>
      </w:r>
      <w:r w:rsidRPr="004F598F">
        <w:rPr>
          <w:bCs/>
          <w:sz w:val="20"/>
          <w:lang w:val="es-ES_tradnl"/>
        </w:rPr>
        <w:t>ontinuará asimismo publicando la serie "Informe mundial sobre la propiedad intelectual" con la voluntad de explorar nuevos temas y profundizar los análisis realizados hasta la fecha en torno a la problemática mundial de P.I.</w:t>
      </w:r>
      <w:r w:rsidRPr="004F598F">
        <w:rPr>
          <w:bCs/>
          <w:sz w:val="20"/>
        </w:rPr>
        <w:t xml:space="preserve">  Además, en el marco del programa se intentará establecer una nueva línea de investigación sobre políticas y resultados en </w:t>
      </w:r>
      <w:r>
        <w:rPr>
          <w:bCs/>
          <w:sz w:val="20"/>
        </w:rPr>
        <w:t>la economía creativa</w:t>
      </w:r>
      <w:r w:rsidRPr="004F598F">
        <w:rPr>
          <w:bCs/>
          <w:sz w:val="20"/>
          <w:lang w:val="es-ES_tradnl"/>
        </w:rPr>
        <w:t>.</w:t>
      </w:r>
      <w:r>
        <w:rPr>
          <w:bCs/>
          <w:sz w:val="20"/>
          <w:lang w:val="es-ES_tradnl"/>
        </w:rPr>
        <w:t xml:space="preserve">  En este nuevo frente de investigación, el programa colaborará estrechamente con el programa 3.</w:t>
      </w:r>
    </w:p>
    <w:p w:rsidR="00236E18" w:rsidRPr="004F598F" w:rsidRDefault="00236E18" w:rsidP="00236E18">
      <w:pPr>
        <w:tabs>
          <w:tab w:val="num" w:pos="709"/>
        </w:tabs>
        <w:jc w:val="both"/>
        <w:rPr>
          <w:bCs/>
          <w:sz w:val="20"/>
          <w:lang w:val="es-ES_tradnl"/>
        </w:rPr>
      </w:pPr>
    </w:p>
    <w:p w:rsidR="00236E18" w:rsidRPr="004F598F" w:rsidRDefault="00236E18" w:rsidP="00236E18">
      <w:pPr>
        <w:numPr>
          <w:ilvl w:val="0"/>
          <w:numId w:val="31"/>
        </w:numPr>
        <w:jc w:val="both"/>
        <w:rPr>
          <w:bCs/>
          <w:sz w:val="20"/>
          <w:lang w:val="es-ES_tradnl"/>
        </w:rPr>
      </w:pPr>
      <w:r w:rsidRPr="004F598F">
        <w:rPr>
          <w:bCs/>
          <w:sz w:val="20"/>
          <w:lang w:val="es-ES_tradnl"/>
        </w:rPr>
        <w:t>Al igual que en el pasado, el programa se mantendrá en todo momento dispuesto para atender las solicitudes de análisis económicos que puedan formular los comités de la OMPI.</w:t>
      </w:r>
      <w:r w:rsidRPr="004F598F">
        <w:rPr>
          <w:bCs/>
          <w:sz w:val="20"/>
        </w:rPr>
        <w:t xml:space="preserve">  Finalmente, los estudios en los países en desarrollo, como parte del proyecto de la A.D., se ampliarán de cuatro a cinco nuevos países.  En respuesta a las necesidades de los Estados miembros, dichos estudios seguirán ajustándose a las recomendaciones de la A.D., en especial las recomendaciones 34, 35, 37 y 39, y proporcionando datos empíricos que faciliten la comprensión de los efectos económicos de las diferentes opciones de política de P.I.</w:t>
      </w:r>
    </w:p>
    <w:p w:rsidR="00236E18" w:rsidRPr="004F598F" w:rsidRDefault="00236E18" w:rsidP="00236E18">
      <w:pPr>
        <w:tabs>
          <w:tab w:val="num" w:pos="709"/>
        </w:tabs>
        <w:jc w:val="both"/>
        <w:rPr>
          <w:bCs/>
          <w:sz w:val="20"/>
          <w:lang w:val="es-ES_tradnl"/>
        </w:rPr>
      </w:pPr>
    </w:p>
    <w:p w:rsidR="00236E18" w:rsidRPr="000267B2" w:rsidRDefault="00236E18" w:rsidP="00236E18">
      <w:pPr>
        <w:numPr>
          <w:ilvl w:val="0"/>
          <w:numId w:val="31"/>
        </w:numPr>
        <w:jc w:val="both"/>
        <w:rPr>
          <w:bCs/>
          <w:sz w:val="20"/>
        </w:rPr>
      </w:pPr>
      <w:r w:rsidRPr="004F598F">
        <w:rPr>
          <w:bCs/>
          <w:sz w:val="20"/>
          <w:lang w:val="es-ES_tradnl"/>
        </w:rPr>
        <w:lastRenderedPageBreak/>
        <w:t>Con la doble mira de fomentar análisis económicos de elevada calidad y maximizar las sinergias, la OMPI movilizará su extensa red internacional de economistas académicos y continuará coordinando la red mundial de economistas activos en las oficinas de P.I.</w:t>
      </w:r>
    </w:p>
    <w:p w:rsidR="00236E18" w:rsidRPr="000267B2" w:rsidRDefault="00236E18" w:rsidP="00236E18">
      <w:pPr>
        <w:jc w:val="both"/>
        <w:rPr>
          <w:bCs/>
          <w:sz w:val="20"/>
        </w:rPr>
      </w:pPr>
    </w:p>
    <w:p w:rsidR="00236E18" w:rsidRPr="00037E5E" w:rsidRDefault="00236E18" w:rsidP="00236E18">
      <w:pPr>
        <w:numPr>
          <w:ilvl w:val="0"/>
          <w:numId w:val="31"/>
        </w:numPr>
        <w:jc w:val="both"/>
        <w:rPr>
          <w:bCs/>
          <w:sz w:val="20"/>
        </w:rPr>
      </w:pPr>
      <w:r>
        <w:rPr>
          <w:bCs/>
          <w:sz w:val="20"/>
        </w:rPr>
        <w:t>El p</w:t>
      </w:r>
      <w:r w:rsidRPr="00037E5E">
        <w:rPr>
          <w:bCs/>
          <w:sz w:val="20"/>
        </w:rPr>
        <w:t>rogram</w:t>
      </w:r>
      <w:r>
        <w:rPr>
          <w:bCs/>
          <w:sz w:val="20"/>
        </w:rPr>
        <w:t>a</w:t>
      </w:r>
      <w:r w:rsidRPr="00037E5E">
        <w:rPr>
          <w:bCs/>
          <w:sz w:val="20"/>
        </w:rPr>
        <w:t xml:space="preserve"> 16 colabora</w:t>
      </w:r>
      <w:r>
        <w:rPr>
          <w:bCs/>
          <w:sz w:val="20"/>
        </w:rPr>
        <w:t xml:space="preserve"> principalmente con los programas siguientes</w:t>
      </w:r>
      <w:r w:rsidRPr="00037E5E">
        <w:rPr>
          <w:bCs/>
          <w:sz w:val="20"/>
        </w:rPr>
        <w:t>:</w:t>
      </w:r>
    </w:p>
    <w:p w:rsidR="00236E18" w:rsidRPr="006A3CA4" w:rsidRDefault="00236E18" w:rsidP="00236E18">
      <w:pPr>
        <w:tabs>
          <w:tab w:val="num" w:pos="709"/>
        </w:tabs>
        <w:jc w:val="both"/>
        <w:rPr>
          <w:bCs/>
          <w:sz w:val="20"/>
          <w:lang w:val="es-ES_tradnl"/>
        </w:rPr>
      </w:pPr>
    </w:p>
    <w:p w:rsidR="00236E18" w:rsidRPr="006A3CA4" w:rsidRDefault="00236E18" w:rsidP="00236E18">
      <w:pPr>
        <w:tabs>
          <w:tab w:val="num" w:pos="709"/>
        </w:tabs>
        <w:jc w:val="both"/>
        <w:rPr>
          <w:bCs/>
          <w:sz w:val="20"/>
          <w:lang w:val="es-ES_tradnl"/>
        </w:rPr>
      </w:pPr>
    </w:p>
    <w:p w:rsidR="00236E18" w:rsidRDefault="00236E18" w:rsidP="00236E18">
      <w:pPr>
        <w:tabs>
          <w:tab w:val="num" w:pos="709"/>
        </w:tabs>
        <w:jc w:val="both"/>
        <w:rPr>
          <w:bCs/>
          <w:sz w:val="20"/>
        </w:rPr>
      </w:pPr>
      <w:r>
        <w:rPr>
          <w:rFonts w:eastAsia="Times New Roman"/>
          <w:noProof/>
          <w:lang w:val="en-US" w:eastAsia="en-US"/>
        </w:rPr>
        <w:drawing>
          <wp:inline distT="0" distB="0" distL="0" distR="0" wp14:anchorId="7F766DAC" wp14:editId="7D5A6CCC">
            <wp:extent cx="5890161" cy="2743200"/>
            <wp:effectExtent l="57150" t="0" r="0" b="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6" r:lo="rId157" r:qs="rId158" r:cs="rId159"/>
              </a:graphicData>
            </a:graphic>
          </wp:inline>
        </w:drawing>
      </w:r>
    </w:p>
    <w:p w:rsidR="00236E18" w:rsidRPr="004F598F" w:rsidRDefault="00236E18" w:rsidP="00236E18">
      <w:pPr>
        <w:tabs>
          <w:tab w:val="num" w:pos="709"/>
        </w:tabs>
        <w:jc w:val="both"/>
        <w:rPr>
          <w:bCs/>
          <w:sz w:val="20"/>
        </w:rPr>
      </w:pPr>
    </w:p>
    <w:p w:rsidR="00236E18" w:rsidRDefault="00236E18" w:rsidP="00236E18">
      <w:pPr>
        <w:rPr>
          <w:lang w:val="es-ES_tradnl"/>
        </w:rPr>
      </w:pPr>
    </w:p>
    <w:p w:rsidR="00236E18" w:rsidRPr="004F598F" w:rsidRDefault="00236E18" w:rsidP="00236E18">
      <w:r w:rsidRPr="004F598F">
        <w:rPr>
          <w:lang w:val="es-ES_tradnl"/>
        </w:rPr>
        <w:t>PRINCIPALES RIESGOS Y ESTRATEGIAS DE MITIGACIÓN</w:t>
      </w:r>
    </w:p>
    <w:p w:rsidR="00236E18" w:rsidRPr="004F598F" w:rsidRDefault="00236E18" w:rsidP="00236E18">
      <w:pPr>
        <w:rPr>
          <w:szCs w:val="22"/>
        </w:rPr>
      </w:pPr>
    </w:p>
    <w:tbl>
      <w:tblPr>
        <w:tblW w:w="949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5245"/>
      </w:tblGrid>
      <w:tr w:rsidR="00236E18" w:rsidRPr="004F598F" w:rsidTr="00294272">
        <w:trPr>
          <w:trHeight w:val="484"/>
        </w:trPr>
        <w:tc>
          <w:tcPr>
            <w:tcW w:w="4253" w:type="dxa"/>
            <w:tcBorders>
              <w:top w:val="single" w:sz="4" w:space="0" w:color="auto"/>
              <w:bottom w:val="single" w:sz="4" w:space="0" w:color="auto"/>
            </w:tcBorders>
            <w:shd w:val="clear" w:color="auto" w:fill="C6D9F1"/>
            <w:vAlign w:val="center"/>
          </w:tcPr>
          <w:p w:rsidR="00236E18" w:rsidRPr="004F598F" w:rsidRDefault="00236E18" w:rsidP="00294272">
            <w:pPr>
              <w:keepNext/>
              <w:keepLines/>
              <w:jc w:val="center"/>
              <w:rPr>
                <w:b/>
                <w:bCs/>
                <w:sz w:val="18"/>
                <w:szCs w:val="18"/>
              </w:rPr>
            </w:pPr>
            <w:r w:rsidRPr="004F598F">
              <w:rPr>
                <w:b/>
                <w:bCs/>
                <w:sz w:val="18"/>
                <w:szCs w:val="18"/>
                <w:lang w:val="es-ES_tradnl"/>
              </w:rPr>
              <w:t>Riesgo</w:t>
            </w:r>
          </w:p>
        </w:tc>
        <w:tc>
          <w:tcPr>
            <w:tcW w:w="5245" w:type="dxa"/>
            <w:tcBorders>
              <w:top w:val="single" w:sz="4" w:space="0" w:color="auto"/>
              <w:bottom w:val="single" w:sz="4" w:space="0" w:color="auto"/>
            </w:tcBorders>
            <w:shd w:val="clear" w:color="auto" w:fill="C6D9F1"/>
            <w:vAlign w:val="center"/>
          </w:tcPr>
          <w:p w:rsidR="00236E18" w:rsidRPr="004F598F" w:rsidRDefault="00236E18" w:rsidP="00294272">
            <w:pPr>
              <w:keepNext/>
              <w:keepLines/>
              <w:jc w:val="center"/>
              <w:rPr>
                <w:b/>
                <w:bCs/>
                <w:sz w:val="18"/>
                <w:szCs w:val="18"/>
              </w:rPr>
            </w:pPr>
            <w:r w:rsidRPr="004F598F">
              <w:rPr>
                <w:b/>
                <w:bCs/>
                <w:sz w:val="18"/>
                <w:szCs w:val="18"/>
              </w:rPr>
              <w:t>Mitigación</w:t>
            </w:r>
          </w:p>
        </w:tc>
      </w:tr>
      <w:tr w:rsidR="00236E18" w:rsidRPr="004F598F" w:rsidTr="00294272">
        <w:trPr>
          <w:trHeight w:val="350"/>
        </w:trPr>
        <w:tc>
          <w:tcPr>
            <w:tcW w:w="4253" w:type="dxa"/>
            <w:tcBorders>
              <w:top w:val="single" w:sz="4" w:space="0" w:color="auto"/>
              <w:left w:val="single" w:sz="4" w:space="0" w:color="auto"/>
              <w:bottom w:val="nil"/>
              <w:right w:val="nil"/>
            </w:tcBorders>
            <w:shd w:val="clear" w:color="auto" w:fill="auto"/>
            <w:tcMar>
              <w:top w:w="113" w:type="dxa"/>
              <w:bottom w:w="113" w:type="dxa"/>
            </w:tcMar>
          </w:tcPr>
          <w:p w:rsidR="00236E18" w:rsidRPr="004F598F" w:rsidRDefault="00236E18" w:rsidP="00294272">
            <w:pPr>
              <w:keepNext/>
              <w:keepLines/>
              <w:rPr>
                <w:sz w:val="16"/>
                <w:szCs w:val="16"/>
                <w:lang w:val="es-ES_tradnl"/>
              </w:rPr>
            </w:pPr>
            <w:r w:rsidRPr="004F598F">
              <w:rPr>
                <w:sz w:val="16"/>
              </w:rPr>
              <w:t>Publicación de información estadística incompleta (WIPI).</w:t>
            </w:r>
          </w:p>
        </w:tc>
        <w:tc>
          <w:tcPr>
            <w:tcW w:w="5245" w:type="dxa"/>
            <w:tcBorders>
              <w:top w:val="single" w:sz="4" w:space="0" w:color="auto"/>
              <w:left w:val="nil"/>
              <w:bottom w:val="nil"/>
              <w:right w:val="single" w:sz="4" w:space="0" w:color="auto"/>
            </w:tcBorders>
            <w:shd w:val="clear" w:color="auto" w:fill="auto"/>
            <w:tcMar>
              <w:top w:w="113" w:type="dxa"/>
              <w:bottom w:w="113" w:type="dxa"/>
            </w:tcMar>
          </w:tcPr>
          <w:p w:rsidR="00236E18" w:rsidRPr="004F598F" w:rsidRDefault="00236E18" w:rsidP="00294272">
            <w:pPr>
              <w:keepNext/>
              <w:keepLines/>
              <w:rPr>
                <w:sz w:val="16"/>
                <w:szCs w:val="16"/>
                <w:lang w:val="es-ES_tradnl"/>
              </w:rPr>
            </w:pPr>
            <w:r w:rsidRPr="004F598F">
              <w:rPr>
                <w:sz w:val="16"/>
              </w:rPr>
              <w:t>Dar tiempo suficiente para responder y contribuir al desarrollo de capacidades estadísticas en el plano nacional.</w:t>
            </w:r>
          </w:p>
        </w:tc>
      </w:tr>
      <w:tr w:rsidR="00236E18" w:rsidRPr="004F598F" w:rsidTr="00294272">
        <w:trPr>
          <w:trHeight w:val="625"/>
        </w:trPr>
        <w:tc>
          <w:tcPr>
            <w:tcW w:w="4253" w:type="dxa"/>
            <w:tcBorders>
              <w:top w:val="nil"/>
              <w:left w:val="single" w:sz="4" w:space="0" w:color="auto"/>
              <w:bottom w:val="single" w:sz="4" w:space="0" w:color="auto"/>
              <w:right w:val="nil"/>
            </w:tcBorders>
            <w:shd w:val="clear" w:color="auto" w:fill="auto"/>
            <w:tcMar>
              <w:top w:w="113" w:type="dxa"/>
              <w:bottom w:w="113" w:type="dxa"/>
            </w:tcMar>
          </w:tcPr>
          <w:p w:rsidR="00236E18" w:rsidRPr="004F598F" w:rsidRDefault="00236E18" w:rsidP="00294272">
            <w:pPr>
              <w:keepNext/>
              <w:keepLines/>
              <w:rPr>
                <w:sz w:val="16"/>
                <w:szCs w:val="16"/>
              </w:rPr>
            </w:pPr>
            <w:r w:rsidRPr="004F598F">
              <w:rPr>
                <w:sz w:val="16"/>
                <w:lang w:val="es-ES_tradnl"/>
              </w:rPr>
              <w:t>En las publicaciones de la OMPI se proporcionan datos estadísticos erróneos o se observan deficiencias analíticas.</w:t>
            </w:r>
            <w:r w:rsidRPr="004F598F">
              <w:rPr>
                <w:sz w:val="16"/>
              </w:rPr>
              <w:t xml:space="preserve"> </w:t>
            </w:r>
          </w:p>
        </w:tc>
        <w:tc>
          <w:tcPr>
            <w:tcW w:w="5245" w:type="dxa"/>
            <w:tcBorders>
              <w:top w:val="nil"/>
              <w:left w:val="nil"/>
              <w:bottom w:val="single" w:sz="4" w:space="0" w:color="auto"/>
              <w:right w:val="single" w:sz="4" w:space="0" w:color="auto"/>
            </w:tcBorders>
            <w:shd w:val="clear" w:color="auto" w:fill="auto"/>
            <w:tcMar>
              <w:top w:w="113" w:type="dxa"/>
              <w:bottom w:w="113" w:type="dxa"/>
            </w:tcMar>
          </w:tcPr>
          <w:p w:rsidR="00236E18" w:rsidRPr="004F598F" w:rsidRDefault="00236E18" w:rsidP="00294272">
            <w:pPr>
              <w:keepNext/>
              <w:keepLines/>
              <w:rPr>
                <w:sz w:val="16"/>
                <w:szCs w:val="16"/>
              </w:rPr>
            </w:pPr>
            <w:r w:rsidRPr="004F598F">
              <w:rPr>
                <w:sz w:val="16"/>
                <w:szCs w:val="16"/>
                <w:lang w:val="es-ES_tradnl"/>
              </w:rPr>
              <w:t>Se cuenta con mecanismos de control que permiten detectar las incoherencias de los datos durante la compilación de estadísticas de P.I.;  todas las publicaciones estadísticas son objeto de una revisión cuidadosa a cargo de especialistas en estadística y los sectores pertinentes de la OMPI;  todas las publicaciones analíticas son examinadas por expertos externos.</w:t>
            </w:r>
          </w:p>
        </w:tc>
      </w:tr>
    </w:tbl>
    <w:p w:rsidR="00236E18" w:rsidRDefault="00236E18" w:rsidP="00236E18">
      <w:pPr>
        <w:rPr>
          <w:lang w:val="es-ES_tradnl"/>
        </w:rPr>
      </w:pPr>
    </w:p>
    <w:p w:rsidR="00236E18" w:rsidRPr="004F598F" w:rsidRDefault="00236E18" w:rsidP="00236E18">
      <w:pPr>
        <w:rPr>
          <w:lang w:val="es-ES_tradnl"/>
        </w:rPr>
      </w:pPr>
      <w:r w:rsidRPr="004F598F">
        <w:rPr>
          <w:lang w:val="es-ES_tradnl"/>
        </w:rPr>
        <w:t>MARCO DE RESULTADOS</w:t>
      </w:r>
    </w:p>
    <w:p w:rsidR="00236E18" w:rsidRPr="004F598F" w:rsidRDefault="00236E18" w:rsidP="00236E18">
      <w:pPr>
        <w:rPr>
          <w:lang w:val="es-ES_tradnl"/>
        </w:rPr>
      </w:pPr>
    </w:p>
    <w:tbl>
      <w:tblPr>
        <w:tblW w:w="9513" w:type="dxa"/>
        <w:tblInd w:w="93" w:type="dxa"/>
        <w:tblLook w:val="04A0" w:firstRow="1" w:lastRow="0" w:firstColumn="1" w:lastColumn="0" w:noHBand="0" w:noVBand="1"/>
      </w:tblPr>
      <w:tblGrid>
        <w:gridCol w:w="2460"/>
        <w:gridCol w:w="3080"/>
        <w:gridCol w:w="1847"/>
        <w:gridCol w:w="2126"/>
      </w:tblGrid>
      <w:tr w:rsidR="00236E18" w:rsidRPr="004F598F" w:rsidTr="00294272">
        <w:trPr>
          <w:trHeight w:val="492"/>
          <w:tblHeader/>
        </w:trPr>
        <w:tc>
          <w:tcPr>
            <w:tcW w:w="2460" w:type="dxa"/>
            <w:tcBorders>
              <w:top w:val="single" w:sz="4" w:space="0" w:color="auto"/>
              <w:left w:val="single" w:sz="4" w:space="0" w:color="auto"/>
              <w:bottom w:val="single" w:sz="4" w:space="0" w:color="auto"/>
              <w:right w:val="nil"/>
            </w:tcBorders>
            <w:shd w:val="clear" w:color="auto" w:fill="C6D9F1"/>
            <w:noWrap/>
            <w:vAlign w:val="center"/>
            <w:hideMark/>
          </w:tcPr>
          <w:p w:rsidR="00236E18" w:rsidRPr="004F598F" w:rsidRDefault="00236E18" w:rsidP="00294272">
            <w:pPr>
              <w:jc w:val="center"/>
              <w:rPr>
                <w:b/>
                <w:bCs/>
                <w:sz w:val="18"/>
                <w:szCs w:val="18"/>
              </w:rPr>
            </w:pPr>
            <w:r w:rsidRPr="004F598F">
              <w:rPr>
                <w:b/>
                <w:bCs/>
                <w:sz w:val="18"/>
                <w:szCs w:val="18"/>
                <w:lang w:val="es-ES_tradnl"/>
              </w:rPr>
              <w:t>Resultados previstos</w:t>
            </w:r>
            <w:r w:rsidRPr="004F598F">
              <w:rPr>
                <w:b/>
                <w:bCs/>
                <w:sz w:val="18"/>
                <w:szCs w:val="18"/>
              </w:rPr>
              <w:t xml:space="preserve"> </w:t>
            </w:r>
          </w:p>
        </w:tc>
        <w:tc>
          <w:tcPr>
            <w:tcW w:w="3080" w:type="dxa"/>
            <w:tcBorders>
              <w:top w:val="single" w:sz="4" w:space="0" w:color="auto"/>
              <w:left w:val="nil"/>
              <w:bottom w:val="single" w:sz="4" w:space="0" w:color="auto"/>
              <w:right w:val="nil"/>
            </w:tcBorders>
            <w:shd w:val="clear" w:color="auto" w:fill="C6D9F1"/>
            <w:noWrap/>
            <w:vAlign w:val="center"/>
            <w:hideMark/>
          </w:tcPr>
          <w:p w:rsidR="00236E18" w:rsidRPr="004F598F" w:rsidRDefault="00236E18" w:rsidP="00294272">
            <w:pPr>
              <w:jc w:val="center"/>
              <w:rPr>
                <w:b/>
                <w:bCs/>
                <w:sz w:val="18"/>
                <w:szCs w:val="18"/>
              </w:rPr>
            </w:pPr>
            <w:r w:rsidRPr="004F598F">
              <w:rPr>
                <w:b/>
                <w:bCs/>
                <w:sz w:val="18"/>
                <w:szCs w:val="18"/>
                <w:lang w:val="es-ES_tradnl"/>
              </w:rPr>
              <w:t>Indicadores de rendimiento</w:t>
            </w:r>
          </w:p>
        </w:tc>
        <w:tc>
          <w:tcPr>
            <w:tcW w:w="1847" w:type="dxa"/>
            <w:tcBorders>
              <w:top w:val="single" w:sz="4" w:space="0" w:color="auto"/>
              <w:left w:val="nil"/>
              <w:bottom w:val="single" w:sz="4" w:space="0" w:color="auto"/>
              <w:right w:val="nil"/>
            </w:tcBorders>
            <w:shd w:val="clear" w:color="auto" w:fill="C6D9F1"/>
            <w:noWrap/>
            <w:vAlign w:val="center"/>
            <w:hideMark/>
          </w:tcPr>
          <w:p w:rsidR="00236E18" w:rsidRPr="004F598F" w:rsidRDefault="00236E18" w:rsidP="00294272">
            <w:pPr>
              <w:jc w:val="center"/>
              <w:rPr>
                <w:b/>
                <w:bCs/>
                <w:sz w:val="18"/>
                <w:szCs w:val="18"/>
              </w:rPr>
            </w:pPr>
            <w:r w:rsidRPr="004F598F">
              <w:rPr>
                <w:b/>
                <w:bCs/>
                <w:sz w:val="18"/>
                <w:szCs w:val="18"/>
                <w:lang w:val="es-ES_tradnl"/>
              </w:rPr>
              <w:t>Referencia</w:t>
            </w:r>
          </w:p>
        </w:tc>
        <w:tc>
          <w:tcPr>
            <w:tcW w:w="2126" w:type="dxa"/>
            <w:tcBorders>
              <w:top w:val="single" w:sz="4" w:space="0" w:color="auto"/>
              <w:left w:val="nil"/>
              <w:bottom w:val="single" w:sz="4" w:space="0" w:color="auto"/>
              <w:right w:val="single" w:sz="4" w:space="0" w:color="auto"/>
            </w:tcBorders>
            <w:shd w:val="clear" w:color="auto" w:fill="C6D9F1"/>
            <w:noWrap/>
            <w:vAlign w:val="center"/>
            <w:hideMark/>
          </w:tcPr>
          <w:p w:rsidR="00236E18" w:rsidRPr="004F598F" w:rsidRDefault="00236E18" w:rsidP="00294272">
            <w:pPr>
              <w:jc w:val="center"/>
              <w:rPr>
                <w:b/>
                <w:bCs/>
                <w:sz w:val="18"/>
                <w:szCs w:val="18"/>
              </w:rPr>
            </w:pPr>
            <w:r w:rsidRPr="004F598F">
              <w:rPr>
                <w:b/>
                <w:bCs/>
                <w:sz w:val="18"/>
                <w:szCs w:val="18"/>
                <w:lang w:val="es-ES_tradnl"/>
              </w:rPr>
              <w:t>Objetivos</w:t>
            </w:r>
          </w:p>
        </w:tc>
      </w:tr>
      <w:tr w:rsidR="00236E18" w:rsidRPr="004F598F" w:rsidTr="00294272">
        <w:trPr>
          <w:trHeight w:val="698"/>
        </w:trPr>
        <w:tc>
          <w:tcPr>
            <w:tcW w:w="2460" w:type="dxa"/>
            <w:vMerge w:val="restart"/>
            <w:tcBorders>
              <w:top w:val="single" w:sz="4" w:space="0" w:color="auto"/>
              <w:left w:val="single" w:sz="4" w:space="0" w:color="auto"/>
              <w:bottom w:val="nil"/>
              <w:right w:val="nil"/>
            </w:tcBorders>
            <w:shd w:val="clear" w:color="000000" w:fill="FFFFFF"/>
            <w:hideMark/>
          </w:tcPr>
          <w:p w:rsidR="00236E18" w:rsidRPr="00037E5E" w:rsidRDefault="00236E18" w:rsidP="00294272">
            <w:pPr>
              <w:rPr>
                <w:sz w:val="16"/>
                <w:szCs w:val="16"/>
              </w:rPr>
            </w:pPr>
            <w:r w:rsidRPr="00037E5E">
              <w:rPr>
                <w:sz w:val="16"/>
                <w:szCs w:val="16"/>
                <w:lang w:val="es-ES_tradnl"/>
              </w:rPr>
              <w:t>V.1  Mayor y mejor utilización de la información estadística de la OMPI en materia de P.I.</w:t>
            </w:r>
          </w:p>
        </w:tc>
        <w:tc>
          <w:tcPr>
            <w:tcW w:w="3080" w:type="dxa"/>
            <w:tcBorders>
              <w:top w:val="single" w:sz="4" w:space="0" w:color="auto"/>
              <w:left w:val="nil"/>
              <w:bottom w:val="nil"/>
              <w:right w:val="nil"/>
            </w:tcBorders>
            <w:shd w:val="clear" w:color="000000" w:fill="FFFFFF"/>
            <w:hideMark/>
          </w:tcPr>
          <w:p w:rsidR="00236E18" w:rsidRPr="004F598F" w:rsidRDefault="00236E18" w:rsidP="00294272">
            <w:pPr>
              <w:ind w:leftChars="64" w:left="141"/>
              <w:rPr>
                <w:sz w:val="16"/>
                <w:szCs w:val="16"/>
              </w:rPr>
            </w:pPr>
            <w:r w:rsidRPr="004F598F">
              <w:rPr>
                <w:sz w:val="16"/>
                <w:szCs w:val="16"/>
                <w:lang w:val="es-ES_tradnl"/>
              </w:rPr>
              <w:t>N</w:t>
            </w:r>
            <w:r>
              <w:rPr>
                <w:sz w:val="16"/>
                <w:szCs w:val="16"/>
                <w:lang w:val="es-ES_tradnl"/>
              </w:rPr>
              <w:t>º</w:t>
            </w:r>
            <w:r w:rsidRPr="004F598F">
              <w:rPr>
                <w:sz w:val="16"/>
                <w:szCs w:val="16"/>
                <w:lang w:val="es-ES_tradnl"/>
              </w:rPr>
              <w:t xml:space="preserve"> de búsquedas en el Centro de Datos Estadísticos de P.I.</w:t>
            </w:r>
          </w:p>
        </w:tc>
        <w:tc>
          <w:tcPr>
            <w:tcW w:w="1847" w:type="dxa"/>
            <w:tcBorders>
              <w:top w:val="single" w:sz="4" w:space="0" w:color="auto"/>
              <w:left w:val="nil"/>
              <w:bottom w:val="nil"/>
              <w:right w:val="nil"/>
            </w:tcBorders>
            <w:shd w:val="clear" w:color="000000" w:fill="FFFFFF"/>
            <w:hideMark/>
          </w:tcPr>
          <w:p w:rsidR="00236E18" w:rsidRPr="004F598F" w:rsidRDefault="00236E18" w:rsidP="00294272">
            <w:pPr>
              <w:ind w:left="321" w:hanging="1"/>
              <w:rPr>
                <w:sz w:val="16"/>
                <w:szCs w:val="16"/>
              </w:rPr>
            </w:pPr>
            <w:r w:rsidRPr="004F598F">
              <w:rPr>
                <w:sz w:val="16"/>
                <w:szCs w:val="16"/>
                <w:lang w:val="es-ES_tradnl"/>
              </w:rPr>
              <w:t>A determinar a fines de 2015.</w:t>
            </w:r>
          </w:p>
        </w:tc>
        <w:tc>
          <w:tcPr>
            <w:tcW w:w="2126" w:type="dxa"/>
            <w:tcBorders>
              <w:top w:val="single" w:sz="4" w:space="0" w:color="auto"/>
              <w:left w:val="nil"/>
              <w:bottom w:val="nil"/>
              <w:right w:val="single" w:sz="4" w:space="0" w:color="auto"/>
            </w:tcBorders>
            <w:shd w:val="clear" w:color="000000" w:fill="FFFFFF"/>
            <w:hideMark/>
          </w:tcPr>
          <w:p w:rsidR="00236E18" w:rsidRPr="004F598F" w:rsidRDefault="00236E18" w:rsidP="00294272">
            <w:pPr>
              <w:ind w:left="382"/>
              <w:rPr>
                <w:sz w:val="16"/>
                <w:szCs w:val="16"/>
              </w:rPr>
            </w:pPr>
            <w:r w:rsidRPr="004F598F">
              <w:rPr>
                <w:sz w:val="16"/>
                <w:szCs w:val="16"/>
                <w:lang w:val="es-ES_tradnl"/>
              </w:rPr>
              <w:t>Por determinar.</w:t>
            </w:r>
          </w:p>
        </w:tc>
      </w:tr>
      <w:tr w:rsidR="00236E18" w:rsidRPr="004F598F" w:rsidTr="00294272">
        <w:trPr>
          <w:trHeight w:val="718"/>
        </w:trPr>
        <w:tc>
          <w:tcPr>
            <w:tcW w:w="2460" w:type="dxa"/>
            <w:vMerge/>
            <w:tcBorders>
              <w:top w:val="nil"/>
              <w:left w:val="single" w:sz="4" w:space="0" w:color="auto"/>
              <w:right w:val="nil"/>
            </w:tcBorders>
            <w:vAlign w:val="center"/>
            <w:hideMark/>
          </w:tcPr>
          <w:p w:rsidR="00236E18" w:rsidRPr="00037E5E" w:rsidRDefault="00236E18" w:rsidP="00294272">
            <w:pPr>
              <w:rPr>
                <w:sz w:val="16"/>
                <w:szCs w:val="16"/>
              </w:rPr>
            </w:pPr>
          </w:p>
        </w:tc>
        <w:tc>
          <w:tcPr>
            <w:tcW w:w="3080" w:type="dxa"/>
            <w:tcBorders>
              <w:top w:val="nil"/>
              <w:left w:val="nil"/>
              <w:right w:val="nil"/>
            </w:tcBorders>
            <w:shd w:val="clear" w:color="000000" w:fill="FFFFFF"/>
            <w:hideMark/>
          </w:tcPr>
          <w:p w:rsidR="00236E18" w:rsidRPr="004F598F" w:rsidRDefault="00236E18" w:rsidP="00294272">
            <w:pPr>
              <w:ind w:leftChars="64" w:left="141"/>
              <w:rPr>
                <w:sz w:val="16"/>
                <w:szCs w:val="16"/>
                <w:lang w:val="es-ES_tradnl"/>
              </w:rPr>
            </w:pPr>
            <w:r w:rsidRPr="004F598F">
              <w:rPr>
                <w:sz w:val="16"/>
                <w:szCs w:val="16"/>
              </w:rPr>
              <w:t>N</w:t>
            </w:r>
            <w:r>
              <w:rPr>
                <w:sz w:val="16"/>
                <w:szCs w:val="16"/>
              </w:rPr>
              <w:t>º</w:t>
            </w:r>
            <w:r w:rsidRPr="004F598F">
              <w:rPr>
                <w:sz w:val="16"/>
                <w:szCs w:val="16"/>
              </w:rPr>
              <w:t xml:space="preserve"> de descargas de los informes </w:t>
            </w:r>
            <w:r w:rsidRPr="00E0093C">
              <w:rPr>
                <w:sz w:val="16"/>
                <w:szCs w:val="16"/>
                <w:lang w:val="es-ES_tradnl"/>
              </w:rPr>
              <w:t>estadísticos</w:t>
            </w:r>
            <w:r w:rsidRPr="004F598F">
              <w:rPr>
                <w:sz w:val="16"/>
                <w:szCs w:val="16"/>
              </w:rPr>
              <w:t xml:space="preserve"> anuales en el plazo de 6 meses desde su publicación</w:t>
            </w:r>
            <w:r w:rsidRPr="004F598F">
              <w:rPr>
                <w:sz w:val="16"/>
                <w:szCs w:val="16"/>
                <w:lang w:val="es-ES_tradnl"/>
              </w:rPr>
              <w:t>.</w:t>
            </w:r>
          </w:p>
        </w:tc>
        <w:tc>
          <w:tcPr>
            <w:tcW w:w="1847" w:type="dxa"/>
            <w:tcBorders>
              <w:top w:val="nil"/>
              <w:left w:val="nil"/>
              <w:right w:val="nil"/>
            </w:tcBorders>
            <w:shd w:val="clear" w:color="000000" w:fill="FFFFFF"/>
            <w:hideMark/>
          </w:tcPr>
          <w:p w:rsidR="00236E18" w:rsidRPr="004F598F" w:rsidRDefault="00236E18" w:rsidP="00294272">
            <w:pPr>
              <w:ind w:firstLineChars="200" w:firstLine="320"/>
              <w:rPr>
                <w:sz w:val="16"/>
                <w:szCs w:val="16"/>
              </w:rPr>
            </w:pPr>
            <w:r w:rsidRPr="004F598F">
              <w:rPr>
                <w:sz w:val="16"/>
                <w:szCs w:val="16"/>
                <w:lang w:val="es-ES_tradnl"/>
              </w:rPr>
              <w:t>Por determinar.</w:t>
            </w:r>
            <w:r>
              <w:rPr>
                <w:rStyle w:val="FootnoteReference"/>
                <w:color w:val="000000"/>
                <w:sz w:val="16"/>
                <w:szCs w:val="16"/>
              </w:rPr>
              <w:footnoteReference w:id="23"/>
            </w:r>
          </w:p>
        </w:tc>
        <w:tc>
          <w:tcPr>
            <w:tcW w:w="2126" w:type="dxa"/>
            <w:tcBorders>
              <w:top w:val="nil"/>
              <w:left w:val="nil"/>
              <w:right w:val="single" w:sz="4" w:space="0" w:color="auto"/>
            </w:tcBorders>
            <w:shd w:val="clear" w:color="000000" w:fill="FFFFFF"/>
            <w:hideMark/>
          </w:tcPr>
          <w:p w:rsidR="00236E18" w:rsidRPr="004F598F" w:rsidRDefault="00236E18" w:rsidP="00294272">
            <w:pPr>
              <w:ind w:left="382"/>
              <w:rPr>
                <w:sz w:val="16"/>
                <w:szCs w:val="16"/>
              </w:rPr>
            </w:pPr>
            <w:r w:rsidRPr="004F598F">
              <w:rPr>
                <w:sz w:val="16"/>
                <w:szCs w:val="16"/>
                <w:lang w:val="es-ES_tradnl"/>
              </w:rPr>
              <w:t>Por determinar.</w:t>
            </w:r>
          </w:p>
        </w:tc>
      </w:tr>
      <w:tr w:rsidR="00236E18" w:rsidRPr="004F598F" w:rsidTr="00294272">
        <w:trPr>
          <w:trHeight w:val="822"/>
        </w:trPr>
        <w:tc>
          <w:tcPr>
            <w:tcW w:w="2460" w:type="dxa"/>
            <w:vMerge/>
            <w:tcBorders>
              <w:top w:val="nil"/>
              <w:left w:val="single" w:sz="4" w:space="0" w:color="auto"/>
              <w:bottom w:val="single" w:sz="4" w:space="0" w:color="auto"/>
              <w:right w:val="nil"/>
            </w:tcBorders>
            <w:vAlign w:val="center"/>
            <w:hideMark/>
          </w:tcPr>
          <w:p w:rsidR="00236E18" w:rsidRPr="00037E5E" w:rsidRDefault="00236E18" w:rsidP="00294272">
            <w:pPr>
              <w:rPr>
                <w:sz w:val="16"/>
                <w:szCs w:val="16"/>
              </w:rPr>
            </w:pPr>
          </w:p>
        </w:tc>
        <w:tc>
          <w:tcPr>
            <w:tcW w:w="3080" w:type="dxa"/>
            <w:tcBorders>
              <w:top w:val="nil"/>
              <w:left w:val="nil"/>
              <w:bottom w:val="single" w:sz="4" w:space="0" w:color="auto"/>
              <w:right w:val="nil"/>
            </w:tcBorders>
            <w:shd w:val="clear" w:color="000000" w:fill="FFFFFF"/>
            <w:hideMark/>
          </w:tcPr>
          <w:p w:rsidR="00236E18" w:rsidRDefault="00236E18" w:rsidP="00294272">
            <w:pPr>
              <w:ind w:leftChars="64" w:left="141"/>
              <w:rPr>
                <w:sz w:val="16"/>
                <w:szCs w:val="16"/>
              </w:rPr>
            </w:pPr>
            <w:r w:rsidRPr="004F598F">
              <w:rPr>
                <w:sz w:val="16"/>
                <w:szCs w:val="16"/>
              </w:rPr>
              <w:t xml:space="preserve">La </w:t>
            </w:r>
            <w:r w:rsidRPr="00E0093C">
              <w:rPr>
                <w:sz w:val="16"/>
                <w:szCs w:val="16"/>
                <w:lang w:val="es-ES_tradnl"/>
              </w:rPr>
              <w:t>diferencia</w:t>
            </w:r>
            <w:r w:rsidRPr="004F598F">
              <w:rPr>
                <w:sz w:val="16"/>
                <w:szCs w:val="16"/>
              </w:rPr>
              <w:t xml:space="preserve"> entre las previsiones de enero y el número real de solicitudes PCT, Madrid y </w:t>
            </w:r>
            <w:r>
              <w:rPr>
                <w:sz w:val="16"/>
                <w:szCs w:val="16"/>
              </w:rPr>
              <w:t>La Haya</w:t>
            </w:r>
            <w:r w:rsidRPr="004F598F">
              <w:rPr>
                <w:sz w:val="16"/>
                <w:szCs w:val="16"/>
              </w:rPr>
              <w:t xml:space="preserve"> presentadas se mantiene dentro de los límites.</w:t>
            </w:r>
          </w:p>
          <w:p w:rsidR="00236E18" w:rsidRPr="004F598F" w:rsidRDefault="00236E18" w:rsidP="00294272">
            <w:pPr>
              <w:ind w:left="282"/>
              <w:rPr>
                <w:sz w:val="16"/>
                <w:szCs w:val="16"/>
              </w:rPr>
            </w:pPr>
          </w:p>
        </w:tc>
        <w:tc>
          <w:tcPr>
            <w:tcW w:w="1847" w:type="dxa"/>
            <w:tcBorders>
              <w:top w:val="nil"/>
              <w:left w:val="nil"/>
              <w:bottom w:val="single" w:sz="4" w:space="0" w:color="auto"/>
              <w:right w:val="nil"/>
            </w:tcBorders>
            <w:shd w:val="clear" w:color="000000" w:fill="FFFFFF"/>
            <w:hideMark/>
          </w:tcPr>
          <w:p w:rsidR="00236E18" w:rsidRPr="004F598F" w:rsidRDefault="00236E18" w:rsidP="00294272">
            <w:pPr>
              <w:ind w:left="321" w:hanging="1"/>
              <w:rPr>
                <w:sz w:val="16"/>
                <w:szCs w:val="16"/>
              </w:rPr>
            </w:pPr>
            <w:r w:rsidRPr="004F598F">
              <w:rPr>
                <w:sz w:val="16"/>
                <w:szCs w:val="16"/>
                <w:lang w:val="es-ES_tradnl"/>
              </w:rPr>
              <w:t xml:space="preserve">A determinar a </w:t>
            </w:r>
            <w:r>
              <w:rPr>
                <w:sz w:val="16"/>
                <w:szCs w:val="16"/>
                <w:lang w:val="es-ES_tradnl"/>
              </w:rPr>
              <w:t>comienzos</w:t>
            </w:r>
            <w:r w:rsidRPr="004F598F">
              <w:rPr>
                <w:sz w:val="16"/>
                <w:szCs w:val="16"/>
                <w:lang w:val="es-ES_tradnl"/>
              </w:rPr>
              <w:t xml:space="preserve"> de 201</w:t>
            </w:r>
            <w:r w:rsidRPr="004F598F">
              <w:rPr>
                <w:sz w:val="16"/>
                <w:szCs w:val="16"/>
              </w:rPr>
              <w:t>6.</w:t>
            </w:r>
          </w:p>
        </w:tc>
        <w:tc>
          <w:tcPr>
            <w:tcW w:w="2126" w:type="dxa"/>
            <w:tcBorders>
              <w:top w:val="nil"/>
              <w:left w:val="nil"/>
              <w:bottom w:val="single" w:sz="4" w:space="0" w:color="auto"/>
              <w:right w:val="single" w:sz="4" w:space="0" w:color="auto"/>
            </w:tcBorders>
            <w:shd w:val="clear" w:color="000000" w:fill="FFFFFF"/>
            <w:hideMark/>
          </w:tcPr>
          <w:p w:rsidR="00236E18" w:rsidRPr="004F598F" w:rsidRDefault="00236E18" w:rsidP="00294272">
            <w:pPr>
              <w:ind w:left="382"/>
              <w:rPr>
                <w:sz w:val="16"/>
                <w:szCs w:val="16"/>
                <w:lang w:val="es-ES_tradnl"/>
              </w:rPr>
            </w:pPr>
            <w:r w:rsidRPr="004F598F">
              <w:rPr>
                <w:sz w:val="16"/>
                <w:szCs w:val="16"/>
              </w:rPr>
              <w:t>Previsiones en un 80% de intervalo de confianza</w:t>
            </w:r>
          </w:p>
        </w:tc>
      </w:tr>
      <w:tr w:rsidR="00236E18" w:rsidRPr="004F598F" w:rsidTr="00294272">
        <w:trPr>
          <w:trHeight w:val="563"/>
        </w:trPr>
        <w:tc>
          <w:tcPr>
            <w:tcW w:w="2460" w:type="dxa"/>
            <w:vMerge w:val="restart"/>
            <w:tcBorders>
              <w:top w:val="single" w:sz="4" w:space="0" w:color="auto"/>
              <w:left w:val="single" w:sz="4" w:space="0" w:color="auto"/>
              <w:bottom w:val="single" w:sz="4" w:space="0" w:color="auto"/>
              <w:right w:val="nil"/>
            </w:tcBorders>
            <w:shd w:val="clear" w:color="000000" w:fill="FFFFFF"/>
            <w:hideMark/>
          </w:tcPr>
          <w:p w:rsidR="00236E18" w:rsidRPr="00037E5E" w:rsidRDefault="00236E18" w:rsidP="00294272">
            <w:pPr>
              <w:keepNext/>
              <w:keepLines/>
              <w:rPr>
                <w:sz w:val="16"/>
                <w:szCs w:val="16"/>
              </w:rPr>
            </w:pPr>
            <w:r w:rsidRPr="00037E5E">
              <w:rPr>
                <w:sz w:val="16"/>
                <w:szCs w:val="16"/>
                <w:lang w:val="es-ES_tradnl"/>
              </w:rPr>
              <w:lastRenderedPageBreak/>
              <w:t>V.2  Uso más amplio y mejor de los análisis económicos de la OMPI en la formulación de políticas</w:t>
            </w:r>
          </w:p>
        </w:tc>
        <w:tc>
          <w:tcPr>
            <w:tcW w:w="3080" w:type="dxa"/>
            <w:tcBorders>
              <w:top w:val="single" w:sz="4" w:space="0" w:color="auto"/>
              <w:left w:val="nil"/>
              <w:right w:val="nil"/>
            </w:tcBorders>
            <w:shd w:val="clear" w:color="000000" w:fill="FFFFFF"/>
            <w:hideMark/>
          </w:tcPr>
          <w:p w:rsidR="00236E18" w:rsidRPr="004F598F" w:rsidRDefault="00236E18" w:rsidP="00294272">
            <w:pPr>
              <w:keepNext/>
              <w:keepLines/>
              <w:ind w:leftChars="64" w:left="141"/>
              <w:rPr>
                <w:sz w:val="16"/>
                <w:szCs w:val="16"/>
                <w:lang w:val="es-ES_tradnl"/>
              </w:rPr>
            </w:pPr>
            <w:r w:rsidRPr="004F598F">
              <w:rPr>
                <w:sz w:val="16"/>
                <w:szCs w:val="16"/>
              </w:rPr>
              <w:t>N</w:t>
            </w:r>
            <w:r>
              <w:rPr>
                <w:sz w:val="16"/>
                <w:szCs w:val="16"/>
              </w:rPr>
              <w:t>º</w:t>
            </w:r>
            <w:r w:rsidRPr="004F598F">
              <w:rPr>
                <w:sz w:val="16"/>
                <w:szCs w:val="16"/>
              </w:rPr>
              <w:t xml:space="preserve"> de visitantes por año de los sitios web del Índice Mundial de Innovación.</w:t>
            </w:r>
            <w:r>
              <w:rPr>
                <w:sz w:val="16"/>
                <w:szCs w:val="16"/>
              </w:rPr>
              <w:br/>
            </w:r>
          </w:p>
        </w:tc>
        <w:tc>
          <w:tcPr>
            <w:tcW w:w="1847" w:type="dxa"/>
            <w:tcBorders>
              <w:top w:val="single" w:sz="4" w:space="0" w:color="auto"/>
              <w:left w:val="nil"/>
              <w:right w:val="nil"/>
            </w:tcBorders>
            <w:shd w:val="clear" w:color="000000" w:fill="FFFFFF"/>
            <w:hideMark/>
          </w:tcPr>
          <w:p w:rsidR="00236E18" w:rsidRPr="004F598F" w:rsidRDefault="00236E18" w:rsidP="00294272">
            <w:pPr>
              <w:keepNext/>
              <w:keepLines/>
              <w:ind w:left="321" w:hanging="1"/>
              <w:rPr>
                <w:sz w:val="16"/>
                <w:szCs w:val="16"/>
              </w:rPr>
            </w:pPr>
            <w:r>
              <w:rPr>
                <w:sz w:val="16"/>
                <w:szCs w:val="16"/>
                <w:lang w:val="es-ES_tradnl"/>
              </w:rPr>
              <w:t>A determinar a fines de 2015</w:t>
            </w:r>
          </w:p>
        </w:tc>
        <w:tc>
          <w:tcPr>
            <w:tcW w:w="2126" w:type="dxa"/>
            <w:tcBorders>
              <w:top w:val="single" w:sz="4" w:space="0" w:color="auto"/>
              <w:left w:val="nil"/>
              <w:right w:val="single" w:sz="4" w:space="0" w:color="auto"/>
            </w:tcBorders>
            <w:shd w:val="clear" w:color="000000" w:fill="FFFFFF"/>
            <w:hideMark/>
          </w:tcPr>
          <w:p w:rsidR="00236E18" w:rsidRPr="004F598F" w:rsidRDefault="00236E18" w:rsidP="00294272">
            <w:pPr>
              <w:keepNext/>
              <w:keepLines/>
              <w:ind w:left="382"/>
              <w:rPr>
                <w:sz w:val="16"/>
                <w:szCs w:val="16"/>
                <w:lang w:val="es-ES_tradnl"/>
              </w:rPr>
            </w:pPr>
            <w:r w:rsidRPr="004F598F">
              <w:rPr>
                <w:sz w:val="16"/>
                <w:szCs w:val="16"/>
                <w:lang w:val="es-ES_tradnl"/>
              </w:rPr>
              <w:t>Por determinar</w:t>
            </w:r>
          </w:p>
        </w:tc>
      </w:tr>
      <w:tr w:rsidR="00236E18" w:rsidRPr="004F598F" w:rsidTr="00294272">
        <w:trPr>
          <w:trHeight w:val="690"/>
        </w:trPr>
        <w:tc>
          <w:tcPr>
            <w:tcW w:w="2460" w:type="dxa"/>
            <w:vMerge/>
            <w:tcBorders>
              <w:top w:val="single" w:sz="4" w:space="0" w:color="auto"/>
              <w:left w:val="single" w:sz="4" w:space="0" w:color="auto"/>
              <w:bottom w:val="single" w:sz="4" w:space="0" w:color="auto"/>
              <w:right w:val="nil"/>
            </w:tcBorders>
            <w:vAlign w:val="center"/>
            <w:hideMark/>
          </w:tcPr>
          <w:p w:rsidR="00236E18" w:rsidRPr="004F598F" w:rsidRDefault="00236E18" w:rsidP="00294272">
            <w:pPr>
              <w:keepNext/>
              <w:keepLines/>
              <w:rPr>
                <w:sz w:val="16"/>
                <w:szCs w:val="16"/>
              </w:rPr>
            </w:pPr>
          </w:p>
        </w:tc>
        <w:tc>
          <w:tcPr>
            <w:tcW w:w="3080" w:type="dxa"/>
            <w:tcBorders>
              <w:left w:val="nil"/>
              <w:bottom w:val="single" w:sz="4" w:space="0" w:color="auto"/>
              <w:right w:val="nil"/>
            </w:tcBorders>
            <w:shd w:val="clear" w:color="000000" w:fill="FFFFFF"/>
            <w:hideMark/>
          </w:tcPr>
          <w:p w:rsidR="00236E18" w:rsidRPr="004F598F" w:rsidRDefault="00236E18" w:rsidP="00294272">
            <w:pPr>
              <w:keepNext/>
              <w:keepLines/>
              <w:ind w:leftChars="64" w:left="141"/>
              <w:rPr>
                <w:sz w:val="16"/>
                <w:szCs w:val="16"/>
                <w:lang w:val="es-ES_tradnl"/>
              </w:rPr>
            </w:pPr>
            <w:r w:rsidRPr="004F598F">
              <w:rPr>
                <w:sz w:val="16"/>
                <w:szCs w:val="16"/>
              </w:rPr>
              <w:t>N</w:t>
            </w:r>
            <w:r>
              <w:rPr>
                <w:sz w:val="16"/>
                <w:szCs w:val="16"/>
              </w:rPr>
              <w:t>º</w:t>
            </w:r>
            <w:r w:rsidRPr="004F598F">
              <w:rPr>
                <w:sz w:val="16"/>
                <w:szCs w:val="16"/>
              </w:rPr>
              <w:t xml:space="preserve"> de descargas del Informe mundial sobre la P.I. en el plazo de 6 meses desde su publicación.</w:t>
            </w:r>
          </w:p>
        </w:tc>
        <w:tc>
          <w:tcPr>
            <w:tcW w:w="1847" w:type="dxa"/>
            <w:tcBorders>
              <w:left w:val="nil"/>
              <w:bottom w:val="single" w:sz="4" w:space="0" w:color="auto"/>
              <w:right w:val="nil"/>
            </w:tcBorders>
            <w:shd w:val="clear" w:color="000000" w:fill="FFFFFF"/>
            <w:hideMark/>
          </w:tcPr>
          <w:p w:rsidR="00236E18" w:rsidRPr="00E0093C" w:rsidRDefault="00236E18" w:rsidP="00294272">
            <w:pPr>
              <w:keepNext/>
              <w:keepLines/>
              <w:ind w:left="382"/>
              <w:rPr>
                <w:sz w:val="16"/>
                <w:szCs w:val="16"/>
                <w:vertAlign w:val="superscript"/>
                <w:lang w:val="es-ES_tradnl"/>
              </w:rPr>
            </w:pPr>
            <w:r w:rsidRPr="004F598F">
              <w:rPr>
                <w:sz w:val="16"/>
                <w:szCs w:val="16"/>
                <w:lang w:val="es-ES_tradnl"/>
              </w:rPr>
              <w:t>Por determinar.</w:t>
            </w:r>
            <w:r>
              <w:rPr>
                <w:sz w:val="16"/>
                <w:szCs w:val="16"/>
                <w:vertAlign w:val="superscript"/>
                <w:lang w:val="es-ES_tradnl"/>
              </w:rPr>
              <w:t>18</w:t>
            </w:r>
          </w:p>
        </w:tc>
        <w:tc>
          <w:tcPr>
            <w:tcW w:w="2126" w:type="dxa"/>
            <w:tcBorders>
              <w:left w:val="nil"/>
              <w:bottom w:val="single" w:sz="4" w:space="0" w:color="auto"/>
              <w:right w:val="single" w:sz="4" w:space="0" w:color="auto"/>
            </w:tcBorders>
            <w:shd w:val="clear" w:color="000000" w:fill="FFFFFF"/>
            <w:hideMark/>
          </w:tcPr>
          <w:p w:rsidR="00236E18" w:rsidRPr="004F598F" w:rsidRDefault="00236E18" w:rsidP="00294272">
            <w:pPr>
              <w:keepNext/>
              <w:keepLines/>
              <w:ind w:left="382"/>
              <w:rPr>
                <w:sz w:val="16"/>
                <w:szCs w:val="16"/>
                <w:lang w:val="es-ES_tradnl"/>
              </w:rPr>
            </w:pPr>
            <w:r w:rsidRPr="004F598F">
              <w:rPr>
                <w:sz w:val="16"/>
                <w:szCs w:val="16"/>
                <w:lang w:val="es-ES_tradnl"/>
              </w:rPr>
              <w:t>Por determinar.</w:t>
            </w:r>
          </w:p>
        </w:tc>
      </w:tr>
    </w:tbl>
    <w:p w:rsidR="00236E18" w:rsidRPr="004F598F" w:rsidRDefault="00236E18" w:rsidP="00236E18">
      <w:pPr>
        <w:jc w:val="both"/>
        <w:rPr>
          <w:bCs/>
          <w:sz w:val="20"/>
        </w:rPr>
      </w:pPr>
    </w:p>
    <w:p w:rsidR="00236E18" w:rsidRDefault="00236E18" w:rsidP="00236E18">
      <w:pPr>
        <w:shd w:val="clear" w:color="auto" w:fill="FFFFFF"/>
        <w:tabs>
          <w:tab w:val="left" w:pos="709"/>
        </w:tabs>
        <w:suppressAutoHyphens/>
        <w:jc w:val="both"/>
        <w:rPr>
          <w:sz w:val="20"/>
          <w:szCs w:val="21"/>
          <w:lang w:val="en-US"/>
        </w:rPr>
      </w:pPr>
    </w:p>
    <w:p w:rsidR="00236E18" w:rsidRPr="009D11D1" w:rsidRDefault="00236E18" w:rsidP="00236E18">
      <w:pPr>
        <w:jc w:val="both"/>
        <w:rPr>
          <w:bCs/>
          <w:highlight w:val="lightGray"/>
        </w:rPr>
      </w:pPr>
      <w:r w:rsidRPr="009D11D1">
        <w:rPr>
          <w:bCs/>
          <w:lang w:val="es-ES_tradnl"/>
        </w:rPr>
        <w:t>RECURSOS PARA EL PROGRAMA 16</w:t>
      </w:r>
    </w:p>
    <w:p w:rsidR="00236E18" w:rsidRPr="002908DF" w:rsidRDefault="00236E18" w:rsidP="00236E18">
      <w:pPr>
        <w:jc w:val="both"/>
        <w:rPr>
          <w:bCs/>
          <w:sz w:val="20"/>
          <w:highlight w:val="lightGray"/>
        </w:rPr>
      </w:pPr>
    </w:p>
    <w:p w:rsidR="00236E18" w:rsidRPr="00892A2A" w:rsidRDefault="00236E18" w:rsidP="00236E18">
      <w:pPr>
        <w:tabs>
          <w:tab w:val="left" w:pos="709"/>
        </w:tabs>
        <w:rPr>
          <w:sz w:val="20"/>
        </w:rPr>
      </w:pPr>
      <w:r w:rsidRPr="00892A2A">
        <w:rPr>
          <w:sz w:val="20"/>
        </w:rPr>
        <w:t>16.9.</w:t>
      </w:r>
      <w:r w:rsidRPr="00892A2A">
        <w:rPr>
          <w:sz w:val="20"/>
        </w:rPr>
        <w:tab/>
        <w:t>El aumento de la dotación de recursos de personal y no relativos a personal en el marco del resultado previsto V.1 (Uso más amplio y eficaz de la información estad</w:t>
      </w:r>
      <w:r>
        <w:rPr>
          <w:sz w:val="20"/>
        </w:rPr>
        <w:t>ística de la OMPI en materia de </w:t>
      </w:r>
      <w:r w:rsidRPr="00892A2A">
        <w:rPr>
          <w:sz w:val="20"/>
        </w:rPr>
        <w:t xml:space="preserve">P.I.) refleja los mayores esfuerzos invertidos para facilitar información estadística sobre los resultados del sistema de P.I. en todo el mundo y, en particular, para recabar nuevas estadísticas sobre </w:t>
      </w:r>
      <w:r>
        <w:rPr>
          <w:sz w:val="20"/>
        </w:rPr>
        <w:t xml:space="preserve">marcas, </w:t>
      </w:r>
      <w:r w:rsidRPr="00892A2A">
        <w:rPr>
          <w:sz w:val="20"/>
        </w:rPr>
        <w:t>indicaciones geográficas y derechos de autor y presentar informes al respecto</w:t>
      </w:r>
      <w:r>
        <w:rPr>
          <w:sz w:val="20"/>
        </w:rPr>
        <w:t>, esto último, en estrecha colaboración con el programa 3</w:t>
      </w:r>
      <w:r w:rsidRPr="00892A2A">
        <w:rPr>
          <w:sz w:val="20"/>
        </w:rPr>
        <w:t>.</w:t>
      </w:r>
    </w:p>
    <w:p w:rsidR="00236E18" w:rsidRPr="00892A2A" w:rsidRDefault="00236E18" w:rsidP="00236E18">
      <w:pPr>
        <w:rPr>
          <w:sz w:val="20"/>
        </w:rPr>
      </w:pPr>
    </w:p>
    <w:p w:rsidR="00236E18" w:rsidRPr="00892A2A" w:rsidRDefault="00236E18" w:rsidP="00236E18">
      <w:pPr>
        <w:tabs>
          <w:tab w:val="left" w:pos="709"/>
        </w:tabs>
        <w:rPr>
          <w:sz w:val="20"/>
        </w:rPr>
      </w:pPr>
      <w:r w:rsidRPr="00892A2A">
        <w:rPr>
          <w:sz w:val="20"/>
        </w:rPr>
        <w:t>16.10.</w:t>
      </w:r>
      <w:r w:rsidRPr="00892A2A">
        <w:rPr>
          <w:sz w:val="20"/>
        </w:rPr>
        <w:tab/>
        <w:t>El aumento de la dotación de recursos de personal y no relativos a personal en el marco del resultado previsto V.2 (Uso más amplio y eficaz de los análisis económicos de la OMPI) pone de manifiesto mayores compromisos de investigación, en particular, sobre políticas y resultados de las industrias creativas y sobre estudios en el marco del proyecto de la A.D “La P.I. y el desarrollo socioeconómico”.</w:t>
      </w:r>
    </w:p>
    <w:p w:rsidR="00236E18" w:rsidRPr="009D11D1" w:rsidRDefault="00236E18" w:rsidP="00236E18">
      <w:pPr>
        <w:jc w:val="both"/>
        <w:rPr>
          <w:bCs/>
          <w:highlight w:val="lightGray"/>
        </w:rPr>
      </w:pPr>
    </w:p>
    <w:p w:rsidR="00236E18" w:rsidRPr="009D11D1" w:rsidRDefault="00236E18" w:rsidP="00236E18">
      <w:pPr>
        <w:rPr>
          <w:highlight w:val="lightGray"/>
        </w:rPr>
      </w:pPr>
    </w:p>
    <w:p w:rsidR="00236E18" w:rsidRPr="009D11D1" w:rsidRDefault="00236E18" w:rsidP="00236E18">
      <w:pPr>
        <w:tabs>
          <w:tab w:val="left" w:pos="1427"/>
        </w:tabs>
        <w:jc w:val="center"/>
        <w:rPr>
          <w:sz w:val="20"/>
          <w:lang w:val="es-ES_tradnl"/>
        </w:rPr>
      </w:pPr>
      <w:r w:rsidRPr="009D11D1">
        <w:rPr>
          <w:b/>
          <w:sz w:val="20"/>
          <w:lang w:val="es-ES_tradnl"/>
        </w:rPr>
        <w:t>Programa 16</w:t>
      </w:r>
      <w:proofErr w:type="gramStart"/>
      <w:r w:rsidRPr="009D11D1">
        <w:rPr>
          <w:b/>
          <w:sz w:val="20"/>
          <w:lang w:val="es-ES_tradnl"/>
        </w:rPr>
        <w:t>:  Recursos</w:t>
      </w:r>
      <w:proofErr w:type="gramEnd"/>
      <w:r w:rsidRPr="009D11D1">
        <w:rPr>
          <w:b/>
          <w:sz w:val="20"/>
          <w:lang w:val="es-ES_tradnl"/>
        </w:rPr>
        <w:t xml:space="preserve"> por resultado </w:t>
      </w:r>
    </w:p>
    <w:p w:rsidR="00236E18" w:rsidRPr="009D11D1" w:rsidRDefault="00236E18" w:rsidP="00236E18">
      <w:pPr>
        <w:tabs>
          <w:tab w:val="left" w:pos="1427"/>
        </w:tabs>
        <w:jc w:val="center"/>
        <w:rPr>
          <w:i/>
          <w:szCs w:val="24"/>
          <w:highlight w:val="lightGray"/>
          <w:lang w:val="es-ES_tradnl"/>
        </w:rPr>
      </w:pPr>
      <w:r w:rsidRPr="009D11D1">
        <w:rPr>
          <w:i/>
          <w:sz w:val="20"/>
          <w:lang w:val="es-ES_tradnl"/>
        </w:rPr>
        <w:t>(</w:t>
      </w:r>
      <w:proofErr w:type="gramStart"/>
      <w:r w:rsidRPr="009D11D1">
        <w:rPr>
          <w:i/>
          <w:sz w:val="20"/>
          <w:lang w:val="es-ES_tradnl"/>
        </w:rPr>
        <w:t>en</w:t>
      </w:r>
      <w:proofErr w:type="gramEnd"/>
      <w:r w:rsidRPr="009D11D1">
        <w:rPr>
          <w:i/>
          <w:sz w:val="20"/>
          <w:lang w:val="es-ES_tradnl"/>
        </w:rPr>
        <w:t xml:space="preserve"> miles de francos suizos)</w:t>
      </w:r>
    </w:p>
    <w:p w:rsidR="00236E18" w:rsidRPr="009D11D1" w:rsidRDefault="00236E18" w:rsidP="00236E18">
      <w:pPr>
        <w:tabs>
          <w:tab w:val="left" w:pos="1427"/>
        </w:tabs>
        <w:jc w:val="center"/>
        <w:rPr>
          <w:i/>
          <w:szCs w:val="24"/>
          <w:highlight w:val="lightGray"/>
          <w:lang w:val="es-ES_tradnl"/>
        </w:rPr>
      </w:pPr>
    </w:p>
    <w:p w:rsidR="00236E18" w:rsidRPr="002908DF" w:rsidRDefault="00236E18" w:rsidP="00236E18">
      <w:pPr>
        <w:tabs>
          <w:tab w:val="left" w:pos="1427"/>
        </w:tabs>
        <w:jc w:val="center"/>
        <w:rPr>
          <w:highlight w:val="lightGray"/>
        </w:rPr>
      </w:pPr>
      <w:r w:rsidRPr="00E0093C">
        <w:rPr>
          <w:noProof/>
          <w:lang w:val="en-US" w:eastAsia="en-US"/>
        </w:rPr>
        <w:drawing>
          <wp:inline distT="0" distB="0" distL="0" distR="0" wp14:anchorId="128E7AE9" wp14:editId="7F0E0014">
            <wp:extent cx="5676900" cy="1521460"/>
            <wp:effectExtent l="0" t="0" r="0" b="2540"/>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676900" cy="1521460"/>
                    </a:xfrm>
                    <a:prstGeom prst="rect">
                      <a:avLst/>
                    </a:prstGeom>
                    <a:noFill/>
                    <a:ln>
                      <a:noFill/>
                    </a:ln>
                  </pic:spPr>
                </pic:pic>
              </a:graphicData>
            </a:graphic>
          </wp:inline>
        </w:drawing>
      </w:r>
    </w:p>
    <w:p w:rsidR="00236E18" w:rsidRPr="002908DF" w:rsidRDefault="00236E18" w:rsidP="00236E18">
      <w:pPr>
        <w:tabs>
          <w:tab w:val="left" w:pos="1427"/>
        </w:tabs>
        <w:jc w:val="center"/>
        <w:rPr>
          <w:highlight w:val="lightGray"/>
        </w:rPr>
      </w:pPr>
    </w:p>
    <w:p w:rsidR="00236E18" w:rsidRPr="002908DF" w:rsidRDefault="00236E18" w:rsidP="00236E18">
      <w:pPr>
        <w:rPr>
          <w:highlight w:val="lightGray"/>
        </w:rPr>
      </w:pPr>
    </w:p>
    <w:p w:rsidR="00236E18" w:rsidRPr="005012AC" w:rsidRDefault="00236E18" w:rsidP="00236E18">
      <w:pPr>
        <w:keepNext/>
        <w:keepLines/>
        <w:tabs>
          <w:tab w:val="left" w:pos="1427"/>
        </w:tabs>
        <w:jc w:val="center"/>
        <w:rPr>
          <w:sz w:val="20"/>
          <w:lang w:val="es-ES_tradnl"/>
        </w:rPr>
      </w:pPr>
      <w:r w:rsidRPr="005012AC">
        <w:rPr>
          <w:b/>
          <w:sz w:val="20"/>
          <w:lang w:val="es-ES_tradnl"/>
        </w:rPr>
        <w:lastRenderedPageBreak/>
        <w:t>Programa 16</w:t>
      </w:r>
      <w:proofErr w:type="gramStart"/>
      <w:r w:rsidRPr="005012AC">
        <w:rPr>
          <w:b/>
          <w:sz w:val="20"/>
          <w:lang w:val="es-ES_tradnl"/>
        </w:rPr>
        <w:t>:  Recursos</w:t>
      </w:r>
      <w:proofErr w:type="gramEnd"/>
      <w:r w:rsidRPr="005012AC">
        <w:rPr>
          <w:b/>
          <w:sz w:val="20"/>
          <w:lang w:val="es-ES_tradnl"/>
        </w:rPr>
        <w:t xml:space="preserve"> por objeto de gasto</w:t>
      </w:r>
    </w:p>
    <w:p w:rsidR="00236E18" w:rsidRPr="005012AC" w:rsidRDefault="00236E18" w:rsidP="00236E18">
      <w:pPr>
        <w:keepNext/>
        <w:keepLines/>
        <w:tabs>
          <w:tab w:val="left" w:pos="1427"/>
        </w:tabs>
        <w:jc w:val="center"/>
        <w:rPr>
          <w:i/>
          <w:szCs w:val="24"/>
          <w:highlight w:val="lightGray"/>
          <w:lang w:val="es-ES_tradnl"/>
        </w:rPr>
      </w:pPr>
      <w:r w:rsidRPr="005012AC">
        <w:rPr>
          <w:i/>
          <w:sz w:val="20"/>
          <w:lang w:val="es-ES_tradnl"/>
        </w:rPr>
        <w:t>(</w:t>
      </w:r>
      <w:proofErr w:type="gramStart"/>
      <w:r w:rsidRPr="005012AC">
        <w:rPr>
          <w:i/>
          <w:sz w:val="20"/>
          <w:lang w:val="es-ES_tradnl"/>
        </w:rPr>
        <w:t>en</w:t>
      </w:r>
      <w:proofErr w:type="gramEnd"/>
      <w:r w:rsidRPr="005012AC">
        <w:rPr>
          <w:i/>
          <w:sz w:val="20"/>
          <w:lang w:val="es-ES_tradnl"/>
        </w:rPr>
        <w:t xml:space="preserve"> miles de francos suizos)</w:t>
      </w:r>
    </w:p>
    <w:p w:rsidR="00236E18" w:rsidRPr="005012AC" w:rsidRDefault="00236E18" w:rsidP="00236E18">
      <w:pPr>
        <w:keepNext/>
        <w:keepLines/>
        <w:tabs>
          <w:tab w:val="left" w:pos="1427"/>
        </w:tabs>
        <w:jc w:val="center"/>
        <w:rPr>
          <w:i/>
          <w:szCs w:val="24"/>
          <w:highlight w:val="lightGray"/>
          <w:lang w:val="es-ES_tradnl"/>
        </w:rPr>
      </w:pPr>
    </w:p>
    <w:p w:rsidR="00236E18" w:rsidRPr="009B4A78" w:rsidRDefault="00236E18" w:rsidP="00236E18">
      <w:pPr>
        <w:jc w:val="center"/>
        <w:rPr>
          <w:bCs/>
        </w:rPr>
      </w:pPr>
      <w:r>
        <w:rPr>
          <w:noProof/>
          <w:lang w:val="en-US" w:eastAsia="en-US"/>
        </w:rPr>
        <w:drawing>
          <wp:inline distT="0" distB="0" distL="0" distR="0" wp14:anchorId="561F947A" wp14:editId="148FE304">
            <wp:extent cx="5940425" cy="6607453"/>
            <wp:effectExtent l="0" t="0" r="3175" b="3175"/>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940425" cy="6607453"/>
                    </a:xfrm>
                    <a:prstGeom prst="rect">
                      <a:avLst/>
                    </a:prstGeom>
                    <a:noFill/>
                    <a:ln>
                      <a:noFill/>
                    </a:ln>
                  </pic:spPr>
                </pic:pic>
              </a:graphicData>
            </a:graphic>
          </wp:inline>
        </w:drawing>
      </w:r>
    </w:p>
    <w:p w:rsidR="00236E18" w:rsidRDefault="00236E18" w:rsidP="00236E18">
      <w:pPr>
        <w:shd w:val="clear" w:color="auto" w:fill="FFFFFF"/>
        <w:tabs>
          <w:tab w:val="left" w:pos="709"/>
        </w:tabs>
        <w:suppressAutoHyphens/>
        <w:jc w:val="both"/>
        <w:rPr>
          <w:sz w:val="20"/>
          <w:szCs w:val="21"/>
          <w:lang w:val="en-US"/>
        </w:rPr>
      </w:pPr>
    </w:p>
    <w:p w:rsidR="00236E18" w:rsidRDefault="00236E18" w:rsidP="00236E18">
      <w:pPr>
        <w:rPr>
          <w:sz w:val="20"/>
          <w:szCs w:val="21"/>
          <w:lang w:val="en-US"/>
        </w:rPr>
      </w:pPr>
      <w:r>
        <w:rPr>
          <w:sz w:val="20"/>
          <w:szCs w:val="21"/>
          <w:lang w:val="en-US"/>
        </w:rPr>
        <w:br w:type="page"/>
      </w:r>
    </w:p>
    <w:p w:rsidR="00236E18" w:rsidRPr="000278D6" w:rsidRDefault="00236E18" w:rsidP="00236E18">
      <w:pPr>
        <w:pStyle w:val="StyleHeading3ComplexItalic"/>
        <w:tabs>
          <w:tab w:val="clear" w:pos="1985"/>
          <w:tab w:val="left" w:pos="3119"/>
        </w:tabs>
        <w:ind w:left="3119" w:hanging="3119"/>
        <w:rPr>
          <w:rStyle w:val="StyleStyleHeading3ComplexItalicLatin12ptChar"/>
          <w:rFonts w:eastAsia="SimSun"/>
          <w:b/>
          <w:highlight w:val="lightGray"/>
          <w:lang w:val="es-ES_tradnl"/>
        </w:rPr>
      </w:pPr>
      <w:bookmarkStart w:id="91" w:name="_Toc367350594"/>
      <w:bookmarkStart w:id="92" w:name="_Toc419283263"/>
      <w:bookmarkStart w:id="93" w:name="_Toc431573562"/>
      <w:bookmarkStart w:id="94" w:name="_Toc431573963"/>
      <w:r w:rsidRPr="000278D6">
        <w:rPr>
          <w:rStyle w:val="StyleStyleHeading3ComplexItalicLatin12ptChar"/>
          <w:rFonts w:eastAsia="SimSun"/>
          <w:b/>
          <w:lang w:val="es-ES_tradnl"/>
        </w:rPr>
        <w:lastRenderedPageBreak/>
        <w:t>META ESTRATÉGICA VI</w:t>
      </w:r>
      <w:r w:rsidRPr="000278D6">
        <w:rPr>
          <w:rStyle w:val="StyleStyleHeading3ComplexItalicLatin12ptChar"/>
          <w:rFonts w:eastAsia="SimSun"/>
          <w:b/>
          <w:lang w:val="es-ES_tradnl"/>
        </w:rPr>
        <w:tab/>
      </w:r>
      <w:bookmarkEnd w:id="91"/>
      <w:bookmarkEnd w:id="92"/>
      <w:r w:rsidRPr="000278D6">
        <w:rPr>
          <w:rStyle w:val="StyleStyleHeading3ComplexItalicLatin12ptChar"/>
          <w:rFonts w:eastAsia="SimSun"/>
          <w:b/>
          <w:lang w:val="es-ES_tradnl"/>
        </w:rPr>
        <w:t>COOPERACIÓN INTERNACIONAL PARA FOMENTAR EL RESPETO POR LA P.I.</w:t>
      </w:r>
      <w:bookmarkEnd w:id="93"/>
      <w:bookmarkEnd w:id="94"/>
    </w:p>
    <w:p w:rsidR="00236E18" w:rsidRPr="00696AF1" w:rsidRDefault="00236E18" w:rsidP="00236E18">
      <w:pPr>
        <w:tabs>
          <w:tab w:val="left" w:pos="1701"/>
        </w:tabs>
        <w:ind w:left="1701" w:hanging="1701"/>
        <w:jc w:val="center"/>
        <w:rPr>
          <w:b/>
          <w:bCs/>
          <w:caps/>
          <w:szCs w:val="24"/>
          <w:highlight w:val="lightGray"/>
          <w:lang w:val="es-ES_tradnl"/>
        </w:rPr>
      </w:pPr>
    </w:p>
    <w:p w:rsidR="00236E18" w:rsidRPr="00696AF1" w:rsidRDefault="00236E18" w:rsidP="00236E18">
      <w:pPr>
        <w:tabs>
          <w:tab w:val="left" w:pos="1701"/>
        </w:tabs>
        <w:ind w:left="1701" w:hanging="1701"/>
        <w:jc w:val="center"/>
        <w:rPr>
          <w:b/>
          <w:bCs/>
          <w:caps/>
          <w:szCs w:val="24"/>
          <w:highlight w:val="lightGray"/>
          <w:lang w:val="es-ES_tradnl"/>
        </w:rPr>
      </w:pPr>
    </w:p>
    <w:p w:rsidR="00236E18" w:rsidRPr="00696AF1" w:rsidRDefault="00236E18" w:rsidP="00236E18">
      <w:pPr>
        <w:jc w:val="both"/>
        <w:rPr>
          <w:sz w:val="20"/>
          <w:lang w:val="es-ES_tradnl"/>
        </w:rPr>
      </w:pPr>
      <w:r w:rsidRPr="00696AF1">
        <w:rPr>
          <w:sz w:val="20"/>
          <w:lang w:val="es-ES_tradnl"/>
        </w:rPr>
        <w:t>Fomentar el respeto por la P.I. entraña adoptar un enfoque más amplio que va más allá de la mera observancia de los derechos.  Exige dar prioridad a la cooperación internacional, ámbito en el que la OMPI puede lograr resultados tangibles.  Se trata de un amplio objetivo que atañe a distintos sectores y constituye el eje de muchas de las actividades de la Organización.  El Comité Asesor de la OMPI sobre Observancia (ACE) es un mecanismo del que se sirven los Estados miembros para coordinar la labor que se realiza en aras de ese objetivo.  Las actividades realizadas en el marco de esta meta estratégica se rigen por la recomendación 45 de la A.D.</w:t>
      </w:r>
    </w:p>
    <w:p w:rsidR="00236E18" w:rsidRPr="0074473B" w:rsidRDefault="00236E18" w:rsidP="00236E18">
      <w:pPr>
        <w:tabs>
          <w:tab w:val="left" w:pos="1701"/>
        </w:tabs>
        <w:ind w:left="1701" w:hanging="1701"/>
        <w:jc w:val="center"/>
        <w:rPr>
          <w:bCs/>
          <w:iCs/>
          <w:caps/>
          <w:sz w:val="20"/>
          <w:highlight w:val="lightGray"/>
          <w:lang w:val="es-ES_tradnl"/>
        </w:rPr>
      </w:pPr>
    </w:p>
    <w:p w:rsidR="00236E18" w:rsidRPr="0074473B" w:rsidRDefault="00236E18" w:rsidP="00236E18">
      <w:pPr>
        <w:tabs>
          <w:tab w:val="left" w:pos="1701"/>
        </w:tabs>
        <w:ind w:left="1701" w:hanging="1701"/>
        <w:jc w:val="center"/>
        <w:rPr>
          <w:bCs/>
          <w:iCs/>
          <w:caps/>
          <w:sz w:val="20"/>
          <w:highlight w:val="lightGray"/>
          <w:lang w:val="es-ES_tradnl"/>
        </w:rPr>
      </w:pPr>
    </w:p>
    <w:tbl>
      <w:tblPr>
        <w:tblW w:w="4937"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13"/>
        <w:gridCol w:w="2722"/>
        <w:gridCol w:w="3215"/>
      </w:tblGrid>
      <w:tr w:rsidR="00236E18" w:rsidRPr="00245E53" w:rsidTr="00294272">
        <w:trPr>
          <w:cantSplit/>
          <w:trHeight w:val="415"/>
        </w:trPr>
        <w:tc>
          <w:tcPr>
            <w:tcW w:w="1859" w:type="pct"/>
            <w:tcBorders>
              <w:top w:val="single" w:sz="4" w:space="0" w:color="auto"/>
              <w:bottom w:val="single" w:sz="4" w:space="0" w:color="auto"/>
            </w:tcBorders>
            <w:shd w:val="clear" w:color="auto" w:fill="C6D9F1" w:themeFill="text2" w:themeFillTint="33"/>
            <w:vAlign w:val="center"/>
          </w:tcPr>
          <w:p w:rsidR="00236E18" w:rsidRPr="00245E53" w:rsidRDefault="00236E18" w:rsidP="00294272">
            <w:pPr>
              <w:spacing w:after="120"/>
              <w:jc w:val="center"/>
              <w:rPr>
                <w:b/>
                <w:bCs/>
                <w:sz w:val="18"/>
                <w:szCs w:val="18"/>
              </w:rPr>
            </w:pPr>
            <w:r w:rsidRPr="00245E53">
              <w:rPr>
                <w:b/>
                <w:bCs/>
                <w:sz w:val="18"/>
                <w:szCs w:val="18"/>
                <w:lang w:val="es-ES_tradnl"/>
              </w:rPr>
              <w:t>Resultados previstos</w:t>
            </w:r>
          </w:p>
        </w:tc>
        <w:tc>
          <w:tcPr>
            <w:tcW w:w="1440" w:type="pct"/>
            <w:tcBorders>
              <w:top w:val="single" w:sz="4" w:space="0" w:color="auto"/>
              <w:bottom w:val="single" w:sz="4" w:space="0" w:color="auto"/>
            </w:tcBorders>
            <w:shd w:val="clear" w:color="auto" w:fill="C6D9F1" w:themeFill="text2" w:themeFillTint="33"/>
            <w:tcMar>
              <w:top w:w="110" w:type="dxa"/>
            </w:tcMar>
            <w:vAlign w:val="center"/>
          </w:tcPr>
          <w:p w:rsidR="00236E18" w:rsidRPr="00245E53" w:rsidRDefault="00236E18" w:rsidP="00294272">
            <w:pPr>
              <w:spacing w:after="120"/>
              <w:jc w:val="center"/>
              <w:rPr>
                <w:b/>
                <w:bCs/>
                <w:sz w:val="18"/>
                <w:szCs w:val="18"/>
              </w:rPr>
            </w:pPr>
            <w:r w:rsidRPr="00245E53">
              <w:rPr>
                <w:b/>
                <w:bCs/>
                <w:sz w:val="18"/>
                <w:szCs w:val="18"/>
                <w:lang w:val="es-ES_tradnl"/>
              </w:rPr>
              <w:t>Indicadores de rendimiento</w:t>
            </w:r>
          </w:p>
        </w:tc>
        <w:tc>
          <w:tcPr>
            <w:tcW w:w="1701" w:type="pct"/>
            <w:tcBorders>
              <w:top w:val="single" w:sz="4" w:space="0" w:color="auto"/>
              <w:bottom w:val="single" w:sz="4" w:space="0" w:color="auto"/>
            </w:tcBorders>
            <w:shd w:val="clear" w:color="auto" w:fill="C6D9F1" w:themeFill="text2" w:themeFillTint="33"/>
            <w:tcMar>
              <w:top w:w="110" w:type="dxa"/>
            </w:tcMar>
            <w:vAlign w:val="center"/>
          </w:tcPr>
          <w:p w:rsidR="00236E18" w:rsidRPr="00245E53" w:rsidRDefault="00236E18" w:rsidP="00294272">
            <w:pPr>
              <w:spacing w:after="120"/>
              <w:ind w:left="85"/>
              <w:jc w:val="center"/>
              <w:rPr>
                <w:b/>
                <w:bCs/>
                <w:sz w:val="18"/>
                <w:szCs w:val="18"/>
              </w:rPr>
            </w:pPr>
            <w:r w:rsidRPr="00245E53">
              <w:rPr>
                <w:b/>
                <w:bCs/>
                <w:sz w:val="18"/>
                <w:szCs w:val="18"/>
                <w:lang w:val="es-ES_tradnl"/>
              </w:rPr>
              <w:t>Programas responsables</w:t>
            </w:r>
          </w:p>
        </w:tc>
      </w:tr>
      <w:tr w:rsidR="00236E18" w:rsidRPr="00245E53" w:rsidTr="00294272">
        <w:trPr>
          <w:cantSplit/>
          <w:trHeight w:val="944"/>
        </w:trPr>
        <w:tc>
          <w:tcPr>
            <w:tcW w:w="1859" w:type="pct"/>
            <w:tcBorders>
              <w:top w:val="single" w:sz="4" w:space="0" w:color="auto"/>
            </w:tcBorders>
            <w:shd w:val="clear" w:color="auto" w:fill="auto"/>
            <w:tcMar>
              <w:top w:w="113" w:type="dxa"/>
              <w:bottom w:w="85" w:type="dxa"/>
            </w:tcMar>
          </w:tcPr>
          <w:p w:rsidR="00236E18" w:rsidRPr="00E0093C" w:rsidRDefault="00236E18" w:rsidP="00294272">
            <w:pPr>
              <w:rPr>
                <w:sz w:val="16"/>
                <w:szCs w:val="16"/>
                <w:highlight w:val="lightGray"/>
                <w:lang w:val="es-ES_tradnl"/>
              </w:rPr>
            </w:pPr>
            <w:r w:rsidRPr="00E0093C">
              <w:rPr>
                <w:sz w:val="16"/>
                <w:szCs w:val="16"/>
                <w:lang w:val="es-ES_tradnl"/>
              </w:rPr>
              <w:t>VI.1  Avances en el diálogo internacional sobre políticas entre los Estados miembros de la OMPI para fomentar el respeto por la P.I. sobre la base de la recomendación 45 de la Agenda de la OMPI para el Desarrollo</w:t>
            </w:r>
          </w:p>
        </w:tc>
        <w:tc>
          <w:tcPr>
            <w:tcW w:w="1440" w:type="pct"/>
            <w:tcBorders>
              <w:top w:val="single" w:sz="4" w:space="0" w:color="auto"/>
            </w:tcBorders>
            <w:shd w:val="clear" w:color="auto" w:fill="auto"/>
            <w:tcMar>
              <w:top w:w="113" w:type="dxa"/>
              <w:bottom w:w="85" w:type="dxa"/>
            </w:tcMar>
          </w:tcPr>
          <w:p w:rsidR="00236E18" w:rsidRPr="00245E53" w:rsidRDefault="00236E18" w:rsidP="00294272">
            <w:pPr>
              <w:rPr>
                <w:sz w:val="16"/>
                <w:szCs w:val="16"/>
                <w:highlight w:val="lightGray"/>
                <w:lang w:val="es-ES_tradnl"/>
              </w:rPr>
            </w:pPr>
            <w:r w:rsidRPr="00245E53">
              <w:rPr>
                <w:sz w:val="16"/>
                <w:szCs w:val="16"/>
                <w:lang w:val="es-ES_tradnl"/>
              </w:rPr>
              <w:t>Acuerdo constante entre los Estados miembros sobre la labor sustantiva del Comité Asesor de la OMPI sobre Observancia (ACE), al incorporar elementos orientados al desarrollo.</w:t>
            </w:r>
          </w:p>
        </w:tc>
        <w:tc>
          <w:tcPr>
            <w:tcW w:w="1701" w:type="pct"/>
            <w:tcBorders>
              <w:top w:val="single" w:sz="4" w:space="0" w:color="auto"/>
            </w:tcBorders>
            <w:shd w:val="clear" w:color="auto" w:fill="FFFFFF"/>
            <w:tcMar>
              <w:top w:w="113" w:type="dxa"/>
              <w:bottom w:w="85" w:type="dxa"/>
            </w:tcMar>
          </w:tcPr>
          <w:p w:rsidR="00236E18" w:rsidRPr="00245E53" w:rsidRDefault="00236E18" w:rsidP="00294272">
            <w:pPr>
              <w:ind w:left="769"/>
              <w:rPr>
                <w:sz w:val="16"/>
                <w:szCs w:val="16"/>
                <w:highlight w:val="lightGray"/>
              </w:rPr>
            </w:pPr>
            <w:r w:rsidRPr="00245E53">
              <w:rPr>
                <w:sz w:val="16"/>
                <w:szCs w:val="16"/>
                <w:lang w:val="es-ES_tradnl"/>
              </w:rPr>
              <w:t>Programa 17</w:t>
            </w:r>
          </w:p>
        </w:tc>
      </w:tr>
      <w:tr w:rsidR="00236E18" w:rsidRPr="00245E53" w:rsidTr="00294272">
        <w:trPr>
          <w:cantSplit/>
          <w:trHeight w:val="704"/>
        </w:trPr>
        <w:tc>
          <w:tcPr>
            <w:tcW w:w="1859" w:type="pct"/>
            <w:shd w:val="clear" w:color="auto" w:fill="auto"/>
            <w:tcMar>
              <w:top w:w="113" w:type="dxa"/>
              <w:bottom w:w="85" w:type="dxa"/>
            </w:tcMar>
          </w:tcPr>
          <w:p w:rsidR="00236E18" w:rsidRPr="00E0093C" w:rsidRDefault="00236E18" w:rsidP="00294272">
            <w:pPr>
              <w:rPr>
                <w:sz w:val="16"/>
                <w:szCs w:val="16"/>
                <w:highlight w:val="lightGray"/>
                <w:lang w:val="es-ES_tradnl"/>
              </w:rPr>
            </w:pPr>
            <w:r w:rsidRPr="00E0093C">
              <w:rPr>
                <w:sz w:val="16"/>
                <w:szCs w:val="16"/>
                <w:lang w:val="es-ES_tradnl"/>
              </w:rPr>
              <w:t>VI.2  Cooperación y coordinación sistemáticas, eficaces y transparentes entre la OMPI y otras organizaciones internacionales en el fomento del respeto por la P.I.</w:t>
            </w:r>
          </w:p>
        </w:tc>
        <w:tc>
          <w:tcPr>
            <w:tcW w:w="1440" w:type="pct"/>
            <w:shd w:val="clear" w:color="auto" w:fill="auto"/>
            <w:tcMar>
              <w:top w:w="113" w:type="dxa"/>
              <w:bottom w:w="85" w:type="dxa"/>
            </w:tcMar>
          </w:tcPr>
          <w:p w:rsidR="00236E18" w:rsidRPr="00245E53" w:rsidRDefault="00236E18" w:rsidP="00294272">
            <w:pPr>
              <w:rPr>
                <w:sz w:val="16"/>
                <w:szCs w:val="16"/>
              </w:rPr>
            </w:pPr>
            <w:r w:rsidRPr="00245E53">
              <w:rPr>
                <w:sz w:val="16"/>
                <w:szCs w:val="16"/>
              </w:rPr>
              <w:t>N</w:t>
            </w:r>
            <w:r>
              <w:rPr>
                <w:sz w:val="16"/>
                <w:szCs w:val="16"/>
              </w:rPr>
              <w:t>º</w:t>
            </w:r>
            <w:r w:rsidRPr="00245E53">
              <w:rPr>
                <w:sz w:val="16"/>
                <w:szCs w:val="16"/>
              </w:rPr>
              <w:t xml:space="preserve"> de colaboraciones estratégicas u otras actividades conjuntas con organizaciones asociadas sobre el fomento del respeto por la P.I.</w:t>
            </w:r>
          </w:p>
        </w:tc>
        <w:tc>
          <w:tcPr>
            <w:tcW w:w="1701" w:type="pct"/>
            <w:shd w:val="clear" w:color="auto" w:fill="FFFFFF"/>
            <w:tcMar>
              <w:top w:w="113" w:type="dxa"/>
              <w:bottom w:w="85" w:type="dxa"/>
            </w:tcMar>
          </w:tcPr>
          <w:p w:rsidR="00236E18" w:rsidRPr="00245E53" w:rsidRDefault="00236E18" w:rsidP="00294272">
            <w:pPr>
              <w:ind w:left="769"/>
              <w:rPr>
                <w:sz w:val="16"/>
                <w:szCs w:val="16"/>
              </w:rPr>
            </w:pPr>
            <w:r w:rsidRPr="00245E53">
              <w:rPr>
                <w:sz w:val="16"/>
                <w:szCs w:val="16"/>
                <w:lang w:val="es-ES_tradnl"/>
              </w:rPr>
              <w:t>Programa 17</w:t>
            </w:r>
          </w:p>
        </w:tc>
      </w:tr>
    </w:tbl>
    <w:p w:rsidR="00236E18" w:rsidRPr="00245E53" w:rsidRDefault="00236E18" w:rsidP="00236E18">
      <w:pPr>
        <w:rPr>
          <w:bCs/>
        </w:rPr>
      </w:pPr>
    </w:p>
    <w:p w:rsidR="00236E18" w:rsidRDefault="00236E18" w:rsidP="00236E18">
      <w:pPr>
        <w:shd w:val="clear" w:color="auto" w:fill="FFFFFF"/>
        <w:tabs>
          <w:tab w:val="left" w:pos="709"/>
        </w:tabs>
        <w:suppressAutoHyphens/>
        <w:jc w:val="both"/>
        <w:rPr>
          <w:sz w:val="20"/>
          <w:szCs w:val="21"/>
          <w:lang w:val="en-US"/>
        </w:rPr>
      </w:pPr>
    </w:p>
    <w:p w:rsidR="00236E18" w:rsidRDefault="00236E18" w:rsidP="00236E18">
      <w:pPr>
        <w:rPr>
          <w:sz w:val="20"/>
          <w:szCs w:val="21"/>
          <w:lang w:val="en-US"/>
        </w:rPr>
      </w:pPr>
      <w:r>
        <w:rPr>
          <w:sz w:val="20"/>
          <w:szCs w:val="21"/>
          <w:lang w:val="en-US"/>
        </w:rPr>
        <w:br w:type="page"/>
      </w:r>
    </w:p>
    <w:p w:rsidR="00236E18" w:rsidRPr="00F32F10" w:rsidRDefault="00236E18" w:rsidP="00236E18">
      <w:pPr>
        <w:shd w:val="clear" w:color="auto" w:fill="FFFFFF"/>
        <w:tabs>
          <w:tab w:val="left" w:pos="709"/>
        </w:tabs>
        <w:suppressAutoHyphens/>
        <w:jc w:val="both"/>
        <w:rPr>
          <w:sz w:val="20"/>
          <w:szCs w:val="21"/>
          <w:lang w:val="en-US"/>
        </w:rPr>
      </w:pPr>
    </w:p>
    <w:p w:rsidR="00236E18" w:rsidRPr="00336FF1" w:rsidRDefault="00236E18" w:rsidP="00236E18">
      <w:pPr>
        <w:pStyle w:val="StyleStyleHeading3ComplexItalicLatin12pt"/>
        <w:rPr>
          <w:lang w:val="es-ES"/>
        </w:rPr>
      </w:pPr>
      <w:bookmarkStart w:id="95" w:name="_Toc431573563"/>
      <w:bookmarkStart w:id="96" w:name="_Toc431573964"/>
      <w:r w:rsidRPr="00336FF1">
        <w:rPr>
          <w:caps w:val="0"/>
          <w:lang w:val="es-ES"/>
        </w:rPr>
        <w:t>PROGRAMA 17</w:t>
      </w:r>
      <w:r w:rsidRPr="00336FF1">
        <w:rPr>
          <w:caps w:val="0"/>
          <w:lang w:val="es-ES"/>
        </w:rPr>
        <w:tab/>
        <w:t>FOMENTAR EL RESPETO POR LA P.I.</w:t>
      </w:r>
      <w:bookmarkEnd w:id="95"/>
      <w:bookmarkEnd w:id="96"/>
    </w:p>
    <w:p w:rsidR="00236E18" w:rsidRPr="00336FF1" w:rsidRDefault="00236E18" w:rsidP="00236E18">
      <w:pPr>
        <w:jc w:val="both"/>
      </w:pPr>
    </w:p>
    <w:p w:rsidR="00236E18" w:rsidRPr="00336FF1" w:rsidRDefault="00236E18" w:rsidP="00236E18"/>
    <w:p w:rsidR="00236E18" w:rsidRPr="00E0093C" w:rsidRDefault="00236E18" w:rsidP="00236E18">
      <w:r w:rsidRPr="00E0093C">
        <w:t>CONTEXTO DE PLANIFICACIÓN</w:t>
      </w:r>
    </w:p>
    <w:p w:rsidR="00236E18" w:rsidRPr="00336FF1" w:rsidRDefault="00236E18" w:rsidP="00236E18">
      <w:pPr>
        <w:tabs>
          <w:tab w:val="left" w:pos="567"/>
          <w:tab w:val="left" w:pos="1985"/>
        </w:tabs>
        <w:jc w:val="both"/>
        <w:rPr>
          <w:bCs/>
          <w:sz w:val="20"/>
        </w:rPr>
      </w:pPr>
    </w:p>
    <w:p w:rsidR="00236E18" w:rsidRPr="00336FF1" w:rsidRDefault="00236E18" w:rsidP="00236E18">
      <w:pPr>
        <w:numPr>
          <w:ilvl w:val="0"/>
          <w:numId w:val="32"/>
        </w:numPr>
        <w:jc w:val="both"/>
        <w:rPr>
          <w:bCs/>
          <w:iCs/>
          <w:sz w:val="18"/>
        </w:rPr>
      </w:pPr>
      <w:r w:rsidRPr="00336FF1">
        <w:rPr>
          <w:sz w:val="20"/>
        </w:rPr>
        <w:t>El respeto por la P.I. es un principio básico que comparten todos los Estados miembros de la OMPI.  Sin embargo, su pleno cumplimento sigue siendo una tarea difícil, ya que las actividades infractoras de la P.I., especialmente la falsificación y la piratería, constituyen un fenómeno generalizado en muchas partes del mundo.  Para elaborar respuestas apropiadas, es necesario comprender profundamente los motivos de los productores y los consumidores de productos infractores de la P.I. así como los efectos que las infracciones de P.I. tienen en el bienestar de las sociedades.  A partir de ahí, es posible adoptar un amplio repertorio de medidas correctivas y preventivas teniendo cuenta las necesidades estratégicas nacionales, centrándose, por ejemplo, en mejorar la legislación y los marcos de observancia;  las actividades de sensibilización y el cambio cultural en cuyo marco se reconoce el valor de la P.I., y las soluciones operativas y tecnológicas que potencian las alternativas de carácter jurídico o la colaboración institucional.</w:t>
      </w:r>
    </w:p>
    <w:p w:rsidR="00236E18" w:rsidRPr="00336FF1" w:rsidRDefault="00236E18" w:rsidP="00236E18">
      <w:pPr>
        <w:jc w:val="both"/>
        <w:rPr>
          <w:sz w:val="20"/>
        </w:rPr>
      </w:pPr>
    </w:p>
    <w:p w:rsidR="00236E18" w:rsidRPr="00336FF1" w:rsidRDefault="00236E18" w:rsidP="00236E18">
      <w:pPr>
        <w:numPr>
          <w:ilvl w:val="0"/>
          <w:numId w:val="32"/>
        </w:numPr>
        <w:jc w:val="both"/>
        <w:rPr>
          <w:sz w:val="20"/>
        </w:rPr>
      </w:pPr>
      <w:r w:rsidRPr="00336FF1">
        <w:rPr>
          <w:sz w:val="20"/>
        </w:rPr>
        <w:t xml:space="preserve">Son muchos los </w:t>
      </w:r>
      <w:proofErr w:type="spellStart"/>
      <w:r w:rsidRPr="00336FF1">
        <w:rPr>
          <w:sz w:val="20"/>
        </w:rPr>
        <w:t>actores</w:t>
      </w:r>
      <w:proofErr w:type="spellEnd"/>
      <w:r w:rsidRPr="00336FF1">
        <w:rPr>
          <w:sz w:val="20"/>
        </w:rPr>
        <w:t xml:space="preserve"> que influyen en las políticas internacionales y nacionales de P.I. en el ámbito del respeto por la P.I., a menudo desde diversos intereses y perspectivas.  Paralelamente, los Estados miembros se esfuerzan por adoptar medidas en consonancia con las diversas realidades sociales y económicas de sus respectivos países.  En el programa 17, el reto consistirá en velar por que la OMPI mantenga su pertinencia con respecto a orientar los debates sobre el equilibrio adecuado en la protección y la observancia de los derechos de P.I.  El programa tratará de velar por que las contribuciones de la OMPI para crear un entorno que propicie el respeto por la P.I. tengan un efecto sostenible.  Las contribuciones tienen por objeto desarrollar las capacidades de los Estados miembros para potenciar los mercados legítimos de productos y servicios protegidos por P.I. y mejorar la conformidad con los derechos de P.I., en aras de aumentar los beneficios para la sociedad, en particular, la protección del consumidor, y alcanzar los objetivos orientados a impulsar el desarrollo.</w:t>
      </w:r>
    </w:p>
    <w:p w:rsidR="00236E18" w:rsidRPr="00336FF1" w:rsidRDefault="00236E18" w:rsidP="00236E18">
      <w:pPr>
        <w:jc w:val="both"/>
        <w:rPr>
          <w:sz w:val="20"/>
        </w:rPr>
      </w:pPr>
    </w:p>
    <w:p w:rsidR="00236E18" w:rsidRPr="00336FF1" w:rsidRDefault="00236E18" w:rsidP="00236E18">
      <w:pPr>
        <w:numPr>
          <w:ilvl w:val="0"/>
          <w:numId w:val="32"/>
        </w:numPr>
        <w:jc w:val="both"/>
        <w:rPr>
          <w:sz w:val="20"/>
        </w:rPr>
      </w:pPr>
      <w:r w:rsidRPr="00336FF1">
        <w:rPr>
          <w:sz w:val="20"/>
        </w:rPr>
        <w:t>El programa 17 sigue facilitando, por conducto del Comité Asesor sobre Observancia (ACE), el diálogo político sobre el fomento del respeto por la P.I. entre los Estados miembros, además de establecer alianzas sistemáticas, efectivas y transparentes para lograr sinergias a ese respecto.  En las actividades de asistencia técnica que se prestan a petición de los interesados, el programa 17 se centra en proporcionar un asesoramiento legislativo y político equilibrado, potenciando las capacidades nacionales para fomentar el respeto por la P.I. y ofreciendo apoyo estratégico para incorporar el respeto por la P.I. en las estrategias nacionales, además de impulsar la participación de los consumidores, incluidos los jóvenes, para favorecer un entendimiento común de los beneficios sociales que ofrece un ecosistema de P.I. sólido.</w:t>
      </w:r>
    </w:p>
    <w:p w:rsidR="00236E18" w:rsidRDefault="00236E18" w:rsidP="00236E18">
      <w:pPr>
        <w:jc w:val="both"/>
        <w:rPr>
          <w:sz w:val="20"/>
        </w:rPr>
      </w:pPr>
    </w:p>
    <w:p w:rsidR="00236E18" w:rsidRPr="00336FF1" w:rsidRDefault="00236E18" w:rsidP="00236E18">
      <w:pPr>
        <w:jc w:val="both"/>
        <w:rPr>
          <w:sz w:val="20"/>
        </w:rPr>
      </w:pPr>
    </w:p>
    <w:p w:rsidR="00236E18" w:rsidRPr="00E0093C" w:rsidRDefault="00236E18" w:rsidP="00236E18">
      <w:r w:rsidRPr="00E0093C">
        <w:t>ESTRATEGIAS DE EJECUCIÓN</w:t>
      </w:r>
    </w:p>
    <w:p w:rsidR="00236E18" w:rsidRPr="00336FF1" w:rsidRDefault="00236E18" w:rsidP="00236E18">
      <w:pPr>
        <w:jc w:val="both"/>
      </w:pPr>
    </w:p>
    <w:p w:rsidR="00236E18" w:rsidRPr="00336FF1" w:rsidRDefault="00236E18" w:rsidP="00236E18">
      <w:pPr>
        <w:numPr>
          <w:ilvl w:val="0"/>
          <w:numId w:val="32"/>
        </w:numPr>
        <w:jc w:val="both"/>
        <w:rPr>
          <w:sz w:val="20"/>
        </w:rPr>
      </w:pPr>
      <w:r w:rsidRPr="00336FF1">
        <w:rPr>
          <w:sz w:val="20"/>
        </w:rPr>
        <w:t>En todas sus actividades, el programa 17 está orientado por la recomendación 45 de la A.D.  El ACE, comité apreciado como “mercado de ideas”, ofrece un foro de intercambio de experiencias y prácticas nacionales.  El programa facilitará el consenso constante de los Estados miembros en torno a un programa de trabajo temático que impulse el respeto del discurso de la P.I. y lo explore en todas su</w:t>
      </w:r>
      <w:r>
        <w:rPr>
          <w:sz w:val="20"/>
        </w:rPr>
        <w:t>s</w:t>
      </w:r>
      <w:r w:rsidRPr="00336FF1">
        <w:rPr>
          <w:sz w:val="20"/>
        </w:rPr>
        <w:t xml:space="preserve"> complejidades</w:t>
      </w:r>
      <w:r>
        <w:rPr>
          <w:sz w:val="20"/>
        </w:rPr>
        <w:t>, organizándose con ese fin dos sesiones del ACE durante el bienio</w:t>
      </w:r>
      <w:r w:rsidRPr="00336FF1">
        <w:rPr>
          <w:sz w:val="20"/>
        </w:rPr>
        <w:t xml:space="preserve">.  A partir de los debates del ACE, los Estados miembros podrán diseñar individualmente estrategias nacionales para fomentar el respeto por la P.I. basándose, según sea el caso, en medidas preventivas o correctivas y teniendo plenamente en cuenta las realidades sociales y económicas existentes en el país en cuestión, así como su nivel de desarrollo. </w:t>
      </w:r>
    </w:p>
    <w:p w:rsidR="00236E18" w:rsidRPr="00336FF1" w:rsidRDefault="00236E18" w:rsidP="00236E18">
      <w:pPr>
        <w:jc w:val="both"/>
        <w:rPr>
          <w:sz w:val="20"/>
        </w:rPr>
      </w:pPr>
    </w:p>
    <w:p w:rsidR="00236E18" w:rsidRPr="00336FF1" w:rsidRDefault="00236E18" w:rsidP="00236E18">
      <w:pPr>
        <w:numPr>
          <w:ilvl w:val="0"/>
          <w:numId w:val="32"/>
        </w:numPr>
        <w:jc w:val="both"/>
        <w:rPr>
          <w:sz w:val="20"/>
        </w:rPr>
      </w:pPr>
      <w:r w:rsidRPr="00336FF1">
        <w:rPr>
          <w:sz w:val="20"/>
        </w:rPr>
        <w:t>A fin de lograr la cohesión política internacional y la máxima repercusión mediante recursos comunes, el programa 17 creará alianzas estratégicas de colaboración, impulsará la ejecución de actividades en común para fomentar el respeto por la P.I. y participará en las actividades pertinentes de sus socios.  Además, se facilitará el intercambio de experiencias prácticas en el fomento del respeto por la P.I. mediante la creación de foros que reúnan a un amplio grupo de actores internacionales y expertos en ese campo.  Las colaboraciones, que integran el enfoque de la OMPI de potenciación del desarrollo para fomentar el respeto por la P.I., se basan en la recomendación 40 de la A.D.</w:t>
      </w:r>
    </w:p>
    <w:p w:rsidR="00236E18" w:rsidRPr="00336FF1" w:rsidRDefault="00236E18" w:rsidP="00236E18">
      <w:pPr>
        <w:jc w:val="both"/>
        <w:rPr>
          <w:sz w:val="20"/>
        </w:rPr>
      </w:pPr>
    </w:p>
    <w:p w:rsidR="00236E18" w:rsidRDefault="00236E18" w:rsidP="00236E18">
      <w:pPr>
        <w:keepNext/>
        <w:keepLines/>
        <w:numPr>
          <w:ilvl w:val="0"/>
          <w:numId w:val="32"/>
        </w:numPr>
        <w:jc w:val="both"/>
        <w:rPr>
          <w:sz w:val="20"/>
        </w:rPr>
      </w:pPr>
      <w:r w:rsidRPr="00336FF1">
        <w:rPr>
          <w:sz w:val="20"/>
        </w:rPr>
        <w:lastRenderedPageBreak/>
        <w:t>En el marco del programa 17 se sigue prestando asistencia a los Estados miembros que lo soliciten en la formulación de marcos políticos, reguladores y legislativos equilibrados y adaptados a las distintas necesidades para fomentar el respeto por la P.I., en consonancia con las características y necesidades específicas de cada país.  También se presta asistencia a distintos destinatarios mediante actividades de fortalecimiento de capacidades para fomentar el respeto por la P.I.  Para obtener resultados sostenibles, se prestará especial atención a aumentar las capacidades de las instituciones nacionales de formación en el ámbito de la observancia de la ley, como, por ejemplo, academias de policía o judiciales, a fin de que tengan un efecto multiplicador, lo que se complementará mediante la facilitación de material de formación elaborado específicamente para fomentar el respeto por la P.I.  En el marco de este programa se impulsará asimismo la elaboración de estrategias nacionales de sensibilización encaminadas a reducir las infracciones de la P.I. mediante el cambio de conductas.  Dicha iniciativa se complementará con actividades encaminadas a aumentar la comprensión pública sobre la importancia de la P.I., por ejemplo, mediante concursos con motivo del Día anual de la P.I. y el programa de premios de la OMPI, haciendo especial hincapié en ayudar a los jóvenes a valorar las ventajas que la P.I. ofrece a la sociedad.  Las actividades de asistencia técnica se orientan por las recomendaciones 1, 6, 12, 13, 14 y 17 (asistencia en los ámbitos legislativo, regulador y político), 45 (asistencia en los ámbitos legislativo, regulador y político) y 3, 10 y 11 (fortalecimiento de capacidades y sensibilización).</w:t>
      </w:r>
    </w:p>
    <w:p w:rsidR="00236E18" w:rsidRDefault="00236E18" w:rsidP="00236E18">
      <w:pPr>
        <w:jc w:val="both"/>
        <w:rPr>
          <w:sz w:val="20"/>
        </w:rPr>
      </w:pPr>
    </w:p>
    <w:p w:rsidR="00236E18" w:rsidRPr="00E0093C" w:rsidRDefault="00236E18" w:rsidP="00236E18">
      <w:pPr>
        <w:numPr>
          <w:ilvl w:val="0"/>
          <w:numId w:val="32"/>
        </w:numPr>
        <w:jc w:val="both"/>
        <w:rPr>
          <w:sz w:val="20"/>
        </w:rPr>
      </w:pPr>
      <w:r>
        <w:rPr>
          <w:sz w:val="20"/>
        </w:rPr>
        <w:t>El p</w:t>
      </w:r>
      <w:r w:rsidRPr="00E0093C">
        <w:rPr>
          <w:sz w:val="20"/>
        </w:rPr>
        <w:t>rogram</w:t>
      </w:r>
      <w:r>
        <w:rPr>
          <w:sz w:val="20"/>
        </w:rPr>
        <w:t>a</w:t>
      </w:r>
      <w:r w:rsidRPr="00E0093C">
        <w:rPr>
          <w:sz w:val="20"/>
        </w:rPr>
        <w:t xml:space="preserve"> 17 colabora</w:t>
      </w:r>
      <w:r>
        <w:rPr>
          <w:sz w:val="20"/>
        </w:rPr>
        <w:t xml:space="preserve"> principalmente con los programas siguientes</w:t>
      </w:r>
      <w:r w:rsidRPr="00E0093C">
        <w:rPr>
          <w:sz w:val="20"/>
        </w:rPr>
        <w:t>:</w:t>
      </w:r>
    </w:p>
    <w:p w:rsidR="00236E18" w:rsidRPr="006A3CA4" w:rsidRDefault="00236E18" w:rsidP="00236E18">
      <w:pPr>
        <w:jc w:val="both"/>
        <w:rPr>
          <w:sz w:val="20"/>
          <w:lang w:val="es-ES_tradnl"/>
        </w:rPr>
      </w:pPr>
    </w:p>
    <w:p w:rsidR="00236E18" w:rsidRPr="00336FF1" w:rsidRDefault="00236E18" w:rsidP="00236E18">
      <w:pPr>
        <w:jc w:val="both"/>
      </w:pPr>
      <w:r w:rsidRPr="00336FF1">
        <w:rPr>
          <w:noProof/>
          <w:lang w:val="en-US" w:eastAsia="en-US"/>
        </w:rPr>
        <w:drawing>
          <wp:inline distT="0" distB="0" distL="0" distR="0" wp14:anchorId="77B2CC19" wp14:editId="214CDCEF">
            <wp:extent cx="5940425" cy="1793875"/>
            <wp:effectExtent l="38100" t="38100" r="60325" b="15875"/>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3" r:lo="rId164" r:qs="rId165" r:cs="rId166"/>
              </a:graphicData>
            </a:graphic>
          </wp:inline>
        </w:drawing>
      </w:r>
    </w:p>
    <w:p w:rsidR="00236E18" w:rsidRPr="00336FF1" w:rsidRDefault="00236E18" w:rsidP="00236E18">
      <w:pPr>
        <w:jc w:val="both"/>
      </w:pPr>
    </w:p>
    <w:p w:rsidR="00236E18" w:rsidRPr="00336FF1" w:rsidRDefault="00236E18" w:rsidP="00236E18">
      <w:pPr>
        <w:tabs>
          <w:tab w:val="left" w:pos="7526"/>
        </w:tabs>
        <w:jc w:val="both"/>
        <w:rPr>
          <w:rFonts w:eastAsia="Times New Roman"/>
          <w:lang w:eastAsia="en-US"/>
        </w:rPr>
      </w:pPr>
    </w:p>
    <w:p w:rsidR="00236E18" w:rsidRPr="00336FF1" w:rsidRDefault="00236E18" w:rsidP="00236E18">
      <w:pPr>
        <w:rPr>
          <w:lang w:eastAsia="en-US"/>
        </w:rPr>
      </w:pPr>
      <w:r w:rsidRPr="00336FF1">
        <w:rPr>
          <w:lang w:eastAsia="en-US"/>
        </w:rPr>
        <w:t>PRINCIPALES RIESGOS Y ESTRATEGIAS DE MITIGACIÓN</w:t>
      </w:r>
    </w:p>
    <w:p w:rsidR="00236E18" w:rsidRPr="00336FF1" w:rsidRDefault="00236E18" w:rsidP="00236E18">
      <w:pPr>
        <w:rPr>
          <w:rFonts w:eastAsia="Times New Roman"/>
          <w:sz w:val="24"/>
          <w:lang w:eastAsia="en-US"/>
        </w:rPr>
      </w:pPr>
    </w:p>
    <w:tbl>
      <w:tblPr>
        <w:tblW w:w="9214" w:type="dxa"/>
        <w:tblInd w:w="108" w:type="dxa"/>
        <w:tblCellMar>
          <w:left w:w="0" w:type="dxa"/>
          <w:right w:w="0" w:type="dxa"/>
        </w:tblCellMar>
        <w:tblLook w:val="04A0" w:firstRow="1" w:lastRow="0" w:firstColumn="1" w:lastColumn="0" w:noHBand="0" w:noVBand="1"/>
      </w:tblPr>
      <w:tblGrid>
        <w:gridCol w:w="4253"/>
        <w:gridCol w:w="4961"/>
      </w:tblGrid>
      <w:tr w:rsidR="00236E18" w:rsidRPr="00336FF1" w:rsidTr="00294272">
        <w:trPr>
          <w:trHeight w:val="577"/>
        </w:trPr>
        <w:tc>
          <w:tcPr>
            <w:tcW w:w="4253" w:type="dxa"/>
            <w:tcBorders>
              <w:top w:val="single" w:sz="8" w:space="0" w:color="auto"/>
              <w:left w:val="single" w:sz="8" w:space="0" w:color="auto"/>
              <w:bottom w:val="single" w:sz="8" w:space="0" w:color="auto"/>
              <w:right w:val="nil"/>
            </w:tcBorders>
            <w:shd w:val="clear" w:color="auto" w:fill="C6D9F1"/>
            <w:tcMar>
              <w:top w:w="0" w:type="dxa"/>
              <w:left w:w="108" w:type="dxa"/>
              <w:bottom w:w="0" w:type="dxa"/>
              <w:right w:w="108" w:type="dxa"/>
            </w:tcMar>
            <w:vAlign w:val="center"/>
            <w:hideMark/>
          </w:tcPr>
          <w:p w:rsidR="00236E18" w:rsidRPr="00336FF1" w:rsidRDefault="00236E18" w:rsidP="00294272">
            <w:pPr>
              <w:jc w:val="center"/>
              <w:rPr>
                <w:rFonts w:eastAsiaTheme="minorHAnsi"/>
                <w:b/>
                <w:bCs/>
                <w:sz w:val="18"/>
                <w:szCs w:val="18"/>
                <w:lang w:eastAsia="en-US"/>
              </w:rPr>
            </w:pPr>
            <w:r w:rsidRPr="00336FF1">
              <w:rPr>
                <w:rFonts w:eastAsiaTheme="minorHAnsi"/>
                <w:b/>
                <w:bCs/>
                <w:sz w:val="18"/>
                <w:szCs w:val="18"/>
                <w:lang w:eastAsia="en-US"/>
              </w:rPr>
              <w:t>Riesgo</w:t>
            </w:r>
          </w:p>
        </w:tc>
        <w:tc>
          <w:tcPr>
            <w:tcW w:w="4961"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36E18" w:rsidRPr="00336FF1" w:rsidRDefault="00236E18" w:rsidP="00294272">
            <w:pPr>
              <w:jc w:val="center"/>
              <w:rPr>
                <w:rFonts w:eastAsiaTheme="minorHAnsi"/>
                <w:b/>
                <w:bCs/>
                <w:sz w:val="18"/>
                <w:szCs w:val="18"/>
                <w:lang w:eastAsia="en-US"/>
              </w:rPr>
            </w:pPr>
            <w:r w:rsidRPr="00336FF1">
              <w:rPr>
                <w:rFonts w:eastAsia="Times New Roman"/>
                <w:b/>
                <w:bCs/>
                <w:sz w:val="18"/>
                <w:szCs w:val="18"/>
                <w:lang w:eastAsia="en-US"/>
              </w:rPr>
              <w:t>Mitigación</w:t>
            </w:r>
          </w:p>
        </w:tc>
      </w:tr>
      <w:tr w:rsidR="00236E18" w:rsidRPr="00336FF1" w:rsidTr="00294272">
        <w:trPr>
          <w:trHeight w:val="309"/>
        </w:trPr>
        <w:tc>
          <w:tcPr>
            <w:tcW w:w="4253" w:type="dxa"/>
            <w:tcBorders>
              <w:top w:val="nil"/>
              <w:left w:val="single" w:sz="8" w:space="0" w:color="auto"/>
              <w:bottom w:val="nil"/>
              <w:right w:val="nil"/>
            </w:tcBorders>
            <w:tcMar>
              <w:top w:w="113" w:type="dxa"/>
              <w:left w:w="108" w:type="dxa"/>
              <w:bottom w:w="113" w:type="dxa"/>
              <w:right w:w="108" w:type="dxa"/>
            </w:tcMar>
            <w:hideMark/>
          </w:tcPr>
          <w:p w:rsidR="00236E18" w:rsidRPr="00336FF1" w:rsidRDefault="00236E18" w:rsidP="00294272">
            <w:pPr>
              <w:rPr>
                <w:rFonts w:eastAsiaTheme="minorHAnsi"/>
                <w:sz w:val="16"/>
                <w:szCs w:val="16"/>
                <w:lang w:eastAsia="en-US"/>
              </w:rPr>
            </w:pPr>
            <w:r w:rsidRPr="00336FF1">
              <w:rPr>
                <w:rFonts w:eastAsia="Times New Roman"/>
                <w:sz w:val="16"/>
                <w:szCs w:val="16"/>
                <w:lang w:eastAsia="en-US"/>
              </w:rPr>
              <w:t xml:space="preserve">La falta de consenso entre los Estados miembros y de apoyo político por parte de estos a la labor de la OMPI en favor del fomento del respeto por la P.I.  Es posible que se ponga en peligro la función de la OMPI de fomentar el respeto por la P.I.   </w:t>
            </w:r>
          </w:p>
        </w:tc>
        <w:tc>
          <w:tcPr>
            <w:tcW w:w="4961" w:type="dxa"/>
            <w:tcBorders>
              <w:top w:val="nil"/>
              <w:left w:val="nil"/>
              <w:bottom w:val="nil"/>
              <w:right w:val="single" w:sz="8" w:space="0" w:color="auto"/>
            </w:tcBorders>
            <w:tcMar>
              <w:top w:w="113" w:type="dxa"/>
              <w:left w:w="108" w:type="dxa"/>
              <w:bottom w:w="113" w:type="dxa"/>
              <w:right w:w="108" w:type="dxa"/>
            </w:tcMar>
            <w:hideMark/>
          </w:tcPr>
          <w:p w:rsidR="00236E18" w:rsidRPr="00336FF1" w:rsidRDefault="00236E18" w:rsidP="00294272">
            <w:pPr>
              <w:rPr>
                <w:rFonts w:eastAsiaTheme="minorHAnsi"/>
                <w:sz w:val="16"/>
                <w:szCs w:val="16"/>
                <w:lang w:eastAsia="en-US"/>
              </w:rPr>
            </w:pPr>
            <w:r w:rsidRPr="00336FF1">
              <w:rPr>
                <w:rFonts w:eastAsia="Times New Roman"/>
                <w:sz w:val="16"/>
                <w:szCs w:val="16"/>
                <w:lang w:eastAsia="en-US"/>
              </w:rPr>
              <w:t>Participar en consultas celebradas regularmente con los Estados miembros para facilitar la convergencia de sus puntos de vista sobre la pertinencia, la labor y la función política del ACE y las actividades de fortalecimiento de capacidades conexas.  Se aplican normas rigurosas en todas las actividades con objeto de velar por la buena calidad, la transparencia, la neutralidad y un enfoque equilibrado.</w:t>
            </w:r>
          </w:p>
        </w:tc>
      </w:tr>
      <w:tr w:rsidR="00236E18" w:rsidRPr="00336FF1" w:rsidTr="00294272">
        <w:trPr>
          <w:trHeight w:val="1188"/>
        </w:trPr>
        <w:tc>
          <w:tcPr>
            <w:tcW w:w="4253" w:type="dxa"/>
            <w:tcBorders>
              <w:top w:val="nil"/>
              <w:left w:val="single" w:sz="8" w:space="0" w:color="auto"/>
              <w:bottom w:val="single" w:sz="8" w:space="0" w:color="auto"/>
              <w:right w:val="nil"/>
            </w:tcBorders>
            <w:tcMar>
              <w:top w:w="113" w:type="dxa"/>
              <w:left w:w="108" w:type="dxa"/>
              <w:bottom w:w="113" w:type="dxa"/>
              <w:right w:w="108" w:type="dxa"/>
            </w:tcMar>
            <w:hideMark/>
          </w:tcPr>
          <w:p w:rsidR="00236E18" w:rsidRPr="00336FF1" w:rsidRDefault="00236E18" w:rsidP="00294272">
            <w:pPr>
              <w:rPr>
                <w:rFonts w:eastAsiaTheme="minorHAnsi"/>
                <w:sz w:val="16"/>
                <w:szCs w:val="16"/>
                <w:lang w:eastAsia="en-US"/>
              </w:rPr>
            </w:pPr>
            <w:r w:rsidRPr="00336FF1">
              <w:rPr>
                <w:rFonts w:eastAsia="Times New Roman"/>
                <w:sz w:val="16"/>
                <w:szCs w:val="16"/>
                <w:lang w:eastAsia="en-US"/>
              </w:rPr>
              <w:t>Que los países o los sectores interesados se aparten de la OMPI y se dirijan a otras organizaciones internacionales o regionales que lleven a cabo actividades en el ámbito del respeto por la P.I.</w:t>
            </w:r>
          </w:p>
        </w:tc>
        <w:tc>
          <w:tcPr>
            <w:tcW w:w="4961" w:type="dxa"/>
            <w:tcBorders>
              <w:top w:val="nil"/>
              <w:left w:val="nil"/>
              <w:bottom w:val="single" w:sz="8" w:space="0" w:color="auto"/>
              <w:right w:val="single" w:sz="8" w:space="0" w:color="auto"/>
            </w:tcBorders>
            <w:tcMar>
              <w:top w:w="113" w:type="dxa"/>
              <w:left w:w="108" w:type="dxa"/>
              <w:bottom w:w="113" w:type="dxa"/>
              <w:right w:w="108" w:type="dxa"/>
            </w:tcMar>
          </w:tcPr>
          <w:p w:rsidR="00236E18" w:rsidRPr="00336FF1" w:rsidRDefault="00236E18" w:rsidP="00294272">
            <w:pPr>
              <w:rPr>
                <w:rFonts w:eastAsiaTheme="minorHAnsi"/>
                <w:sz w:val="16"/>
                <w:szCs w:val="16"/>
                <w:lang w:eastAsia="en-US"/>
              </w:rPr>
            </w:pPr>
            <w:r w:rsidRPr="00336FF1">
              <w:rPr>
                <w:rFonts w:eastAsia="Times New Roman"/>
                <w:sz w:val="16"/>
                <w:szCs w:val="16"/>
                <w:lang w:eastAsia="en-US"/>
              </w:rPr>
              <w:t>Aprovechar las alianzas, identificar y crear sinergias en que las funciones entre los socios sean claras y estén bien determinadas.</w:t>
            </w:r>
          </w:p>
          <w:p w:rsidR="00236E18" w:rsidRPr="00336FF1" w:rsidRDefault="00236E18" w:rsidP="00294272">
            <w:pPr>
              <w:rPr>
                <w:rFonts w:eastAsia="Times New Roman"/>
                <w:sz w:val="16"/>
                <w:szCs w:val="16"/>
                <w:lang w:eastAsia="en-US"/>
              </w:rPr>
            </w:pPr>
          </w:p>
          <w:p w:rsidR="00236E18" w:rsidRPr="00336FF1" w:rsidRDefault="00236E18" w:rsidP="00294272">
            <w:pPr>
              <w:rPr>
                <w:rFonts w:eastAsia="Times New Roman"/>
                <w:sz w:val="16"/>
                <w:szCs w:val="16"/>
                <w:lang w:eastAsia="en-US"/>
              </w:rPr>
            </w:pPr>
            <w:r w:rsidRPr="00336FF1">
              <w:rPr>
                <w:rFonts w:eastAsia="Times New Roman"/>
                <w:sz w:val="16"/>
                <w:szCs w:val="16"/>
                <w:lang w:eastAsia="en-US"/>
              </w:rPr>
              <w:t>Integrar las actividades y las estrategias sobre el fomento del respeto por la P.I. en las políticas nacionales en cooperación con las oficinas regionales y el Departamento de la OMPI para los Países en Transición y Países Desarrollados.</w:t>
            </w:r>
          </w:p>
          <w:p w:rsidR="00236E18" w:rsidRPr="00336FF1" w:rsidRDefault="00236E18" w:rsidP="00294272">
            <w:pPr>
              <w:rPr>
                <w:rFonts w:eastAsia="Times New Roman"/>
                <w:sz w:val="16"/>
                <w:szCs w:val="16"/>
                <w:lang w:eastAsia="en-US"/>
              </w:rPr>
            </w:pPr>
          </w:p>
          <w:p w:rsidR="00236E18" w:rsidRPr="00336FF1" w:rsidRDefault="00236E18" w:rsidP="00294272">
            <w:pPr>
              <w:rPr>
                <w:rFonts w:eastAsiaTheme="minorHAnsi"/>
                <w:sz w:val="16"/>
                <w:szCs w:val="16"/>
                <w:lang w:eastAsia="en-US"/>
              </w:rPr>
            </w:pPr>
            <w:r w:rsidRPr="00336FF1">
              <w:rPr>
                <w:rFonts w:eastAsia="Times New Roman"/>
                <w:sz w:val="16"/>
                <w:szCs w:val="16"/>
                <w:lang w:eastAsia="en-US"/>
              </w:rPr>
              <w:t>Centrar la atención en las actividades orientadas a las políticas, en que la OMPI puede ofrecer una función bien precisa y ventajas competitivas.</w:t>
            </w:r>
          </w:p>
        </w:tc>
      </w:tr>
    </w:tbl>
    <w:p w:rsidR="00236E18" w:rsidRPr="00336FF1" w:rsidRDefault="00236E18" w:rsidP="00236E18">
      <w:pPr>
        <w:rPr>
          <w:rFonts w:eastAsiaTheme="minorHAnsi"/>
          <w:szCs w:val="22"/>
          <w:lang w:eastAsia="en-US"/>
        </w:rPr>
      </w:pPr>
    </w:p>
    <w:p w:rsidR="00236E18" w:rsidRPr="00336FF1" w:rsidRDefault="00236E18" w:rsidP="00236E18">
      <w:pPr>
        <w:rPr>
          <w:rFonts w:eastAsiaTheme="minorHAnsi"/>
          <w:szCs w:val="22"/>
          <w:lang w:eastAsia="en-US"/>
        </w:rPr>
      </w:pPr>
    </w:p>
    <w:p w:rsidR="00236E18" w:rsidRPr="00336FF1" w:rsidRDefault="00236E18" w:rsidP="00236E18">
      <w:pPr>
        <w:keepNext/>
        <w:keepLines/>
        <w:rPr>
          <w:rFonts w:eastAsiaTheme="minorHAnsi"/>
          <w:szCs w:val="22"/>
          <w:lang w:eastAsia="en-US"/>
        </w:rPr>
      </w:pPr>
      <w:r w:rsidRPr="00336FF1">
        <w:lastRenderedPageBreak/>
        <w:t>MARCO DE RESULTADOS</w:t>
      </w:r>
    </w:p>
    <w:p w:rsidR="00236E18" w:rsidRPr="00336FF1" w:rsidRDefault="00236E18" w:rsidP="00236E18">
      <w:pPr>
        <w:keepNext/>
        <w:keepLines/>
        <w:jc w:val="both"/>
      </w:pPr>
    </w:p>
    <w:tbl>
      <w:tblPr>
        <w:tblW w:w="9229" w:type="dxa"/>
        <w:tblInd w:w="93" w:type="dxa"/>
        <w:tblLook w:val="04A0" w:firstRow="1" w:lastRow="0" w:firstColumn="1" w:lastColumn="0" w:noHBand="0" w:noVBand="1"/>
      </w:tblPr>
      <w:tblGrid>
        <w:gridCol w:w="2480"/>
        <w:gridCol w:w="2660"/>
        <w:gridCol w:w="2120"/>
        <w:gridCol w:w="1969"/>
      </w:tblGrid>
      <w:tr w:rsidR="00236E18" w:rsidRPr="00336FF1" w:rsidTr="00294272">
        <w:trPr>
          <w:trHeight w:val="615"/>
          <w:tblHeader/>
        </w:trPr>
        <w:tc>
          <w:tcPr>
            <w:tcW w:w="2480" w:type="dxa"/>
            <w:tcBorders>
              <w:top w:val="single" w:sz="4" w:space="0" w:color="auto"/>
              <w:left w:val="single" w:sz="4" w:space="0" w:color="auto"/>
              <w:bottom w:val="single" w:sz="4" w:space="0" w:color="auto"/>
              <w:right w:val="nil"/>
            </w:tcBorders>
            <w:shd w:val="clear" w:color="auto" w:fill="C6D9F1"/>
            <w:tcMar>
              <w:top w:w="85" w:type="dxa"/>
            </w:tcMar>
            <w:vAlign w:val="center"/>
            <w:hideMark/>
          </w:tcPr>
          <w:p w:rsidR="00236E18" w:rsidRPr="00336FF1" w:rsidRDefault="00236E18" w:rsidP="00294272">
            <w:pPr>
              <w:keepNext/>
              <w:keepLines/>
              <w:jc w:val="center"/>
              <w:rPr>
                <w:rFonts w:eastAsia="Times New Roman"/>
                <w:b/>
                <w:bCs/>
                <w:sz w:val="18"/>
                <w:szCs w:val="18"/>
                <w:lang w:eastAsia="en-US"/>
              </w:rPr>
            </w:pPr>
            <w:r w:rsidRPr="00336FF1">
              <w:rPr>
                <w:rFonts w:eastAsia="Times New Roman"/>
                <w:b/>
                <w:bCs/>
                <w:sz w:val="18"/>
                <w:szCs w:val="18"/>
                <w:lang w:eastAsia="en-US"/>
              </w:rPr>
              <w:t>Resultados previstos</w:t>
            </w:r>
          </w:p>
        </w:tc>
        <w:tc>
          <w:tcPr>
            <w:tcW w:w="2660" w:type="dxa"/>
            <w:tcBorders>
              <w:top w:val="single" w:sz="4" w:space="0" w:color="auto"/>
              <w:left w:val="nil"/>
              <w:bottom w:val="single" w:sz="4" w:space="0" w:color="auto"/>
              <w:right w:val="nil"/>
            </w:tcBorders>
            <w:shd w:val="clear" w:color="auto" w:fill="C6D9F1"/>
            <w:tcMar>
              <w:top w:w="85" w:type="dxa"/>
            </w:tcMar>
            <w:vAlign w:val="center"/>
            <w:hideMark/>
          </w:tcPr>
          <w:p w:rsidR="00236E18" w:rsidRPr="00336FF1" w:rsidRDefault="00236E18" w:rsidP="00294272">
            <w:pPr>
              <w:keepNext/>
              <w:keepLines/>
              <w:jc w:val="center"/>
              <w:rPr>
                <w:rFonts w:eastAsia="Times New Roman"/>
                <w:b/>
                <w:bCs/>
                <w:sz w:val="18"/>
                <w:szCs w:val="18"/>
                <w:lang w:eastAsia="en-US"/>
              </w:rPr>
            </w:pPr>
            <w:r w:rsidRPr="00336FF1">
              <w:rPr>
                <w:rFonts w:eastAsia="Times New Roman"/>
                <w:b/>
                <w:bCs/>
                <w:sz w:val="18"/>
                <w:szCs w:val="18"/>
                <w:lang w:eastAsia="en-US"/>
              </w:rPr>
              <w:t>Indicadores de rendimiento</w:t>
            </w:r>
          </w:p>
        </w:tc>
        <w:tc>
          <w:tcPr>
            <w:tcW w:w="2120" w:type="dxa"/>
            <w:tcBorders>
              <w:top w:val="single" w:sz="4" w:space="0" w:color="auto"/>
              <w:left w:val="nil"/>
              <w:bottom w:val="single" w:sz="4" w:space="0" w:color="auto"/>
              <w:right w:val="nil"/>
            </w:tcBorders>
            <w:shd w:val="clear" w:color="auto" w:fill="C6D9F1"/>
            <w:tcMar>
              <w:top w:w="85" w:type="dxa"/>
            </w:tcMar>
            <w:vAlign w:val="center"/>
            <w:hideMark/>
          </w:tcPr>
          <w:p w:rsidR="00236E18" w:rsidRPr="00336FF1" w:rsidRDefault="00236E18" w:rsidP="00294272">
            <w:pPr>
              <w:keepNext/>
              <w:keepLines/>
              <w:jc w:val="center"/>
              <w:rPr>
                <w:rFonts w:eastAsia="Times New Roman"/>
                <w:b/>
                <w:bCs/>
                <w:sz w:val="18"/>
                <w:szCs w:val="18"/>
                <w:lang w:eastAsia="en-US"/>
              </w:rPr>
            </w:pPr>
            <w:r w:rsidRPr="00336FF1">
              <w:rPr>
                <w:rFonts w:eastAsia="Times New Roman"/>
                <w:b/>
                <w:bCs/>
                <w:sz w:val="18"/>
                <w:szCs w:val="18"/>
                <w:lang w:eastAsia="en-US"/>
              </w:rPr>
              <w:t>Referencia</w:t>
            </w:r>
          </w:p>
        </w:tc>
        <w:tc>
          <w:tcPr>
            <w:tcW w:w="1969" w:type="dxa"/>
            <w:tcBorders>
              <w:top w:val="single" w:sz="4" w:space="0" w:color="auto"/>
              <w:left w:val="nil"/>
              <w:bottom w:val="single" w:sz="4" w:space="0" w:color="auto"/>
              <w:right w:val="single" w:sz="4" w:space="0" w:color="auto"/>
            </w:tcBorders>
            <w:shd w:val="clear" w:color="auto" w:fill="C6D9F1"/>
            <w:tcMar>
              <w:top w:w="85" w:type="dxa"/>
            </w:tcMar>
            <w:vAlign w:val="center"/>
            <w:hideMark/>
          </w:tcPr>
          <w:p w:rsidR="00236E18" w:rsidRPr="00336FF1" w:rsidRDefault="00236E18" w:rsidP="00294272">
            <w:pPr>
              <w:keepNext/>
              <w:keepLines/>
              <w:jc w:val="center"/>
              <w:rPr>
                <w:rFonts w:eastAsia="Times New Roman"/>
                <w:b/>
                <w:bCs/>
                <w:sz w:val="18"/>
                <w:szCs w:val="18"/>
                <w:lang w:eastAsia="en-US"/>
              </w:rPr>
            </w:pPr>
            <w:r w:rsidRPr="00336FF1">
              <w:rPr>
                <w:rFonts w:eastAsia="Times New Roman"/>
                <w:b/>
                <w:bCs/>
                <w:sz w:val="18"/>
                <w:szCs w:val="18"/>
                <w:lang w:eastAsia="en-US"/>
              </w:rPr>
              <w:t>Objetivos</w:t>
            </w:r>
          </w:p>
        </w:tc>
      </w:tr>
      <w:tr w:rsidR="00236E18" w:rsidRPr="00336FF1" w:rsidTr="00294272">
        <w:trPr>
          <w:trHeight w:val="1793"/>
        </w:trPr>
        <w:tc>
          <w:tcPr>
            <w:tcW w:w="2480" w:type="dxa"/>
            <w:vMerge w:val="restart"/>
            <w:tcBorders>
              <w:top w:val="single" w:sz="4" w:space="0" w:color="auto"/>
              <w:left w:val="single" w:sz="4" w:space="0" w:color="auto"/>
              <w:bottom w:val="nil"/>
              <w:right w:val="nil"/>
            </w:tcBorders>
            <w:shd w:val="clear" w:color="000000" w:fill="FFFFFF"/>
            <w:tcMar>
              <w:top w:w="85" w:type="dxa"/>
            </w:tcMar>
            <w:hideMark/>
          </w:tcPr>
          <w:p w:rsidR="00236E18" w:rsidRPr="00336FF1" w:rsidRDefault="00236E18" w:rsidP="00294272">
            <w:pPr>
              <w:keepNext/>
              <w:keepLines/>
              <w:rPr>
                <w:rFonts w:eastAsia="Times New Roman"/>
                <w:sz w:val="16"/>
                <w:szCs w:val="16"/>
                <w:lang w:eastAsia="en-US"/>
              </w:rPr>
            </w:pPr>
            <w:r>
              <w:rPr>
                <w:rFonts w:eastAsia="Times New Roman"/>
                <w:sz w:val="16"/>
                <w:szCs w:val="16"/>
                <w:lang w:eastAsia="en-US"/>
              </w:rPr>
              <w:t>I.2</w:t>
            </w:r>
            <w:r w:rsidRPr="00336FF1">
              <w:rPr>
                <w:rFonts w:eastAsia="Times New Roman"/>
                <w:sz w:val="16"/>
                <w:szCs w:val="16"/>
                <w:lang w:eastAsia="en-US"/>
              </w:rPr>
              <w:t xml:space="preserve">  </w:t>
            </w:r>
            <w:r w:rsidRPr="000E073C">
              <w:rPr>
                <w:sz w:val="16"/>
                <w:szCs w:val="16"/>
                <w:lang w:val="es-ES_tradnl"/>
              </w:rPr>
              <w:t>Marcos de P.I. adaptados y equilibrados en el ámbito legislativo, regulador y de política</w:t>
            </w:r>
          </w:p>
        </w:tc>
        <w:tc>
          <w:tcPr>
            <w:tcW w:w="2660" w:type="dxa"/>
            <w:tcBorders>
              <w:top w:val="single" w:sz="4" w:space="0" w:color="auto"/>
              <w:left w:val="nil"/>
              <w:bottom w:val="nil"/>
              <w:right w:val="nil"/>
            </w:tcBorders>
            <w:shd w:val="clear" w:color="000000" w:fill="FFFFFF"/>
            <w:tcMar>
              <w:top w:w="85" w:type="dxa"/>
            </w:tcMar>
            <w:hideMark/>
          </w:tcPr>
          <w:p w:rsidR="00236E18" w:rsidRPr="00336FF1" w:rsidRDefault="00236E18" w:rsidP="00294272">
            <w:pPr>
              <w:keepNext/>
              <w:keepLines/>
              <w:ind w:left="262"/>
              <w:rPr>
                <w:rFonts w:eastAsia="Times New Roman"/>
                <w:sz w:val="16"/>
                <w:szCs w:val="16"/>
                <w:lang w:eastAsia="en-US"/>
              </w:rPr>
            </w:pPr>
            <w:r w:rsidRPr="00336FF1">
              <w:rPr>
                <w:rFonts w:eastAsia="Times New Roman"/>
                <w:sz w:val="16"/>
                <w:szCs w:val="16"/>
                <w:lang w:eastAsia="en-US"/>
              </w:rPr>
              <w:t>N</w:t>
            </w:r>
            <w:r>
              <w:rPr>
                <w:rFonts w:eastAsia="Times New Roman"/>
                <w:sz w:val="16"/>
                <w:szCs w:val="16"/>
                <w:lang w:eastAsia="en-US"/>
              </w:rPr>
              <w:t>º</w:t>
            </w:r>
            <w:r w:rsidRPr="00336FF1">
              <w:rPr>
                <w:rFonts w:eastAsia="Times New Roman"/>
                <w:sz w:val="16"/>
                <w:szCs w:val="16"/>
                <w:lang w:eastAsia="en-US"/>
              </w:rPr>
              <w:t xml:space="preserve"> de países u organizaciones regionales que han aprobado o modificado los marcos pertinentes en aras de una observancia de P.I. efectiva teniendo en cuenta la Parte III del Acuerdo sobre los ADPIC</w:t>
            </w:r>
            <w:r>
              <w:rPr>
                <w:rFonts w:eastAsia="Times New Roman"/>
                <w:sz w:val="16"/>
                <w:szCs w:val="16"/>
                <w:lang w:eastAsia="en-US"/>
              </w:rPr>
              <w:t xml:space="preserve"> y la recomendación 45 de la A.D.</w:t>
            </w:r>
            <w:r w:rsidRPr="00336FF1">
              <w:rPr>
                <w:rFonts w:eastAsia="Times New Roman"/>
                <w:sz w:val="16"/>
                <w:szCs w:val="16"/>
                <w:lang w:eastAsia="en-US"/>
              </w:rPr>
              <w:t>, o que lo están haciendo actualmente, tras recibir asistencia de la OMPI.</w:t>
            </w:r>
          </w:p>
        </w:tc>
        <w:tc>
          <w:tcPr>
            <w:tcW w:w="2120" w:type="dxa"/>
            <w:tcBorders>
              <w:top w:val="single" w:sz="4" w:space="0" w:color="auto"/>
              <w:left w:val="nil"/>
              <w:bottom w:val="nil"/>
              <w:right w:val="nil"/>
            </w:tcBorders>
            <w:shd w:val="clear" w:color="000000" w:fill="FFFFFF"/>
            <w:tcMar>
              <w:top w:w="85" w:type="dxa"/>
            </w:tcMar>
            <w:hideMark/>
          </w:tcPr>
          <w:p w:rsidR="00236E18" w:rsidRPr="00336FF1" w:rsidRDefault="00236E18" w:rsidP="00294272">
            <w:pPr>
              <w:keepNext/>
              <w:keepLines/>
              <w:ind w:firstLineChars="7" w:firstLine="11"/>
              <w:rPr>
                <w:rFonts w:eastAsia="Times New Roman"/>
                <w:sz w:val="16"/>
                <w:szCs w:val="16"/>
                <w:lang w:eastAsia="en-US"/>
              </w:rPr>
            </w:pPr>
            <w:r w:rsidRPr="00336FF1">
              <w:rPr>
                <w:rFonts w:eastAsia="Times New Roman"/>
                <w:sz w:val="16"/>
                <w:szCs w:val="16"/>
                <w:lang w:eastAsia="en-US"/>
              </w:rPr>
              <w:t xml:space="preserve">13 países en vías de modificar o aprobar los marcos pertinentes en aras de una observancia de P.I. efectiva (al 15 de febrero de 2015). </w:t>
            </w:r>
          </w:p>
        </w:tc>
        <w:tc>
          <w:tcPr>
            <w:tcW w:w="1969" w:type="dxa"/>
            <w:tcBorders>
              <w:top w:val="single" w:sz="4" w:space="0" w:color="auto"/>
              <w:left w:val="nil"/>
              <w:bottom w:val="nil"/>
              <w:right w:val="single" w:sz="4" w:space="0" w:color="auto"/>
            </w:tcBorders>
            <w:shd w:val="clear" w:color="000000" w:fill="FFFFFF"/>
            <w:tcMar>
              <w:top w:w="85" w:type="dxa"/>
            </w:tcMar>
            <w:hideMark/>
          </w:tcPr>
          <w:p w:rsidR="00236E18" w:rsidRPr="00336FF1" w:rsidRDefault="00236E18" w:rsidP="00294272">
            <w:pPr>
              <w:ind w:left="117"/>
              <w:rPr>
                <w:rFonts w:eastAsia="Times New Roman"/>
                <w:sz w:val="16"/>
                <w:szCs w:val="16"/>
                <w:lang w:eastAsia="en-US"/>
              </w:rPr>
            </w:pPr>
            <w:r w:rsidRPr="00336FF1">
              <w:rPr>
                <w:rFonts w:eastAsia="Times New Roman"/>
                <w:sz w:val="16"/>
                <w:szCs w:val="16"/>
                <w:lang w:eastAsia="en-US"/>
              </w:rPr>
              <w:t xml:space="preserve">1 país/organización regional ha aprobado o modificado los marcos pertinentes en aras de una observancia de P.I. efectiva. </w:t>
            </w:r>
          </w:p>
        </w:tc>
      </w:tr>
      <w:tr w:rsidR="00236E18" w:rsidRPr="00336FF1" w:rsidTr="00294272">
        <w:trPr>
          <w:trHeight w:val="1260"/>
        </w:trPr>
        <w:tc>
          <w:tcPr>
            <w:tcW w:w="2480" w:type="dxa"/>
            <w:vMerge/>
            <w:tcBorders>
              <w:top w:val="nil"/>
              <w:left w:val="single" w:sz="4" w:space="0" w:color="auto"/>
              <w:right w:val="nil"/>
            </w:tcBorders>
            <w:tcMar>
              <w:top w:w="85" w:type="dxa"/>
            </w:tcMar>
            <w:vAlign w:val="center"/>
            <w:hideMark/>
          </w:tcPr>
          <w:p w:rsidR="00236E18" w:rsidRPr="00336FF1" w:rsidRDefault="00236E18" w:rsidP="00294272">
            <w:pPr>
              <w:rPr>
                <w:rFonts w:eastAsia="Times New Roman"/>
                <w:sz w:val="16"/>
                <w:szCs w:val="16"/>
                <w:lang w:eastAsia="en-US"/>
              </w:rPr>
            </w:pPr>
          </w:p>
        </w:tc>
        <w:tc>
          <w:tcPr>
            <w:tcW w:w="2660" w:type="dxa"/>
            <w:tcBorders>
              <w:top w:val="nil"/>
              <w:left w:val="nil"/>
              <w:right w:val="nil"/>
            </w:tcBorders>
            <w:shd w:val="clear" w:color="000000" w:fill="FFFFFF"/>
            <w:tcMar>
              <w:top w:w="85" w:type="dxa"/>
            </w:tcMar>
            <w:hideMark/>
          </w:tcPr>
          <w:p w:rsidR="00236E18" w:rsidRPr="00336FF1" w:rsidRDefault="00236E18" w:rsidP="00294272">
            <w:pPr>
              <w:ind w:left="262"/>
              <w:rPr>
                <w:rFonts w:eastAsia="Times New Roman"/>
                <w:sz w:val="16"/>
                <w:szCs w:val="16"/>
                <w:lang w:eastAsia="en-US"/>
              </w:rPr>
            </w:pPr>
            <w:r w:rsidRPr="00336FF1">
              <w:rPr>
                <w:rFonts w:eastAsia="Times New Roman"/>
                <w:sz w:val="16"/>
                <w:szCs w:val="16"/>
                <w:lang w:eastAsia="en-US"/>
              </w:rPr>
              <w:t>N</w:t>
            </w:r>
            <w:r>
              <w:rPr>
                <w:rFonts w:eastAsia="Times New Roman"/>
                <w:sz w:val="16"/>
                <w:szCs w:val="16"/>
                <w:lang w:eastAsia="en-US"/>
              </w:rPr>
              <w:t xml:space="preserve">º </w:t>
            </w:r>
            <w:r w:rsidRPr="00336FF1">
              <w:rPr>
                <w:rFonts w:eastAsia="Times New Roman"/>
                <w:sz w:val="16"/>
                <w:szCs w:val="16"/>
                <w:lang w:eastAsia="en-US"/>
              </w:rPr>
              <w:t>de países que ha aprobado o aplicado una estrategia nacional sobre el fomento del respeto por la P.I., o que lo están haciendo actualmente, con ayuda de la OMPI.</w:t>
            </w:r>
          </w:p>
        </w:tc>
        <w:tc>
          <w:tcPr>
            <w:tcW w:w="2120" w:type="dxa"/>
            <w:tcBorders>
              <w:top w:val="nil"/>
              <w:left w:val="nil"/>
              <w:right w:val="nil"/>
            </w:tcBorders>
            <w:shd w:val="clear" w:color="000000" w:fill="FFFFFF"/>
            <w:tcMar>
              <w:top w:w="85" w:type="dxa"/>
            </w:tcMar>
            <w:hideMark/>
          </w:tcPr>
          <w:p w:rsidR="00236E18" w:rsidRPr="00336FF1" w:rsidRDefault="00236E18" w:rsidP="00294272">
            <w:pPr>
              <w:ind w:left="77"/>
              <w:rPr>
                <w:rFonts w:eastAsia="Times New Roman"/>
                <w:sz w:val="16"/>
                <w:szCs w:val="16"/>
                <w:lang w:eastAsia="en-US"/>
              </w:rPr>
            </w:pPr>
            <w:r w:rsidRPr="00336FF1">
              <w:rPr>
                <w:rFonts w:eastAsia="Times New Roman"/>
                <w:sz w:val="16"/>
                <w:szCs w:val="16"/>
                <w:lang w:eastAsia="en-US"/>
              </w:rPr>
              <w:t>2 países en vías de aprobar dicha estrategia.</w:t>
            </w:r>
          </w:p>
          <w:p w:rsidR="00236E18" w:rsidRPr="00336FF1" w:rsidRDefault="00236E18" w:rsidP="00294272">
            <w:pPr>
              <w:ind w:firstLineChars="200" w:firstLine="320"/>
              <w:rPr>
                <w:rFonts w:eastAsia="Times New Roman"/>
                <w:sz w:val="16"/>
                <w:szCs w:val="16"/>
                <w:lang w:eastAsia="en-US"/>
              </w:rPr>
            </w:pPr>
          </w:p>
        </w:tc>
        <w:tc>
          <w:tcPr>
            <w:tcW w:w="1969" w:type="dxa"/>
            <w:tcBorders>
              <w:top w:val="nil"/>
              <w:left w:val="nil"/>
              <w:right w:val="single" w:sz="4" w:space="0" w:color="auto"/>
            </w:tcBorders>
            <w:shd w:val="clear" w:color="000000" w:fill="FFFFFF"/>
            <w:tcMar>
              <w:top w:w="85" w:type="dxa"/>
            </w:tcMar>
            <w:hideMark/>
          </w:tcPr>
          <w:p w:rsidR="00236E18" w:rsidRPr="00336FF1" w:rsidRDefault="00236E18" w:rsidP="00294272">
            <w:pPr>
              <w:ind w:left="117"/>
              <w:rPr>
                <w:rFonts w:eastAsia="Times New Roman"/>
                <w:sz w:val="16"/>
                <w:szCs w:val="16"/>
                <w:lang w:eastAsia="en-US"/>
              </w:rPr>
            </w:pPr>
            <w:r w:rsidRPr="00336FF1">
              <w:rPr>
                <w:rFonts w:eastAsia="Times New Roman"/>
                <w:sz w:val="16"/>
                <w:szCs w:val="16"/>
                <w:lang w:eastAsia="en-US"/>
              </w:rPr>
              <w:t>2 países han aprobado dicha estrategia.</w:t>
            </w:r>
          </w:p>
        </w:tc>
      </w:tr>
      <w:tr w:rsidR="00236E18" w:rsidRPr="00336FF1" w:rsidTr="00294272">
        <w:trPr>
          <w:trHeight w:val="1449"/>
        </w:trPr>
        <w:tc>
          <w:tcPr>
            <w:tcW w:w="2480" w:type="dxa"/>
            <w:tcBorders>
              <w:left w:val="single" w:sz="4" w:space="0" w:color="auto"/>
              <w:bottom w:val="nil"/>
              <w:right w:val="nil"/>
            </w:tcBorders>
            <w:shd w:val="clear" w:color="000000" w:fill="FFFFFF"/>
            <w:tcMar>
              <w:top w:w="85" w:type="dxa"/>
            </w:tcMar>
            <w:hideMark/>
          </w:tcPr>
          <w:p w:rsidR="00236E18" w:rsidRPr="00336FF1" w:rsidRDefault="00236E18" w:rsidP="00294272">
            <w:pPr>
              <w:rPr>
                <w:rFonts w:eastAsia="Times New Roman"/>
                <w:sz w:val="16"/>
                <w:szCs w:val="16"/>
                <w:lang w:eastAsia="en-US"/>
              </w:rPr>
            </w:pPr>
            <w:r w:rsidRPr="00336FF1">
              <w:rPr>
                <w:rFonts w:eastAsia="Times New Roman"/>
                <w:sz w:val="16"/>
                <w:szCs w:val="16"/>
                <w:lang w:eastAsia="en-US"/>
              </w:rPr>
              <w:t xml:space="preserve">III.2.  </w:t>
            </w:r>
            <w:r w:rsidRPr="000E073C">
              <w:rPr>
                <w:sz w:val="16"/>
                <w:szCs w:val="16"/>
                <w:lang w:val="es-ES_tradnl"/>
              </w:rPr>
              <w:t>Aumento de las capacidades en recursos humanos para hacer frente a la gran diversidad de exigencias que supone la utilización eficaz de la P.I. para fomentar el desarrollo en los países en desarrollo, PMA y países con economías en transición</w:t>
            </w:r>
            <w:r>
              <w:rPr>
                <w:sz w:val="16"/>
                <w:szCs w:val="16"/>
                <w:lang w:val="es-ES_tradnl"/>
              </w:rPr>
              <w:br/>
            </w:r>
          </w:p>
        </w:tc>
        <w:tc>
          <w:tcPr>
            <w:tcW w:w="2660" w:type="dxa"/>
            <w:tcBorders>
              <w:left w:val="nil"/>
              <w:bottom w:val="nil"/>
              <w:right w:val="nil"/>
            </w:tcBorders>
            <w:shd w:val="clear" w:color="000000" w:fill="FFFFFF"/>
            <w:tcMar>
              <w:top w:w="85" w:type="dxa"/>
            </w:tcMar>
            <w:hideMark/>
          </w:tcPr>
          <w:p w:rsidR="00236E18" w:rsidRPr="00336FF1" w:rsidRDefault="00236E18" w:rsidP="00294272">
            <w:pPr>
              <w:ind w:left="262"/>
              <w:rPr>
                <w:rFonts w:eastAsia="Times New Roman"/>
                <w:sz w:val="16"/>
                <w:szCs w:val="16"/>
                <w:lang w:eastAsia="en-US"/>
              </w:rPr>
            </w:pPr>
            <w:r w:rsidRPr="00336FF1">
              <w:rPr>
                <w:rFonts w:eastAsia="Times New Roman"/>
                <w:sz w:val="16"/>
                <w:szCs w:val="16"/>
                <w:lang w:eastAsia="en-US"/>
              </w:rPr>
              <w:t>Porcentaje de participantes que han recibido formación y que están satisfechos de la utilidad y pertinencia de la formación recibida para el desempeño de sus funciones profesionales.</w:t>
            </w:r>
          </w:p>
        </w:tc>
        <w:tc>
          <w:tcPr>
            <w:tcW w:w="2120" w:type="dxa"/>
            <w:tcBorders>
              <w:left w:val="nil"/>
              <w:bottom w:val="nil"/>
              <w:right w:val="nil"/>
            </w:tcBorders>
            <w:shd w:val="clear" w:color="000000" w:fill="FFFFFF"/>
            <w:tcMar>
              <w:top w:w="85" w:type="dxa"/>
            </w:tcMar>
            <w:hideMark/>
          </w:tcPr>
          <w:p w:rsidR="00236E18" w:rsidRPr="00336FF1" w:rsidRDefault="00236E18" w:rsidP="00294272">
            <w:pPr>
              <w:rPr>
                <w:rFonts w:eastAsia="Times New Roman"/>
                <w:sz w:val="16"/>
                <w:szCs w:val="16"/>
                <w:lang w:eastAsia="en-US"/>
              </w:rPr>
            </w:pPr>
            <w:r w:rsidRPr="00336FF1">
              <w:rPr>
                <w:rFonts w:eastAsia="Times New Roman"/>
                <w:sz w:val="16"/>
                <w:szCs w:val="16"/>
                <w:lang w:eastAsia="en-US"/>
              </w:rPr>
              <w:t>Pertinencia : 90%</w:t>
            </w:r>
            <w:r w:rsidRPr="00336FF1">
              <w:rPr>
                <w:rFonts w:eastAsia="Times New Roman"/>
                <w:sz w:val="16"/>
                <w:szCs w:val="16"/>
                <w:lang w:eastAsia="en-US"/>
              </w:rPr>
              <w:br/>
              <w:t>Utilidad : 90%</w:t>
            </w:r>
            <w:r w:rsidRPr="00336FF1">
              <w:rPr>
                <w:rFonts w:eastAsia="Times New Roman"/>
                <w:sz w:val="16"/>
                <w:szCs w:val="16"/>
                <w:lang w:eastAsia="en-US"/>
              </w:rPr>
              <w:br/>
              <w:t>(</w:t>
            </w:r>
            <w:r w:rsidRPr="00336FF1">
              <w:rPr>
                <w:rFonts w:eastAsia="Times New Roman"/>
                <w:sz w:val="16"/>
                <w:szCs w:val="16"/>
                <w:highlight w:val="white"/>
                <w:lang w:eastAsia="en-US"/>
              </w:rPr>
              <w:t xml:space="preserve">al </w:t>
            </w:r>
            <w:r w:rsidRPr="00336FF1">
              <w:rPr>
                <w:rFonts w:eastAsia="Times New Roman"/>
                <w:sz w:val="16"/>
                <w:szCs w:val="16"/>
                <w:lang w:eastAsia="en-US"/>
              </w:rPr>
              <w:t>15 de febrero de 2015)</w:t>
            </w:r>
          </w:p>
        </w:tc>
        <w:tc>
          <w:tcPr>
            <w:tcW w:w="1969" w:type="dxa"/>
            <w:tcBorders>
              <w:left w:val="nil"/>
              <w:bottom w:val="nil"/>
              <w:right w:val="single" w:sz="4" w:space="0" w:color="auto"/>
            </w:tcBorders>
            <w:shd w:val="clear" w:color="000000" w:fill="FFFFFF"/>
            <w:tcMar>
              <w:top w:w="85" w:type="dxa"/>
            </w:tcMar>
            <w:hideMark/>
          </w:tcPr>
          <w:p w:rsidR="00236E18" w:rsidRPr="00336FF1" w:rsidRDefault="00236E18" w:rsidP="00294272">
            <w:pPr>
              <w:ind w:left="117"/>
              <w:rPr>
                <w:rFonts w:eastAsia="Times New Roman"/>
                <w:sz w:val="16"/>
                <w:szCs w:val="16"/>
                <w:lang w:eastAsia="en-US"/>
              </w:rPr>
            </w:pPr>
            <w:r w:rsidRPr="00336FF1">
              <w:rPr>
                <w:rFonts w:eastAsia="Times New Roman"/>
                <w:sz w:val="16"/>
                <w:szCs w:val="16"/>
                <w:lang w:eastAsia="en-US"/>
              </w:rPr>
              <w:t>Pertinencia: &gt;85%</w:t>
            </w:r>
            <w:r w:rsidRPr="00336FF1">
              <w:rPr>
                <w:rFonts w:eastAsia="Times New Roman"/>
                <w:sz w:val="16"/>
                <w:szCs w:val="16"/>
                <w:lang w:eastAsia="en-US"/>
              </w:rPr>
              <w:br/>
              <w:t>Utilidad: &gt; 85%</w:t>
            </w:r>
          </w:p>
        </w:tc>
      </w:tr>
      <w:tr w:rsidR="00236E18" w:rsidRPr="00336FF1" w:rsidTr="00294272">
        <w:trPr>
          <w:trHeight w:val="1440"/>
        </w:trPr>
        <w:tc>
          <w:tcPr>
            <w:tcW w:w="2480" w:type="dxa"/>
            <w:tcBorders>
              <w:top w:val="nil"/>
              <w:left w:val="single" w:sz="4" w:space="0" w:color="auto"/>
              <w:bottom w:val="nil"/>
              <w:right w:val="nil"/>
            </w:tcBorders>
            <w:shd w:val="clear" w:color="000000" w:fill="FFFFFF"/>
            <w:tcMar>
              <w:top w:w="85" w:type="dxa"/>
            </w:tcMar>
            <w:hideMark/>
          </w:tcPr>
          <w:p w:rsidR="00236E18" w:rsidRPr="000E073C" w:rsidRDefault="00236E18" w:rsidP="00294272">
            <w:pPr>
              <w:rPr>
                <w:rFonts w:eastAsia="Times New Roman"/>
                <w:sz w:val="16"/>
                <w:szCs w:val="16"/>
                <w:lang w:eastAsia="en-US"/>
              </w:rPr>
            </w:pPr>
            <w:r w:rsidRPr="000E073C">
              <w:rPr>
                <w:rFonts w:eastAsia="Times New Roman"/>
                <w:sz w:val="16"/>
                <w:szCs w:val="16"/>
                <w:lang w:eastAsia="en-US"/>
              </w:rPr>
              <w:t xml:space="preserve">VI.1  </w:t>
            </w:r>
            <w:r w:rsidRPr="000E073C">
              <w:rPr>
                <w:sz w:val="16"/>
                <w:szCs w:val="16"/>
                <w:lang w:val="es-ES_tradnl"/>
              </w:rPr>
              <w:t>Avances en el diálogo internacional sobre políticas entre los Estados miembros de la OMPI para fomentar el respeto por la P.I. sobre la base de la recomendación 45 de la Agenda de la OMPI para el Desarrollo</w:t>
            </w:r>
          </w:p>
        </w:tc>
        <w:tc>
          <w:tcPr>
            <w:tcW w:w="2660" w:type="dxa"/>
            <w:tcBorders>
              <w:top w:val="nil"/>
              <w:left w:val="nil"/>
              <w:bottom w:val="nil"/>
              <w:right w:val="nil"/>
            </w:tcBorders>
            <w:shd w:val="clear" w:color="000000" w:fill="FFFFFF"/>
            <w:tcMar>
              <w:top w:w="85" w:type="dxa"/>
            </w:tcMar>
            <w:hideMark/>
          </w:tcPr>
          <w:p w:rsidR="00236E18" w:rsidRPr="00336FF1" w:rsidRDefault="00236E18" w:rsidP="00294272">
            <w:pPr>
              <w:ind w:left="262"/>
              <w:rPr>
                <w:rFonts w:eastAsia="Times New Roman"/>
                <w:sz w:val="16"/>
                <w:szCs w:val="16"/>
                <w:lang w:eastAsia="en-US"/>
              </w:rPr>
            </w:pPr>
            <w:r w:rsidRPr="00336FF1">
              <w:rPr>
                <w:rFonts w:eastAsia="Times New Roman"/>
                <w:sz w:val="16"/>
                <w:szCs w:val="16"/>
                <w:lang w:eastAsia="en-US"/>
              </w:rPr>
              <w:t>Acuerdo constante entre los Estados miembros sobre la labor sustantiva del Comité Asesor de la OMPI sobre Observancia (ACE), al incorporar elementos orientados al desarrollo.</w:t>
            </w:r>
          </w:p>
        </w:tc>
        <w:tc>
          <w:tcPr>
            <w:tcW w:w="2120" w:type="dxa"/>
            <w:tcBorders>
              <w:top w:val="nil"/>
              <w:left w:val="nil"/>
              <w:bottom w:val="nil"/>
              <w:right w:val="nil"/>
            </w:tcBorders>
            <w:shd w:val="clear" w:color="000000" w:fill="FFFFFF"/>
            <w:tcMar>
              <w:top w:w="85" w:type="dxa"/>
            </w:tcMar>
            <w:hideMark/>
          </w:tcPr>
          <w:p w:rsidR="00236E18" w:rsidRPr="00336FF1" w:rsidRDefault="00236E18" w:rsidP="00294272">
            <w:pPr>
              <w:rPr>
                <w:rFonts w:eastAsia="Times New Roman"/>
                <w:sz w:val="16"/>
                <w:szCs w:val="16"/>
                <w:lang w:eastAsia="en-US"/>
              </w:rPr>
            </w:pPr>
            <w:r w:rsidRPr="00336FF1">
              <w:rPr>
                <w:rFonts w:eastAsia="Times New Roman"/>
                <w:sz w:val="16"/>
                <w:szCs w:val="16"/>
                <w:lang w:eastAsia="en-US"/>
              </w:rPr>
              <w:t>Acuerdo sobre el</w:t>
            </w:r>
          </w:p>
          <w:p w:rsidR="00236E18" w:rsidRPr="00336FF1" w:rsidRDefault="00236E18" w:rsidP="00294272">
            <w:pPr>
              <w:rPr>
                <w:rFonts w:eastAsia="Times New Roman"/>
                <w:sz w:val="16"/>
                <w:szCs w:val="16"/>
                <w:lang w:eastAsia="en-US"/>
              </w:rPr>
            </w:pPr>
            <w:r w:rsidRPr="00336FF1">
              <w:rPr>
                <w:rFonts w:eastAsia="Times New Roman"/>
                <w:sz w:val="16"/>
                <w:szCs w:val="16"/>
                <w:lang w:eastAsia="en-US"/>
              </w:rPr>
              <w:t>programa de trabajo de</w:t>
            </w:r>
          </w:p>
          <w:p w:rsidR="00236E18" w:rsidRPr="00336FF1" w:rsidRDefault="00236E18" w:rsidP="00294272">
            <w:pPr>
              <w:rPr>
                <w:rFonts w:eastAsia="Times New Roman"/>
                <w:sz w:val="16"/>
                <w:szCs w:val="16"/>
                <w:lang w:eastAsia="en-US"/>
              </w:rPr>
            </w:pPr>
            <w:r w:rsidRPr="00336FF1">
              <w:rPr>
                <w:rFonts w:eastAsia="Times New Roman"/>
                <w:sz w:val="16"/>
                <w:szCs w:val="16"/>
                <w:lang w:eastAsia="en-US"/>
              </w:rPr>
              <w:t>la décima sesión del</w:t>
            </w:r>
          </w:p>
          <w:p w:rsidR="00236E18" w:rsidRPr="00336FF1" w:rsidRDefault="00236E18" w:rsidP="00294272">
            <w:pPr>
              <w:rPr>
                <w:rFonts w:eastAsia="Times New Roman"/>
                <w:sz w:val="16"/>
                <w:szCs w:val="16"/>
                <w:lang w:eastAsia="en-US"/>
              </w:rPr>
            </w:pPr>
            <w:r w:rsidRPr="00336FF1">
              <w:rPr>
                <w:rFonts w:eastAsia="Times New Roman"/>
                <w:sz w:val="16"/>
                <w:szCs w:val="16"/>
                <w:lang w:eastAsia="en-US"/>
              </w:rPr>
              <w:t>ACE</w:t>
            </w:r>
          </w:p>
        </w:tc>
        <w:tc>
          <w:tcPr>
            <w:tcW w:w="1969" w:type="dxa"/>
            <w:tcBorders>
              <w:top w:val="nil"/>
              <w:left w:val="nil"/>
              <w:bottom w:val="nil"/>
              <w:right w:val="single" w:sz="4" w:space="0" w:color="auto"/>
            </w:tcBorders>
            <w:shd w:val="clear" w:color="000000" w:fill="FFFFFF"/>
            <w:tcMar>
              <w:top w:w="85" w:type="dxa"/>
            </w:tcMar>
            <w:hideMark/>
          </w:tcPr>
          <w:p w:rsidR="00236E18" w:rsidRPr="00336FF1" w:rsidRDefault="00236E18" w:rsidP="00294272">
            <w:pPr>
              <w:ind w:left="117"/>
              <w:rPr>
                <w:rFonts w:eastAsia="Times New Roman"/>
                <w:sz w:val="16"/>
                <w:szCs w:val="16"/>
                <w:lang w:eastAsia="en-US"/>
              </w:rPr>
            </w:pPr>
            <w:r w:rsidRPr="00336FF1">
              <w:rPr>
                <w:rFonts w:eastAsia="Times New Roman"/>
                <w:sz w:val="16"/>
                <w:szCs w:val="16"/>
                <w:lang w:eastAsia="en-US"/>
              </w:rPr>
              <w:t>Acuerdo sobre el programa de trabajo de la siguiente sesión del ACE</w:t>
            </w:r>
          </w:p>
        </w:tc>
      </w:tr>
      <w:tr w:rsidR="00236E18" w:rsidRPr="00336FF1" w:rsidTr="00294272">
        <w:trPr>
          <w:trHeight w:val="1260"/>
        </w:trPr>
        <w:tc>
          <w:tcPr>
            <w:tcW w:w="2480" w:type="dxa"/>
            <w:tcBorders>
              <w:top w:val="nil"/>
              <w:left w:val="single" w:sz="4" w:space="0" w:color="auto"/>
              <w:bottom w:val="nil"/>
              <w:right w:val="nil"/>
            </w:tcBorders>
            <w:shd w:val="clear" w:color="000000" w:fill="FFFFFF"/>
            <w:tcMar>
              <w:top w:w="85" w:type="dxa"/>
            </w:tcMar>
            <w:hideMark/>
          </w:tcPr>
          <w:p w:rsidR="00236E18" w:rsidRPr="000E073C" w:rsidRDefault="00236E18" w:rsidP="00294272">
            <w:pPr>
              <w:rPr>
                <w:rFonts w:eastAsia="Times New Roman"/>
                <w:sz w:val="16"/>
                <w:szCs w:val="16"/>
                <w:lang w:eastAsia="en-US"/>
              </w:rPr>
            </w:pPr>
            <w:r w:rsidRPr="000E073C">
              <w:rPr>
                <w:rFonts w:eastAsia="Times New Roman"/>
                <w:sz w:val="16"/>
                <w:szCs w:val="16"/>
                <w:lang w:eastAsia="en-US"/>
              </w:rPr>
              <w:t xml:space="preserve">VI.2  </w:t>
            </w:r>
            <w:r w:rsidRPr="000E073C">
              <w:rPr>
                <w:sz w:val="16"/>
                <w:szCs w:val="16"/>
                <w:lang w:val="es-ES_tradnl"/>
              </w:rPr>
              <w:t>Cooperación y coordinación sistemáticas, eficaces y transparentes entre la OMPI y otras organizaciones internacionales en el fomento del respeto por la P.I.</w:t>
            </w:r>
          </w:p>
        </w:tc>
        <w:tc>
          <w:tcPr>
            <w:tcW w:w="2660" w:type="dxa"/>
            <w:tcBorders>
              <w:top w:val="nil"/>
              <w:left w:val="nil"/>
              <w:bottom w:val="nil"/>
              <w:right w:val="nil"/>
            </w:tcBorders>
            <w:shd w:val="clear" w:color="000000" w:fill="FFFFFF"/>
            <w:tcMar>
              <w:top w:w="85" w:type="dxa"/>
            </w:tcMar>
            <w:hideMark/>
          </w:tcPr>
          <w:p w:rsidR="00236E18" w:rsidRPr="00336FF1" w:rsidRDefault="00236E18" w:rsidP="00294272">
            <w:pPr>
              <w:ind w:left="262"/>
              <w:rPr>
                <w:rFonts w:eastAsia="Times New Roman"/>
                <w:sz w:val="16"/>
                <w:szCs w:val="16"/>
                <w:lang w:eastAsia="en-US"/>
              </w:rPr>
            </w:pPr>
            <w:r w:rsidRPr="00336FF1">
              <w:rPr>
                <w:rFonts w:eastAsia="Times New Roman"/>
                <w:sz w:val="16"/>
                <w:szCs w:val="16"/>
                <w:lang w:eastAsia="en-US"/>
              </w:rPr>
              <w:t>N</w:t>
            </w:r>
            <w:r>
              <w:rPr>
                <w:rFonts w:eastAsia="Times New Roman"/>
                <w:sz w:val="16"/>
                <w:szCs w:val="16"/>
                <w:lang w:eastAsia="en-US"/>
              </w:rPr>
              <w:t>º</w:t>
            </w:r>
            <w:r w:rsidRPr="00336FF1">
              <w:rPr>
                <w:rFonts w:eastAsia="Times New Roman"/>
                <w:sz w:val="16"/>
                <w:szCs w:val="16"/>
                <w:lang w:eastAsia="en-US"/>
              </w:rPr>
              <w:t xml:space="preserve"> de colaboraciones estratégicas u otras actividades conjuntas con organizaciones asociadas </w:t>
            </w:r>
            <w:r>
              <w:rPr>
                <w:rFonts w:eastAsia="Times New Roman"/>
                <w:sz w:val="16"/>
                <w:szCs w:val="16"/>
                <w:lang w:eastAsia="en-US"/>
              </w:rPr>
              <w:t>para</w:t>
            </w:r>
            <w:r w:rsidRPr="00336FF1">
              <w:rPr>
                <w:rFonts w:eastAsia="Times New Roman"/>
                <w:sz w:val="16"/>
                <w:szCs w:val="16"/>
                <w:lang w:eastAsia="en-US"/>
              </w:rPr>
              <w:t xml:space="preserve"> el fomento del respeto por la P.I.</w:t>
            </w:r>
          </w:p>
        </w:tc>
        <w:tc>
          <w:tcPr>
            <w:tcW w:w="2120" w:type="dxa"/>
            <w:tcBorders>
              <w:top w:val="nil"/>
              <w:left w:val="nil"/>
              <w:bottom w:val="nil"/>
              <w:right w:val="nil"/>
            </w:tcBorders>
            <w:shd w:val="clear" w:color="000000" w:fill="FFFFFF"/>
            <w:tcMar>
              <w:top w:w="85" w:type="dxa"/>
            </w:tcMar>
            <w:hideMark/>
          </w:tcPr>
          <w:p w:rsidR="00236E18" w:rsidRPr="00336FF1" w:rsidRDefault="00236E18" w:rsidP="00294272">
            <w:pPr>
              <w:rPr>
                <w:rFonts w:eastAsia="Times New Roman"/>
                <w:sz w:val="16"/>
                <w:szCs w:val="16"/>
                <w:lang w:eastAsia="en-US"/>
              </w:rPr>
            </w:pPr>
            <w:r w:rsidRPr="00336FF1">
              <w:rPr>
                <w:rFonts w:eastAsia="Times New Roman"/>
                <w:sz w:val="16"/>
                <w:szCs w:val="16"/>
                <w:lang w:eastAsia="en-US"/>
              </w:rPr>
              <w:t>6 colaboraciones estratégicas y otras 24 actividades conjuntas (al 15 de febrero de 2015).</w:t>
            </w:r>
          </w:p>
        </w:tc>
        <w:tc>
          <w:tcPr>
            <w:tcW w:w="1969" w:type="dxa"/>
            <w:tcBorders>
              <w:top w:val="nil"/>
              <w:left w:val="nil"/>
              <w:bottom w:val="nil"/>
              <w:right w:val="single" w:sz="4" w:space="0" w:color="auto"/>
            </w:tcBorders>
            <w:shd w:val="clear" w:color="000000" w:fill="FFFFFF"/>
            <w:tcMar>
              <w:top w:w="85" w:type="dxa"/>
            </w:tcMar>
            <w:hideMark/>
          </w:tcPr>
          <w:p w:rsidR="00236E18" w:rsidRPr="00336FF1" w:rsidRDefault="00236E18" w:rsidP="00294272">
            <w:pPr>
              <w:ind w:left="117"/>
              <w:rPr>
                <w:rFonts w:eastAsia="Times New Roman"/>
                <w:sz w:val="16"/>
                <w:szCs w:val="16"/>
                <w:lang w:eastAsia="en-US"/>
              </w:rPr>
            </w:pPr>
            <w:r w:rsidRPr="00336FF1">
              <w:rPr>
                <w:rFonts w:eastAsia="Times New Roman"/>
                <w:sz w:val="16"/>
                <w:szCs w:val="16"/>
                <w:lang w:eastAsia="en-US"/>
              </w:rPr>
              <w:t>6 colaboraciones estratégicas y otras 25 actividades conjuntas.</w:t>
            </w:r>
          </w:p>
        </w:tc>
      </w:tr>
      <w:tr w:rsidR="00236E18" w:rsidRPr="00336FF1" w:rsidTr="00294272">
        <w:trPr>
          <w:trHeight w:val="932"/>
        </w:trPr>
        <w:tc>
          <w:tcPr>
            <w:tcW w:w="2480" w:type="dxa"/>
            <w:tcBorders>
              <w:top w:val="nil"/>
              <w:left w:val="single" w:sz="4" w:space="0" w:color="auto"/>
              <w:bottom w:val="single" w:sz="4" w:space="0" w:color="auto"/>
              <w:right w:val="nil"/>
            </w:tcBorders>
            <w:shd w:val="clear" w:color="000000" w:fill="FFFFFF"/>
            <w:tcMar>
              <w:top w:w="85" w:type="dxa"/>
            </w:tcMar>
            <w:hideMark/>
          </w:tcPr>
          <w:p w:rsidR="00236E18" w:rsidRPr="000E073C" w:rsidRDefault="00236E18" w:rsidP="00294272">
            <w:pPr>
              <w:rPr>
                <w:rFonts w:eastAsia="Times New Roman"/>
                <w:sz w:val="16"/>
                <w:szCs w:val="16"/>
                <w:lang w:eastAsia="en-US"/>
              </w:rPr>
            </w:pPr>
            <w:r w:rsidRPr="000E073C">
              <w:rPr>
                <w:rFonts w:eastAsia="Times New Roman"/>
                <w:sz w:val="16"/>
                <w:szCs w:val="16"/>
                <w:lang w:eastAsia="en-US"/>
              </w:rPr>
              <w:t xml:space="preserve">VIII.1  </w:t>
            </w:r>
            <w:r w:rsidRPr="000E073C">
              <w:rPr>
                <w:sz w:val="16"/>
                <w:szCs w:val="16"/>
                <w:lang w:val="es-ES_tradnl"/>
              </w:rPr>
              <w:t>Comunicación más eficaz con el público en general acerca de la P.I. y la función de la OMPI</w:t>
            </w:r>
          </w:p>
        </w:tc>
        <w:tc>
          <w:tcPr>
            <w:tcW w:w="2660" w:type="dxa"/>
            <w:tcBorders>
              <w:top w:val="nil"/>
              <w:left w:val="nil"/>
              <w:bottom w:val="single" w:sz="4" w:space="0" w:color="auto"/>
              <w:right w:val="nil"/>
            </w:tcBorders>
            <w:shd w:val="clear" w:color="000000" w:fill="FFFFFF"/>
            <w:tcMar>
              <w:top w:w="85" w:type="dxa"/>
            </w:tcMar>
            <w:hideMark/>
          </w:tcPr>
          <w:p w:rsidR="00236E18" w:rsidRPr="00336FF1" w:rsidRDefault="00236E18" w:rsidP="00294272">
            <w:pPr>
              <w:ind w:left="262"/>
              <w:rPr>
                <w:rFonts w:eastAsia="Times New Roman"/>
                <w:sz w:val="16"/>
                <w:szCs w:val="16"/>
                <w:lang w:eastAsia="en-US"/>
              </w:rPr>
            </w:pPr>
            <w:r>
              <w:rPr>
                <w:rFonts w:eastAsia="Times New Roman"/>
                <w:sz w:val="16"/>
                <w:szCs w:val="16"/>
                <w:lang w:eastAsia="en-US"/>
              </w:rPr>
              <w:t>Nº</w:t>
            </w:r>
            <w:r w:rsidRPr="00336FF1">
              <w:rPr>
                <w:rFonts w:eastAsia="Times New Roman"/>
                <w:sz w:val="16"/>
                <w:szCs w:val="16"/>
                <w:lang w:eastAsia="en-US"/>
              </w:rPr>
              <w:t xml:space="preserve"> de Estados miembros participantes en el programa de Premios de la OMPI</w:t>
            </w:r>
          </w:p>
        </w:tc>
        <w:tc>
          <w:tcPr>
            <w:tcW w:w="2120" w:type="dxa"/>
            <w:tcBorders>
              <w:top w:val="nil"/>
              <w:left w:val="nil"/>
              <w:bottom w:val="single" w:sz="4" w:space="0" w:color="auto"/>
              <w:right w:val="nil"/>
            </w:tcBorders>
            <w:shd w:val="clear" w:color="000000" w:fill="FFFFFF"/>
            <w:tcMar>
              <w:top w:w="85" w:type="dxa"/>
            </w:tcMar>
            <w:hideMark/>
          </w:tcPr>
          <w:p w:rsidR="00236E18" w:rsidRPr="00336FF1" w:rsidRDefault="00236E18" w:rsidP="00294272">
            <w:pPr>
              <w:rPr>
                <w:rFonts w:eastAsia="Times New Roman"/>
                <w:sz w:val="16"/>
                <w:szCs w:val="16"/>
                <w:lang w:eastAsia="en-US"/>
              </w:rPr>
            </w:pPr>
            <w:r w:rsidRPr="00336FF1">
              <w:rPr>
                <w:rFonts w:eastAsia="Times New Roman"/>
                <w:sz w:val="16"/>
                <w:szCs w:val="16"/>
                <w:highlight w:val="white"/>
                <w:lang w:eastAsia="en-US"/>
              </w:rPr>
              <w:t>38 (en 2014</w:t>
            </w:r>
            <w:r w:rsidRPr="00336FF1">
              <w:rPr>
                <w:rFonts w:eastAsia="Times New Roman"/>
                <w:sz w:val="16"/>
                <w:szCs w:val="16"/>
                <w:lang w:eastAsia="en-US"/>
              </w:rPr>
              <w:t>)</w:t>
            </w:r>
          </w:p>
        </w:tc>
        <w:tc>
          <w:tcPr>
            <w:tcW w:w="1969" w:type="dxa"/>
            <w:tcBorders>
              <w:top w:val="nil"/>
              <w:left w:val="nil"/>
              <w:bottom w:val="single" w:sz="4" w:space="0" w:color="auto"/>
              <w:right w:val="single" w:sz="4" w:space="0" w:color="auto"/>
            </w:tcBorders>
            <w:shd w:val="clear" w:color="000000" w:fill="FFFFFF"/>
            <w:tcMar>
              <w:top w:w="85" w:type="dxa"/>
            </w:tcMar>
            <w:hideMark/>
          </w:tcPr>
          <w:p w:rsidR="00236E18" w:rsidRPr="00336FF1" w:rsidRDefault="00236E18" w:rsidP="00294272">
            <w:pPr>
              <w:ind w:firstLineChars="200" w:firstLine="320"/>
              <w:rPr>
                <w:rFonts w:eastAsia="Times New Roman"/>
                <w:sz w:val="16"/>
                <w:szCs w:val="16"/>
                <w:lang w:eastAsia="en-US"/>
              </w:rPr>
            </w:pPr>
            <w:r w:rsidRPr="00336FF1">
              <w:rPr>
                <w:rFonts w:eastAsia="Times New Roman"/>
                <w:sz w:val="16"/>
                <w:szCs w:val="16"/>
                <w:lang w:eastAsia="en-US"/>
              </w:rPr>
              <w:t xml:space="preserve">45 </w:t>
            </w:r>
            <w:r w:rsidRPr="00336FF1">
              <w:rPr>
                <w:rFonts w:eastAsia="Times New Roman"/>
                <w:sz w:val="16"/>
                <w:szCs w:val="16"/>
                <w:highlight w:val="white"/>
                <w:lang w:eastAsia="en-US"/>
              </w:rPr>
              <w:t>en 2016/17</w:t>
            </w:r>
          </w:p>
        </w:tc>
      </w:tr>
    </w:tbl>
    <w:p w:rsidR="00236E18" w:rsidRPr="00336FF1" w:rsidRDefault="00236E18" w:rsidP="00236E18">
      <w:pPr>
        <w:jc w:val="both"/>
      </w:pPr>
    </w:p>
    <w:p w:rsidR="00236E18" w:rsidRPr="00336FF1" w:rsidRDefault="00236E18" w:rsidP="00236E18">
      <w:pPr>
        <w:jc w:val="both"/>
      </w:pPr>
    </w:p>
    <w:p w:rsidR="00236E18" w:rsidRPr="000278D6" w:rsidRDefault="00236E18" w:rsidP="00236E18">
      <w:pPr>
        <w:shd w:val="clear" w:color="auto" w:fill="FFFFFF"/>
        <w:tabs>
          <w:tab w:val="left" w:pos="709"/>
        </w:tabs>
        <w:suppressAutoHyphens/>
        <w:jc w:val="both"/>
        <w:rPr>
          <w:szCs w:val="22"/>
          <w:lang w:val="en-US"/>
        </w:rPr>
      </w:pPr>
      <w:r w:rsidRPr="000278D6">
        <w:rPr>
          <w:szCs w:val="22"/>
          <w:lang w:val="en-US"/>
        </w:rPr>
        <w:t>RECURSOS PARA EL PROGRAMA 17</w:t>
      </w:r>
    </w:p>
    <w:p w:rsidR="00236E18" w:rsidRPr="00892A2A" w:rsidRDefault="00236E18" w:rsidP="00236E18">
      <w:pPr>
        <w:rPr>
          <w:sz w:val="20"/>
        </w:rPr>
      </w:pPr>
    </w:p>
    <w:p w:rsidR="00236E18" w:rsidRPr="00892A2A" w:rsidRDefault="00236E18" w:rsidP="00236E18">
      <w:pPr>
        <w:rPr>
          <w:sz w:val="20"/>
        </w:rPr>
      </w:pPr>
      <w:r w:rsidRPr="00892A2A">
        <w:rPr>
          <w:sz w:val="20"/>
        </w:rPr>
        <w:t>17.8.</w:t>
      </w:r>
      <w:r w:rsidRPr="00892A2A">
        <w:rPr>
          <w:sz w:val="20"/>
        </w:rPr>
        <w:tab/>
        <w:t>En el bienio 2016/17, la dotación global de recursos para el programa 17 se mantiene en el mismo nivel que el del presupuesto aprobado de 2014/15 (la disminución</w:t>
      </w:r>
      <w:r>
        <w:rPr>
          <w:sz w:val="20"/>
        </w:rPr>
        <w:t xml:space="preserve"> con respecto al presupuesto de </w:t>
      </w:r>
      <w:r w:rsidRPr="00892A2A">
        <w:rPr>
          <w:sz w:val="20"/>
        </w:rPr>
        <w:t>2014/</w:t>
      </w:r>
      <w:r>
        <w:rPr>
          <w:sz w:val="20"/>
        </w:rPr>
        <w:t>15 tras las</w:t>
      </w:r>
      <w:r w:rsidRPr="00892A2A">
        <w:rPr>
          <w:sz w:val="20"/>
        </w:rPr>
        <w:t xml:space="preserve"> transferencias refleja la adscripción temporal al programa de un jurista en 2014/15).</w:t>
      </w:r>
    </w:p>
    <w:p w:rsidR="00236E18" w:rsidRPr="00892A2A" w:rsidRDefault="00236E18" w:rsidP="00236E18">
      <w:pPr>
        <w:rPr>
          <w:sz w:val="20"/>
        </w:rPr>
      </w:pPr>
    </w:p>
    <w:p w:rsidR="00236E18" w:rsidRPr="00892A2A" w:rsidRDefault="00236E18" w:rsidP="00236E18">
      <w:pPr>
        <w:rPr>
          <w:sz w:val="20"/>
        </w:rPr>
      </w:pPr>
      <w:r w:rsidRPr="00892A2A">
        <w:rPr>
          <w:sz w:val="20"/>
        </w:rPr>
        <w:t>17.9.</w:t>
      </w:r>
      <w:r w:rsidRPr="00892A2A">
        <w:rPr>
          <w:sz w:val="20"/>
        </w:rPr>
        <w:tab/>
        <w:t>Puede observarse un trasvase de recursos, del resultado previsto I</w:t>
      </w:r>
      <w:r>
        <w:rPr>
          <w:sz w:val="20"/>
        </w:rPr>
        <w:t>II.2 a los resultados previstos </w:t>
      </w:r>
      <w:r w:rsidRPr="00892A2A">
        <w:rPr>
          <w:sz w:val="20"/>
        </w:rPr>
        <w:t>1.2 y VIII.1, lo cual refleja un mayor equilibrio entre los diversos resultados previstos, con i) la consignación de recursos por la asistencia prestada, teniendo en cuenta el aumento de la demanda por parte de los Estados miembros, en relación con la asistencia legislativa y las estrategias nacionales sobre el fortalecimiento del respeto por la P.I., y ii) la consignación de recursos para el programa de Premios de la OMPI al resultado previsto VIII.1 (y no al resultado previsto III.2 en el bienio de 2014/15).</w:t>
      </w:r>
    </w:p>
    <w:p w:rsidR="00236E18" w:rsidRPr="00892A2A" w:rsidRDefault="00236E18" w:rsidP="00236E18">
      <w:pPr>
        <w:rPr>
          <w:sz w:val="20"/>
        </w:rPr>
      </w:pPr>
    </w:p>
    <w:p w:rsidR="00236E18" w:rsidRPr="00071638" w:rsidRDefault="00236E18" w:rsidP="00236E18">
      <w:pPr>
        <w:keepNext/>
        <w:keepLines/>
        <w:tabs>
          <w:tab w:val="left" w:pos="1427"/>
        </w:tabs>
        <w:jc w:val="center"/>
        <w:rPr>
          <w:color w:val="244061" w:themeColor="accent1" w:themeShade="80"/>
          <w:sz w:val="20"/>
          <w:lang w:val="es-ES_tradnl"/>
        </w:rPr>
      </w:pPr>
      <w:r w:rsidRPr="00071638">
        <w:rPr>
          <w:b/>
          <w:color w:val="244061" w:themeColor="accent1" w:themeShade="80"/>
          <w:sz w:val="20"/>
          <w:lang w:val="es-ES_tradnl"/>
        </w:rPr>
        <w:lastRenderedPageBreak/>
        <w:t>Programa 17</w:t>
      </w:r>
      <w:proofErr w:type="gramStart"/>
      <w:r w:rsidRPr="00071638">
        <w:rPr>
          <w:b/>
          <w:color w:val="244061" w:themeColor="accent1" w:themeShade="80"/>
          <w:sz w:val="20"/>
          <w:lang w:val="es-ES_tradnl"/>
        </w:rPr>
        <w:t>:  Recursos</w:t>
      </w:r>
      <w:proofErr w:type="gramEnd"/>
      <w:r w:rsidRPr="00071638">
        <w:rPr>
          <w:b/>
          <w:color w:val="244061" w:themeColor="accent1" w:themeShade="80"/>
          <w:sz w:val="20"/>
          <w:lang w:val="es-ES_tradnl"/>
        </w:rPr>
        <w:t xml:space="preserve"> por resultado</w:t>
      </w:r>
    </w:p>
    <w:p w:rsidR="00236E18" w:rsidRPr="00071638" w:rsidRDefault="00236E18" w:rsidP="00236E18">
      <w:pPr>
        <w:keepNext/>
        <w:keepLines/>
        <w:tabs>
          <w:tab w:val="left" w:pos="1427"/>
        </w:tabs>
        <w:jc w:val="center"/>
        <w:rPr>
          <w:i/>
          <w:color w:val="244061" w:themeColor="accent1" w:themeShade="80"/>
          <w:sz w:val="20"/>
          <w:szCs w:val="24"/>
          <w:lang w:val="es-ES_tradnl"/>
        </w:rPr>
      </w:pPr>
      <w:r w:rsidRPr="00071638">
        <w:rPr>
          <w:i/>
          <w:color w:val="244061" w:themeColor="accent1" w:themeShade="80"/>
          <w:sz w:val="20"/>
          <w:szCs w:val="24"/>
          <w:lang w:val="es-ES_tradnl"/>
        </w:rPr>
        <w:t>(</w:t>
      </w:r>
      <w:proofErr w:type="gramStart"/>
      <w:r w:rsidRPr="00071638">
        <w:rPr>
          <w:i/>
          <w:color w:val="244061" w:themeColor="accent1" w:themeShade="80"/>
          <w:sz w:val="20"/>
          <w:szCs w:val="24"/>
          <w:lang w:val="es-ES_tradnl"/>
        </w:rPr>
        <w:t>en</w:t>
      </w:r>
      <w:proofErr w:type="gramEnd"/>
      <w:r w:rsidRPr="00071638">
        <w:rPr>
          <w:i/>
          <w:color w:val="244061" w:themeColor="accent1" w:themeShade="80"/>
          <w:sz w:val="20"/>
          <w:szCs w:val="24"/>
          <w:lang w:val="es-ES_tradnl"/>
        </w:rPr>
        <w:t xml:space="preserve"> miles de francos suizos)</w:t>
      </w:r>
    </w:p>
    <w:p w:rsidR="00236E18" w:rsidRPr="00071638" w:rsidRDefault="00236E18" w:rsidP="00236E18">
      <w:pPr>
        <w:keepNext/>
        <w:keepLines/>
        <w:tabs>
          <w:tab w:val="left" w:pos="1427"/>
        </w:tabs>
        <w:jc w:val="center"/>
        <w:rPr>
          <w:i/>
          <w:color w:val="244061" w:themeColor="accent1" w:themeShade="80"/>
          <w:sz w:val="18"/>
          <w:szCs w:val="24"/>
          <w:lang w:val="es-ES_tradnl"/>
        </w:rPr>
      </w:pPr>
    </w:p>
    <w:p w:rsidR="00236E18" w:rsidRDefault="00236E18" w:rsidP="00236E18">
      <w:pPr>
        <w:keepNext/>
        <w:keepLines/>
        <w:tabs>
          <w:tab w:val="left" w:pos="1427"/>
        </w:tabs>
        <w:ind w:hanging="142"/>
        <w:jc w:val="center"/>
        <w:rPr>
          <w:i/>
          <w:szCs w:val="24"/>
        </w:rPr>
      </w:pPr>
      <w:r w:rsidRPr="000E073C">
        <w:rPr>
          <w:noProof/>
          <w:lang w:val="en-US" w:eastAsia="en-US"/>
        </w:rPr>
        <w:drawing>
          <wp:inline distT="0" distB="0" distL="0" distR="0" wp14:anchorId="0783E98A" wp14:editId="6AA2FE4A">
            <wp:extent cx="5676900" cy="3591560"/>
            <wp:effectExtent l="0" t="0" r="0" b="8890"/>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676900" cy="3591560"/>
                    </a:xfrm>
                    <a:prstGeom prst="rect">
                      <a:avLst/>
                    </a:prstGeom>
                    <a:noFill/>
                    <a:ln>
                      <a:noFill/>
                    </a:ln>
                  </pic:spPr>
                </pic:pic>
              </a:graphicData>
            </a:graphic>
          </wp:inline>
        </w:drawing>
      </w:r>
    </w:p>
    <w:p w:rsidR="00236E18" w:rsidRPr="00D36C61" w:rsidRDefault="00236E18" w:rsidP="00236E18">
      <w:pPr>
        <w:tabs>
          <w:tab w:val="left" w:pos="1427"/>
        </w:tabs>
        <w:ind w:hanging="142"/>
        <w:rPr>
          <w:szCs w:val="24"/>
        </w:rPr>
      </w:pPr>
    </w:p>
    <w:p w:rsidR="00236E18" w:rsidRPr="005012AC" w:rsidRDefault="00236E18" w:rsidP="00236E18">
      <w:pPr>
        <w:keepNext/>
        <w:keepLines/>
        <w:tabs>
          <w:tab w:val="left" w:pos="1427"/>
        </w:tabs>
        <w:jc w:val="center"/>
        <w:rPr>
          <w:sz w:val="20"/>
          <w:lang w:val="es-ES_tradnl"/>
        </w:rPr>
      </w:pPr>
      <w:r w:rsidRPr="005012AC">
        <w:rPr>
          <w:b/>
          <w:sz w:val="20"/>
          <w:lang w:val="es-ES_tradnl"/>
        </w:rPr>
        <w:lastRenderedPageBreak/>
        <w:t>Programa 17</w:t>
      </w:r>
      <w:proofErr w:type="gramStart"/>
      <w:r w:rsidRPr="005012AC">
        <w:rPr>
          <w:b/>
          <w:sz w:val="20"/>
          <w:lang w:val="es-ES_tradnl"/>
        </w:rPr>
        <w:t>:  Recursos</w:t>
      </w:r>
      <w:proofErr w:type="gramEnd"/>
      <w:r w:rsidRPr="005012AC">
        <w:rPr>
          <w:b/>
          <w:sz w:val="20"/>
          <w:lang w:val="es-ES_tradnl"/>
        </w:rPr>
        <w:t xml:space="preserve"> por objeto de gasto</w:t>
      </w:r>
    </w:p>
    <w:p w:rsidR="00236E18" w:rsidRPr="005012AC" w:rsidRDefault="00236E18" w:rsidP="00236E18">
      <w:pPr>
        <w:keepNext/>
        <w:keepLines/>
        <w:tabs>
          <w:tab w:val="left" w:pos="1427"/>
        </w:tabs>
        <w:jc w:val="center"/>
        <w:rPr>
          <w:i/>
          <w:sz w:val="20"/>
          <w:szCs w:val="24"/>
          <w:lang w:val="es-ES_tradnl"/>
        </w:rPr>
      </w:pPr>
      <w:r w:rsidRPr="005012AC">
        <w:rPr>
          <w:i/>
          <w:sz w:val="20"/>
          <w:szCs w:val="24"/>
          <w:lang w:val="es-ES_tradnl"/>
        </w:rPr>
        <w:t>(</w:t>
      </w:r>
      <w:proofErr w:type="gramStart"/>
      <w:r w:rsidRPr="005012AC">
        <w:rPr>
          <w:i/>
          <w:sz w:val="20"/>
          <w:szCs w:val="24"/>
          <w:lang w:val="es-ES_tradnl"/>
        </w:rPr>
        <w:t>en</w:t>
      </w:r>
      <w:proofErr w:type="gramEnd"/>
      <w:r w:rsidRPr="005012AC">
        <w:rPr>
          <w:i/>
          <w:sz w:val="20"/>
          <w:szCs w:val="24"/>
          <w:lang w:val="es-ES_tradnl"/>
        </w:rPr>
        <w:t xml:space="preserve"> miles de francos suizos)</w:t>
      </w:r>
    </w:p>
    <w:p w:rsidR="00236E18" w:rsidRPr="005012AC" w:rsidRDefault="00236E18" w:rsidP="00236E18">
      <w:pPr>
        <w:keepNext/>
        <w:keepLines/>
        <w:tabs>
          <w:tab w:val="left" w:pos="1427"/>
        </w:tabs>
        <w:jc w:val="center"/>
        <w:rPr>
          <w:i/>
          <w:sz w:val="20"/>
          <w:szCs w:val="24"/>
          <w:lang w:val="es-ES_tradnl"/>
        </w:rPr>
      </w:pPr>
    </w:p>
    <w:p w:rsidR="00236E18" w:rsidRPr="00FD3ECD" w:rsidRDefault="00236E18" w:rsidP="00236E18">
      <w:pPr>
        <w:ind w:hanging="142"/>
        <w:jc w:val="center"/>
        <w:rPr>
          <w:sz w:val="20"/>
        </w:rPr>
      </w:pPr>
      <w:r>
        <w:rPr>
          <w:noProof/>
          <w:lang w:val="en-US" w:eastAsia="en-US"/>
        </w:rPr>
        <w:drawing>
          <wp:inline distT="0" distB="0" distL="0" distR="0" wp14:anchorId="6C2A1C55" wp14:editId="268DE1BD">
            <wp:extent cx="5940425" cy="6137805"/>
            <wp:effectExtent l="0" t="0" r="3175" b="0"/>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940425" cy="6137805"/>
                    </a:xfrm>
                    <a:prstGeom prst="rect">
                      <a:avLst/>
                    </a:prstGeom>
                    <a:noFill/>
                    <a:ln>
                      <a:noFill/>
                    </a:ln>
                  </pic:spPr>
                </pic:pic>
              </a:graphicData>
            </a:graphic>
          </wp:inline>
        </w:drawing>
      </w:r>
    </w:p>
    <w:p w:rsidR="00236E18" w:rsidRPr="00FD3ECD" w:rsidRDefault="00236E18" w:rsidP="00236E18">
      <w:pPr>
        <w:jc w:val="both"/>
        <w:rPr>
          <w:sz w:val="20"/>
        </w:rPr>
      </w:pPr>
    </w:p>
    <w:p w:rsidR="00236E18" w:rsidRPr="0037163B" w:rsidRDefault="00236E18" w:rsidP="00236E18">
      <w:pPr>
        <w:widowControl w:val="0"/>
        <w:jc w:val="center"/>
        <w:rPr>
          <w:b/>
          <w:sz w:val="20"/>
        </w:rPr>
      </w:pPr>
    </w:p>
    <w:p w:rsidR="00236E18" w:rsidRPr="00ED4DE9" w:rsidRDefault="00236E18" w:rsidP="00236E18">
      <w:pPr>
        <w:keepLines/>
        <w:jc w:val="center"/>
        <w:rPr>
          <w:b/>
          <w:sz w:val="20"/>
        </w:rPr>
      </w:pPr>
      <w:r>
        <w:rPr>
          <w:b/>
          <w:sz w:val="20"/>
        </w:rPr>
        <w:t>Recursos de fondos fiduciarios disponibles potencialmente para su utilización</w:t>
      </w:r>
      <w:r w:rsidRPr="00ED4DE9">
        <w:rPr>
          <w:b/>
          <w:sz w:val="20"/>
        </w:rPr>
        <w:t xml:space="preserve"> 2016/17</w:t>
      </w:r>
      <w:r>
        <w:rPr>
          <w:b/>
          <w:sz w:val="20"/>
        </w:rPr>
        <w:br/>
      </w:r>
      <w:r w:rsidRPr="00ED4DE9">
        <w:rPr>
          <w:b/>
          <w:sz w:val="20"/>
        </w:rPr>
        <w:t>(</w:t>
      </w:r>
      <w:r>
        <w:rPr>
          <w:b/>
          <w:sz w:val="20"/>
        </w:rPr>
        <w:t>POR</w:t>
      </w:r>
      <w:r w:rsidRPr="00ED4DE9">
        <w:rPr>
          <w:b/>
          <w:sz w:val="20"/>
        </w:rPr>
        <w:t xml:space="preserve"> PROGRAM</w:t>
      </w:r>
      <w:r>
        <w:rPr>
          <w:b/>
          <w:sz w:val="20"/>
        </w:rPr>
        <w:t>A</w:t>
      </w:r>
      <w:r w:rsidRPr="00ED4DE9">
        <w:rPr>
          <w:b/>
          <w:sz w:val="20"/>
        </w:rPr>
        <w:t>)</w:t>
      </w:r>
      <w:r w:rsidRPr="00ED4DE9">
        <w:rPr>
          <w:sz w:val="20"/>
          <w:vertAlign w:val="superscript"/>
        </w:rPr>
        <w:t>1</w:t>
      </w:r>
    </w:p>
    <w:p w:rsidR="00236E18" w:rsidRPr="00ED4DE9" w:rsidRDefault="00236E18" w:rsidP="00236E18">
      <w:pPr>
        <w:keepLines/>
        <w:jc w:val="center"/>
        <w:rPr>
          <w:i/>
          <w:sz w:val="20"/>
        </w:rPr>
      </w:pPr>
      <w:r w:rsidRPr="00ED4DE9">
        <w:rPr>
          <w:i/>
          <w:sz w:val="20"/>
        </w:rPr>
        <w:t>(</w:t>
      </w:r>
      <w:proofErr w:type="gramStart"/>
      <w:r>
        <w:rPr>
          <w:i/>
          <w:sz w:val="20"/>
        </w:rPr>
        <w:t>en</w:t>
      </w:r>
      <w:proofErr w:type="gramEnd"/>
      <w:r>
        <w:rPr>
          <w:i/>
          <w:sz w:val="20"/>
        </w:rPr>
        <w:t xml:space="preserve"> miles de francos suizos</w:t>
      </w:r>
      <w:r w:rsidRPr="00ED4DE9">
        <w:rPr>
          <w:i/>
          <w:sz w:val="20"/>
        </w:rPr>
        <w:t>)</w:t>
      </w:r>
    </w:p>
    <w:p w:rsidR="00236E18" w:rsidRPr="00F4044A" w:rsidRDefault="00236E18" w:rsidP="00236E18">
      <w:pPr>
        <w:keepLines/>
        <w:jc w:val="center"/>
        <w:rPr>
          <w:i/>
          <w:sz w:val="20"/>
        </w:rPr>
      </w:pPr>
    </w:p>
    <w:p w:rsidR="00236E18" w:rsidRPr="007378C1" w:rsidRDefault="00236E18" w:rsidP="00236E18">
      <w:pPr>
        <w:keepLines/>
        <w:jc w:val="both"/>
        <w:rPr>
          <w:sz w:val="20"/>
          <w:highlight w:val="lightGray"/>
        </w:rPr>
      </w:pPr>
      <w:r w:rsidRPr="00DA0A15">
        <w:rPr>
          <w:noProof/>
          <w:lang w:val="en-US" w:eastAsia="en-US"/>
        </w:rPr>
        <w:drawing>
          <wp:inline distT="0" distB="0" distL="0" distR="0" wp14:anchorId="7862A505" wp14:editId="7B619EBC">
            <wp:extent cx="5940425" cy="924555"/>
            <wp:effectExtent l="0" t="0" r="317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940425" cy="924555"/>
                    </a:xfrm>
                    <a:prstGeom prst="rect">
                      <a:avLst/>
                    </a:prstGeom>
                    <a:noFill/>
                    <a:ln>
                      <a:noFill/>
                    </a:ln>
                  </pic:spPr>
                </pic:pic>
              </a:graphicData>
            </a:graphic>
          </wp:inline>
        </w:drawing>
      </w:r>
    </w:p>
    <w:p w:rsidR="00236E18" w:rsidRPr="00ED4DE9" w:rsidRDefault="00236E18" w:rsidP="00236E18">
      <w:pPr>
        <w:keepLines/>
        <w:jc w:val="both"/>
        <w:rPr>
          <w:bCs/>
          <w:sz w:val="20"/>
        </w:rPr>
      </w:pPr>
    </w:p>
    <w:p w:rsidR="00236E18" w:rsidRPr="00ED4DE9" w:rsidRDefault="00236E18" w:rsidP="00236E18">
      <w:pPr>
        <w:keepLines/>
        <w:spacing w:after="60"/>
        <w:rPr>
          <w:i/>
          <w:sz w:val="16"/>
          <w:szCs w:val="14"/>
        </w:rPr>
      </w:pPr>
      <w:r w:rsidRPr="00ED4DE9">
        <w:rPr>
          <w:i/>
          <w:sz w:val="16"/>
          <w:szCs w:val="14"/>
          <w:vertAlign w:val="superscript"/>
        </w:rPr>
        <w:t>1</w:t>
      </w:r>
      <w:r>
        <w:rPr>
          <w:i/>
          <w:sz w:val="16"/>
          <w:szCs w:val="14"/>
          <w:vertAlign w:val="superscript"/>
        </w:rPr>
        <w:t xml:space="preserve">  </w:t>
      </w:r>
      <w:r>
        <w:rPr>
          <w:i/>
          <w:sz w:val="16"/>
          <w:szCs w:val="14"/>
        </w:rPr>
        <w:t>En las cifras no se han incluido los intereses ni los ajustes cambiarios</w:t>
      </w:r>
      <w:r w:rsidRPr="00ED4DE9">
        <w:rPr>
          <w:i/>
          <w:sz w:val="16"/>
          <w:szCs w:val="14"/>
        </w:rPr>
        <w:t xml:space="preserve">.  </w:t>
      </w:r>
      <w:r>
        <w:rPr>
          <w:i/>
          <w:sz w:val="16"/>
          <w:szCs w:val="14"/>
        </w:rPr>
        <w:t>Cabe observar asimismo que estos fondos se destinan generalmente a actividades que cubren un período que va más allá de un solo bienio, a medida que se reciben los ingresos y se incurre en gastos</w:t>
      </w:r>
      <w:r w:rsidRPr="00ED4DE9">
        <w:rPr>
          <w:i/>
          <w:sz w:val="16"/>
          <w:szCs w:val="14"/>
        </w:rPr>
        <w:t>.</w:t>
      </w:r>
    </w:p>
    <w:p w:rsidR="00236E18" w:rsidRPr="00F4044A" w:rsidRDefault="00236E18" w:rsidP="00236E18">
      <w:pPr>
        <w:widowControl w:val="0"/>
        <w:rPr>
          <w:sz w:val="20"/>
          <w:szCs w:val="21"/>
        </w:rPr>
      </w:pPr>
      <w:r w:rsidRPr="00ED4DE9">
        <w:rPr>
          <w:i/>
          <w:sz w:val="16"/>
          <w:szCs w:val="14"/>
          <w:vertAlign w:val="superscript"/>
        </w:rPr>
        <w:t>2</w:t>
      </w:r>
      <w:r>
        <w:rPr>
          <w:i/>
          <w:sz w:val="16"/>
          <w:szCs w:val="14"/>
          <w:vertAlign w:val="superscript"/>
        </w:rPr>
        <w:t xml:space="preserve">  </w:t>
      </w:r>
      <w:r>
        <w:rPr>
          <w:i/>
          <w:sz w:val="16"/>
          <w:szCs w:val="14"/>
        </w:rPr>
        <w:t>Estas cifras son puramente indicativas y se basan en patrones de financiación anteriores</w:t>
      </w:r>
      <w:r w:rsidRPr="00ED4DE9">
        <w:rPr>
          <w:i/>
          <w:sz w:val="16"/>
          <w:szCs w:val="14"/>
        </w:rPr>
        <w:t xml:space="preserve">.  </w:t>
      </w:r>
      <w:r>
        <w:rPr>
          <w:i/>
          <w:sz w:val="16"/>
          <w:szCs w:val="14"/>
        </w:rPr>
        <w:t>No representan los compromisos de los Estados miembros salvo cuando quedan incluidos en el acuerdo de fondos fiduciarios</w:t>
      </w:r>
      <w:r w:rsidRPr="00ED4DE9">
        <w:rPr>
          <w:i/>
          <w:sz w:val="16"/>
          <w:szCs w:val="14"/>
        </w:rPr>
        <w:t>.</w:t>
      </w:r>
      <w:r w:rsidRPr="00F4044A">
        <w:rPr>
          <w:sz w:val="20"/>
          <w:szCs w:val="21"/>
        </w:rPr>
        <w:br w:type="page"/>
      </w:r>
    </w:p>
    <w:p w:rsidR="00236E18" w:rsidRPr="000278D6" w:rsidRDefault="00236E18" w:rsidP="00236E18">
      <w:pPr>
        <w:pStyle w:val="StyleHeading3ComplexItalic"/>
        <w:tabs>
          <w:tab w:val="clear" w:pos="1985"/>
          <w:tab w:val="left" w:pos="3119"/>
        </w:tabs>
        <w:ind w:left="3119" w:hanging="3119"/>
        <w:rPr>
          <w:rStyle w:val="StyleStyleHeading3ComplexItalicLatin12ptChar"/>
          <w:rFonts w:eastAsia="SimSun"/>
          <w:b/>
          <w:lang w:val="es-ES_tradnl"/>
        </w:rPr>
      </w:pPr>
      <w:bookmarkStart w:id="97" w:name="_Toc367350596"/>
      <w:bookmarkStart w:id="98" w:name="_Toc419283265"/>
      <w:bookmarkStart w:id="99" w:name="_Toc431573564"/>
      <w:bookmarkStart w:id="100" w:name="_Toc431573965"/>
      <w:r w:rsidRPr="000278D6">
        <w:rPr>
          <w:rStyle w:val="StyleStyleHeading3ComplexItalicLatin12ptChar"/>
          <w:rFonts w:eastAsia="SimSun"/>
          <w:b/>
          <w:lang w:val="es-ES_tradnl"/>
        </w:rPr>
        <w:lastRenderedPageBreak/>
        <w:t>META ESTRATÉGICA VII</w:t>
      </w:r>
      <w:r w:rsidRPr="000278D6">
        <w:rPr>
          <w:rStyle w:val="StyleStyleHeading3ComplexItalicLatin12ptChar"/>
          <w:rFonts w:eastAsia="SimSun"/>
          <w:b/>
          <w:lang w:val="es-ES_tradnl"/>
        </w:rPr>
        <w:tab/>
      </w:r>
      <w:bookmarkEnd w:id="97"/>
      <w:bookmarkEnd w:id="98"/>
      <w:r w:rsidRPr="000278D6">
        <w:rPr>
          <w:rStyle w:val="StyleStyleHeading3ComplexItalicLatin12ptChar"/>
          <w:rFonts w:eastAsia="SimSun"/>
          <w:b/>
          <w:lang w:val="es-ES_tradnl"/>
        </w:rPr>
        <w:t>VÍNCULOS ENTRE LA P.I. Y LOS PROBLEMAS MUNDIALES DE POLÍTICA PÚBLICA</w:t>
      </w:r>
      <w:bookmarkEnd w:id="99"/>
      <w:bookmarkEnd w:id="100"/>
    </w:p>
    <w:p w:rsidR="00236E18" w:rsidRPr="00BA3325" w:rsidRDefault="00236E18" w:rsidP="00236E18">
      <w:pPr>
        <w:jc w:val="both"/>
        <w:rPr>
          <w:sz w:val="20"/>
          <w:lang w:val="es-ES_tradnl"/>
        </w:rPr>
      </w:pPr>
    </w:p>
    <w:p w:rsidR="00236E18" w:rsidRDefault="00236E18" w:rsidP="00236E18">
      <w:pPr>
        <w:jc w:val="both"/>
        <w:rPr>
          <w:sz w:val="20"/>
          <w:lang w:val="es-ES_tradnl"/>
        </w:rPr>
      </w:pPr>
    </w:p>
    <w:p w:rsidR="00236E18" w:rsidRPr="00D36C61" w:rsidRDefault="00236E18" w:rsidP="00236E18">
      <w:pPr>
        <w:jc w:val="both"/>
        <w:rPr>
          <w:bCs/>
          <w:i/>
          <w:iCs/>
          <w:caps/>
          <w:sz w:val="20"/>
          <w:lang w:val="es-ES_tradnl"/>
        </w:rPr>
      </w:pPr>
      <w:r w:rsidRPr="00245E53">
        <w:rPr>
          <w:sz w:val="20"/>
          <w:lang w:val="es-ES_tradnl"/>
        </w:rPr>
        <w:t>Esta meta estratégica es reflejo del potencial de la OMPI para convertirse en el principal foro intergubernamental de debate acerca de la interrelación de la P.I., la innovación y las cuestiones mundiales de política pública.  En ella está implícito un compromiso firme y fundamental con otros organismos de las NN.UU., organismos intergubernamentales y no gubernamentales con el fin de contribuir a una búsqueda compartida de soluciones para los principales problemas con que se enfrenta la humanidad, como el cambio climático, la seguridad alimentaria, la salud pública, la protección de la biodiversidad y el cumplimiento de los Objetivos de desarrollo del milenio.  Gran número de esos problemas mundiales afectan muy particularmente a los países en desarrollo y a los países menos adelantados (PMA), por lo que los programas que se lleven a cabo en el marco de esta meta estratégica estarán particularmente centrados en la consecución de determinados objetivos y recomendaciones de la Agenda para el Desarrollo.</w:t>
      </w:r>
    </w:p>
    <w:p w:rsidR="00236E18" w:rsidRPr="00D36C61" w:rsidRDefault="00236E18" w:rsidP="00236E18">
      <w:pPr>
        <w:tabs>
          <w:tab w:val="left" w:pos="1701"/>
        </w:tabs>
        <w:ind w:left="1701" w:hanging="1701"/>
        <w:jc w:val="center"/>
        <w:rPr>
          <w:b/>
          <w:bCs/>
          <w:caps/>
          <w:sz w:val="20"/>
          <w:lang w:val="es-ES_tradnl"/>
        </w:rPr>
      </w:pPr>
    </w:p>
    <w:p w:rsidR="00236E18" w:rsidRPr="00D36C61" w:rsidRDefault="00236E18" w:rsidP="00236E18">
      <w:pPr>
        <w:rPr>
          <w:bCs/>
          <w:sz w:val="20"/>
          <w:lang w:val="es-ES_tradn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14"/>
        <w:gridCol w:w="2833"/>
        <w:gridCol w:w="2946"/>
      </w:tblGrid>
      <w:tr w:rsidR="00236E18" w:rsidRPr="00245E53" w:rsidTr="00294272">
        <w:trPr>
          <w:cantSplit/>
          <w:tblHeader/>
        </w:trPr>
        <w:tc>
          <w:tcPr>
            <w:tcW w:w="1891" w:type="pct"/>
            <w:tcBorders>
              <w:top w:val="single" w:sz="4" w:space="0" w:color="auto"/>
              <w:bottom w:val="single" w:sz="4" w:space="0" w:color="auto"/>
            </w:tcBorders>
            <w:shd w:val="clear" w:color="auto" w:fill="C6D9F1" w:themeFill="text2" w:themeFillTint="33"/>
            <w:tcMar>
              <w:top w:w="113" w:type="dxa"/>
              <w:bottom w:w="85" w:type="dxa"/>
            </w:tcMar>
            <w:vAlign w:val="center"/>
          </w:tcPr>
          <w:p w:rsidR="00236E18" w:rsidRPr="00245E53" w:rsidRDefault="00236E18" w:rsidP="00294272">
            <w:pPr>
              <w:spacing w:after="120"/>
              <w:jc w:val="center"/>
              <w:rPr>
                <w:b/>
                <w:bCs/>
                <w:sz w:val="18"/>
                <w:szCs w:val="18"/>
              </w:rPr>
            </w:pPr>
            <w:r w:rsidRPr="00245E53">
              <w:rPr>
                <w:b/>
                <w:bCs/>
                <w:sz w:val="18"/>
                <w:szCs w:val="18"/>
                <w:lang w:val="es-ES_tradnl"/>
              </w:rPr>
              <w:t>Resultados previstos</w:t>
            </w:r>
          </w:p>
        </w:tc>
        <w:tc>
          <w:tcPr>
            <w:tcW w:w="1524" w:type="pct"/>
            <w:tcBorders>
              <w:top w:val="single" w:sz="4" w:space="0" w:color="auto"/>
              <w:bottom w:val="single" w:sz="4" w:space="0" w:color="auto"/>
            </w:tcBorders>
            <w:shd w:val="clear" w:color="auto" w:fill="C6D9F1" w:themeFill="text2" w:themeFillTint="33"/>
            <w:tcMar>
              <w:top w:w="113" w:type="dxa"/>
              <w:bottom w:w="85" w:type="dxa"/>
            </w:tcMar>
            <w:vAlign w:val="center"/>
          </w:tcPr>
          <w:p w:rsidR="00236E18" w:rsidRPr="00245E53" w:rsidRDefault="00236E18" w:rsidP="00294272">
            <w:pPr>
              <w:spacing w:after="120"/>
              <w:jc w:val="center"/>
              <w:rPr>
                <w:b/>
                <w:sz w:val="18"/>
                <w:szCs w:val="18"/>
              </w:rPr>
            </w:pPr>
            <w:r w:rsidRPr="00245E53">
              <w:rPr>
                <w:b/>
                <w:sz w:val="18"/>
                <w:szCs w:val="18"/>
                <w:lang w:val="es-ES_tradnl"/>
              </w:rPr>
              <w:t>Indicadores de rendimiento</w:t>
            </w:r>
          </w:p>
        </w:tc>
        <w:tc>
          <w:tcPr>
            <w:tcW w:w="1585" w:type="pct"/>
            <w:tcBorders>
              <w:top w:val="single" w:sz="4" w:space="0" w:color="auto"/>
              <w:bottom w:val="single" w:sz="4" w:space="0" w:color="auto"/>
            </w:tcBorders>
            <w:shd w:val="clear" w:color="auto" w:fill="C6D9F1" w:themeFill="text2" w:themeFillTint="33"/>
            <w:tcMar>
              <w:top w:w="113" w:type="dxa"/>
              <w:bottom w:w="85" w:type="dxa"/>
            </w:tcMar>
            <w:vAlign w:val="center"/>
          </w:tcPr>
          <w:p w:rsidR="00236E18" w:rsidRPr="00245E53" w:rsidRDefault="00236E18" w:rsidP="00294272">
            <w:pPr>
              <w:spacing w:after="120"/>
              <w:ind w:left="85"/>
              <w:jc w:val="center"/>
              <w:rPr>
                <w:sz w:val="18"/>
                <w:szCs w:val="18"/>
              </w:rPr>
            </w:pPr>
            <w:r w:rsidRPr="00245E53">
              <w:rPr>
                <w:b/>
                <w:sz w:val="18"/>
                <w:szCs w:val="18"/>
                <w:lang w:val="es-ES_tradnl"/>
              </w:rPr>
              <w:t>Programas responsables</w:t>
            </w:r>
          </w:p>
        </w:tc>
      </w:tr>
      <w:tr w:rsidR="00236E18" w:rsidRPr="00245E53" w:rsidTr="00294272">
        <w:trPr>
          <w:cantSplit/>
        </w:trPr>
        <w:tc>
          <w:tcPr>
            <w:tcW w:w="1891" w:type="pct"/>
            <w:tcBorders>
              <w:top w:val="nil"/>
            </w:tcBorders>
            <w:shd w:val="clear" w:color="auto" w:fill="auto"/>
            <w:tcMar>
              <w:top w:w="113" w:type="dxa"/>
              <w:bottom w:w="85" w:type="dxa"/>
            </w:tcMar>
          </w:tcPr>
          <w:p w:rsidR="00236E18" w:rsidRPr="00245E53" w:rsidRDefault="00236E18" w:rsidP="00294272">
            <w:pPr>
              <w:rPr>
                <w:sz w:val="16"/>
                <w:szCs w:val="16"/>
              </w:rPr>
            </w:pPr>
            <w:r w:rsidRPr="00245E53">
              <w:rPr>
                <w:sz w:val="16"/>
                <w:szCs w:val="16"/>
              </w:rPr>
              <w:t xml:space="preserve">VII.2 </w:t>
            </w:r>
            <w:r w:rsidRPr="00245E53">
              <w:rPr>
                <w:rFonts w:eastAsiaTheme="minorHAnsi"/>
                <w:sz w:val="16"/>
                <w:szCs w:val="16"/>
                <w:lang w:eastAsia="en-US"/>
              </w:rPr>
              <w:t xml:space="preserve"> </w:t>
            </w:r>
            <w:r w:rsidRPr="00245E53">
              <w:rPr>
                <w:sz w:val="16"/>
                <w:szCs w:val="16"/>
              </w:rPr>
              <w:t>Plataformas y herramientas de P.I. utilizadas para la transferencia de conocimientos y la difusión y adaptación de tecnología de los países desarrollados a los países en desarrollo, en particular los menos adelantados, con el fin de atender los desafíos mundiales</w:t>
            </w:r>
          </w:p>
        </w:tc>
        <w:tc>
          <w:tcPr>
            <w:tcW w:w="1524" w:type="pct"/>
            <w:tcBorders>
              <w:top w:val="nil"/>
            </w:tcBorders>
            <w:shd w:val="clear" w:color="auto" w:fill="auto"/>
            <w:tcMar>
              <w:top w:w="113" w:type="dxa"/>
              <w:bottom w:w="85" w:type="dxa"/>
            </w:tcMar>
          </w:tcPr>
          <w:p w:rsidR="00236E18" w:rsidRPr="00245E53" w:rsidRDefault="00236E18" w:rsidP="00294272">
            <w:pPr>
              <w:rPr>
                <w:sz w:val="16"/>
                <w:szCs w:val="16"/>
              </w:rPr>
            </w:pPr>
            <w:r w:rsidRPr="00245E53">
              <w:rPr>
                <w:sz w:val="16"/>
                <w:szCs w:val="16"/>
              </w:rPr>
              <w:t>Aumento del n</w:t>
            </w:r>
            <w:r>
              <w:rPr>
                <w:sz w:val="16"/>
                <w:szCs w:val="16"/>
              </w:rPr>
              <w:t>º</w:t>
            </w:r>
            <w:r w:rsidRPr="00245E53">
              <w:rPr>
                <w:sz w:val="16"/>
                <w:szCs w:val="16"/>
              </w:rPr>
              <w:t xml:space="preserve"> de miembros de </w:t>
            </w:r>
            <w:r w:rsidRPr="004252B2">
              <w:rPr>
                <w:i/>
                <w:sz w:val="16"/>
                <w:szCs w:val="16"/>
              </w:rPr>
              <w:t xml:space="preserve">WIPO </w:t>
            </w:r>
            <w:proofErr w:type="spellStart"/>
            <w:r w:rsidRPr="004252B2">
              <w:rPr>
                <w:i/>
                <w:sz w:val="16"/>
                <w:szCs w:val="16"/>
              </w:rPr>
              <w:t>Re:Search</w:t>
            </w:r>
            <w:proofErr w:type="spellEnd"/>
            <w:r w:rsidRPr="00245E53">
              <w:rPr>
                <w:sz w:val="16"/>
                <w:szCs w:val="16"/>
              </w:rPr>
              <w:t>, incluidos los procedentes de países en desarrollo y PMA</w:t>
            </w:r>
            <w:r w:rsidRPr="00245E53">
              <w:rPr>
                <w:sz w:val="16"/>
                <w:szCs w:val="16"/>
              </w:rPr>
              <w:br/>
            </w:r>
          </w:p>
          <w:p w:rsidR="00236E18" w:rsidRPr="00245E53" w:rsidRDefault="00236E18" w:rsidP="00294272">
            <w:pPr>
              <w:rPr>
                <w:sz w:val="16"/>
                <w:szCs w:val="16"/>
              </w:rPr>
            </w:pPr>
            <w:r>
              <w:rPr>
                <w:sz w:val="16"/>
                <w:szCs w:val="16"/>
              </w:rPr>
              <w:t>Nº</w:t>
            </w:r>
            <w:r w:rsidRPr="00245E53">
              <w:rPr>
                <w:sz w:val="16"/>
                <w:szCs w:val="16"/>
              </w:rPr>
              <w:t xml:space="preserve"> de contribuciones en la base de datos de </w:t>
            </w:r>
            <w:r w:rsidRPr="004252B2">
              <w:rPr>
                <w:i/>
                <w:sz w:val="16"/>
                <w:szCs w:val="16"/>
              </w:rPr>
              <w:t xml:space="preserve">WIPO </w:t>
            </w:r>
            <w:proofErr w:type="spellStart"/>
            <w:r w:rsidRPr="004252B2">
              <w:rPr>
                <w:i/>
                <w:sz w:val="16"/>
                <w:szCs w:val="16"/>
              </w:rPr>
              <w:t>Re:Search</w:t>
            </w:r>
            <w:proofErr w:type="spellEnd"/>
          </w:p>
        </w:tc>
        <w:tc>
          <w:tcPr>
            <w:tcW w:w="1585" w:type="pct"/>
            <w:tcBorders>
              <w:top w:val="nil"/>
            </w:tcBorders>
            <w:shd w:val="clear" w:color="auto" w:fill="FFFFFF"/>
            <w:tcMar>
              <w:top w:w="113" w:type="dxa"/>
              <w:bottom w:w="85" w:type="dxa"/>
            </w:tcMar>
          </w:tcPr>
          <w:p w:rsidR="00236E18" w:rsidRPr="00245E53" w:rsidRDefault="00236E18" w:rsidP="00294272">
            <w:pPr>
              <w:ind w:left="661"/>
              <w:rPr>
                <w:sz w:val="16"/>
                <w:szCs w:val="16"/>
                <w:lang w:bidi="th-TH"/>
              </w:rPr>
            </w:pPr>
            <w:r w:rsidRPr="00245E53">
              <w:rPr>
                <w:sz w:val="16"/>
                <w:szCs w:val="16"/>
                <w:lang w:bidi="th-TH"/>
              </w:rPr>
              <w:t xml:space="preserve">Programa 18 </w:t>
            </w:r>
          </w:p>
          <w:p w:rsidR="00236E18" w:rsidRPr="00245E53" w:rsidRDefault="00236E18" w:rsidP="00294272">
            <w:pPr>
              <w:ind w:left="661"/>
              <w:rPr>
                <w:sz w:val="16"/>
                <w:szCs w:val="16"/>
                <w:lang w:bidi="th-TH"/>
              </w:rPr>
            </w:pPr>
          </w:p>
          <w:p w:rsidR="00236E18" w:rsidRPr="00245E53" w:rsidRDefault="00236E18" w:rsidP="00294272">
            <w:pPr>
              <w:ind w:left="661"/>
              <w:rPr>
                <w:sz w:val="16"/>
                <w:szCs w:val="16"/>
                <w:lang w:bidi="th-TH"/>
              </w:rPr>
            </w:pPr>
          </w:p>
          <w:p w:rsidR="00236E18" w:rsidRPr="00245E53" w:rsidRDefault="00236E18" w:rsidP="00294272">
            <w:pPr>
              <w:ind w:left="661"/>
              <w:rPr>
                <w:sz w:val="16"/>
                <w:szCs w:val="16"/>
                <w:lang w:bidi="th-TH"/>
              </w:rPr>
            </w:pPr>
          </w:p>
          <w:p w:rsidR="00236E18" w:rsidRPr="00245E53" w:rsidRDefault="00236E18" w:rsidP="00294272">
            <w:pPr>
              <w:ind w:left="661"/>
              <w:rPr>
                <w:sz w:val="16"/>
                <w:szCs w:val="16"/>
                <w:lang w:bidi="th-TH"/>
              </w:rPr>
            </w:pPr>
            <w:r w:rsidRPr="00245E53">
              <w:rPr>
                <w:sz w:val="16"/>
                <w:szCs w:val="16"/>
                <w:lang w:bidi="th-TH"/>
              </w:rPr>
              <w:t xml:space="preserve">Programa 18 </w:t>
            </w:r>
          </w:p>
          <w:p w:rsidR="00236E18" w:rsidRPr="00245E53" w:rsidRDefault="00236E18" w:rsidP="00294272">
            <w:pPr>
              <w:ind w:left="661"/>
              <w:rPr>
                <w:sz w:val="16"/>
                <w:szCs w:val="16"/>
              </w:rPr>
            </w:pPr>
          </w:p>
        </w:tc>
      </w:tr>
      <w:tr w:rsidR="00236E18" w:rsidRPr="00245E53" w:rsidTr="00294272">
        <w:trPr>
          <w:cantSplit/>
          <w:trHeight w:val="272"/>
        </w:trPr>
        <w:tc>
          <w:tcPr>
            <w:tcW w:w="1891" w:type="pct"/>
            <w:shd w:val="clear" w:color="auto" w:fill="auto"/>
            <w:tcMar>
              <w:top w:w="113" w:type="dxa"/>
              <w:bottom w:w="85" w:type="dxa"/>
            </w:tcMar>
          </w:tcPr>
          <w:p w:rsidR="00236E18" w:rsidRPr="00245E53" w:rsidRDefault="00236E18" w:rsidP="00294272">
            <w:pPr>
              <w:rPr>
                <w:sz w:val="16"/>
                <w:szCs w:val="16"/>
              </w:rPr>
            </w:pPr>
          </w:p>
        </w:tc>
        <w:tc>
          <w:tcPr>
            <w:tcW w:w="1524" w:type="pct"/>
            <w:shd w:val="clear" w:color="auto" w:fill="auto"/>
            <w:tcMar>
              <w:top w:w="113" w:type="dxa"/>
              <w:bottom w:w="85" w:type="dxa"/>
            </w:tcMar>
          </w:tcPr>
          <w:p w:rsidR="00236E18" w:rsidRPr="00245E53" w:rsidRDefault="00236E18" w:rsidP="00294272">
            <w:pPr>
              <w:rPr>
                <w:sz w:val="16"/>
                <w:szCs w:val="16"/>
                <w:lang w:val="es-ES_tradnl"/>
              </w:rPr>
            </w:pPr>
            <w:r w:rsidRPr="00245E53">
              <w:rPr>
                <w:sz w:val="16"/>
                <w:szCs w:val="16"/>
                <w:lang w:val="es-ES_tradnl"/>
              </w:rPr>
              <w:t>Aumento del n</w:t>
            </w:r>
            <w:r>
              <w:rPr>
                <w:sz w:val="16"/>
                <w:szCs w:val="16"/>
                <w:lang w:val="es-ES_tradnl"/>
              </w:rPr>
              <w:t>º</w:t>
            </w:r>
            <w:r w:rsidRPr="00245E53">
              <w:rPr>
                <w:sz w:val="16"/>
                <w:szCs w:val="16"/>
                <w:lang w:val="es-ES_tradnl"/>
              </w:rPr>
              <w:t xml:space="preserve"> de acuerdos suscritos en el marco de </w:t>
            </w:r>
            <w:r w:rsidRPr="004252B2">
              <w:rPr>
                <w:i/>
                <w:sz w:val="16"/>
                <w:szCs w:val="16"/>
                <w:lang w:val="es-ES_tradnl"/>
              </w:rPr>
              <w:t xml:space="preserve">WIPO </w:t>
            </w:r>
            <w:proofErr w:type="spellStart"/>
            <w:r w:rsidRPr="004252B2">
              <w:rPr>
                <w:i/>
                <w:sz w:val="16"/>
                <w:szCs w:val="16"/>
                <w:lang w:val="es-ES_tradnl"/>
              </w:rPr>
              <w:t>Re:Search</w:t>
            </w:r>
            <w:proofErr w:type="spellEnd"/>
            <w:r w:rsidRPr="00245E53">
              <w:rPr>
                <w:sz w:val="16"/>
                <w:szCs w:val="16"/>
                <w:lang w:val="es-ES_tradnl"/>
              </w:rPr>
              <w:t xml:space="preserve"> que conducen a nuevas actividades de I+D, o a una intensificación de las mismas, en enfermedades tropicales desatendidas, paludismo y tuberculosis</w:t>
            </w:r>
          </w:p>
        </w:tc>
        <w:tc>
          <w:tcPr>
            <w:tcW w:w="1585" w:type="pct"/>
            <w:shd w:val="clear" w:color="auto" w:fill="FFFFFF"/>
            <w:tcMar>
              <w:top w:w="113" w:type="dxa"/>
              <w:bottom w:w="85" w:type="dxa"/>
            </w:tcMar>
          </w:tcPr>
          <w:p w:rsidR="00236E18" w:rsidRPr="00245E53" w:rsidRDefault="00236E18" w:rsidP="00294272">
            <w:pPr>
              <w:ind w:left="661"/>
              <w:rPr>
                <w:sz w:val="16"/>
                <w:szCs w:val="16"/>
              </w:rPr>
            </w:pPr>
            <w:r w:rsidRPr="00245E53">
              <w:rPr>
                <w:sz w:val="16"/>
                <w:szCs w:val="16"/>
                <w:lang w:bidi="th-TH"/>
              </w:rPr>
              <w:t>Programa 18</w:t>
            </w:r>
          </w:p>
        </w:tc>
      </w:tr>
      <w:tr w:rsidR="00236E18" w:rsidRPr="00245E53" w:rsidTr="00294272">
        <w:trPr>
          <w:cantSplit/>
          <w:trHeight w:val="258"/>
        </w:trPr>
        <w:tc>
          <w:tcPr>
            <w:tcW w:w="1891" w:type="pct"/>
            <w:shd w:val="clear" w:color="auto" w:fill="auto"/>
            <w:tcMar>
              <w:top w:w="113" w:type="dxa"/>
              <w:bottom w:w="85" w:type="dxa"/>
            </w:tcMar>
          </w:tcPr>
          <w:p w:rsidR="00236E18" w:rsidRPr="00245E53" w:rsidRDefault="00236E18" w:rsidP="00294272">
            <w:pPr>
              <w:rPr>
                <w:sz w:val="16"/>
                <w:szCs w:val="16"/>
              </w:rPr>
            </w:pPr>
          </w:p>
        </w:tc>
        <w:tc>
          <w:tcPr>
            <w:tcW w:w="1524" w:type="pct"/>
            <w:shd w:val="clear" w:color="auto" w:fill="auto"/>
            <w:tcMar>
              <w:top w:w="113" w:type="dxa"/>
              <w:bottom w:w="85" w:type="dxa"/>
            </w:tcMar>
          </w:tcPr>
          <w:p w:rsidR="00236E18" w:rsidRPr="00245E53" w:rsidRDefault="00236E18" w:rsidP="00294272">
            <w:pPr>
              <w:rPr>
                <w:sz w:val="16"/>
                <w:szCs w:val="16"/>
                <w:lang w:val="es-ES_tradnl"/>
              </w:rPr>
            </w:pPr>
            <w:r w:rsidRPr="00245E53">
              <w:rPr>
                <w:sz w:val="16"/>
                <w:szCs w:val="16"/>
                <w:lang w:val="es-ES_tradnl"/>
              </w:rPr>
              <w:t>N</w:t>
            </w:r>
            <w:r>
              <w:rPr>
                <w:sz w:val="16"/>
                <w:szCs w:val="16"/>
                <w:lang w:val="es-ES_tradnl"/>
              </w:rPr>
              <w:t>º</w:t>
            </w:r>
            <w:r w:rsidRPr="00245E53">
              <w:rPr>
                <w:sz w:val="16"/>
                <w:szCs w:val="16"/>
                <w:lang w:val="es-ES_tradnl"/>
              </w:rPr>
              <w:t xml:space="preserve"> de miembros de </w:t>
            </w:r>
            <w:r w:rsidRPr="004252B2">
              <w:rPr>
                <w:i/>
                <w:sz w:val="16"/>
                <w:szCs w:val="16"/>
                <w:lang w:val="es-ES_tradnl"/>
              </w:rPr>
              <w:t>WIPO GREEN</w:t>
            </w:r>
          </w:p>
        </w:tc>
        <w:tc>
          <w:tcPr>
            <w:tcW w:w="1585" w:type="pct"/>
            <w:shd w:val="clear" w:color="auto" w:fill="FFFFFF"/>
            <w:tcMar>
              <w:top w:w="113" w:type="dxa"/>
              <w:bottom w:w="85" w:type="dxa"/>
            </w:tcMar>
          </w:tcPr>
          <w:p w:rsidR="00236E18" w:rsidRPr="00245E53" w:rsidRDefault="00236E18" w:rsidP="00294272">
            <w:pPr>
              <w:ind w:left="661"/>
              <w:rPr>
                <w:sz w:val="16"/>
                <w:szCs w:val="16"/>
                <w:lang w:bidi="th-TH"/>
              </w:rPr>
            </w:pPr>
            <w:r w:rsidRPr="00245E53">
              <w:rPr>
                <w:sz w:val="16"/>
                <w:szCs w:val="16"/>
                <w:lang w:bidi="th-TH"/>
              </w:rPr>
              <w:t>Programa 18</w:t>
            </w:r>
          </w:p>
        </w:tc>
      </w:tr>
      <w:tr w:rsidR="00236E18" w:rsidRPr="00245E53" w:rsidTr="00294272">
        <w:trPr>
          <w:cantSplit/>
          <w:trHeight w:val="296"/>
        </w:trPr>
        <w:tc>
          <w:tcPr>
            <w:tcW w:w="1891" w:type="pct"/>
            <w:shd w:val="clear" w:color="auto" w:fill="auto"/>
            <w:tcMar>
              <w:top w:w="113" w:type="dxa"/>
              <w:bottom w:w="85" w:type="dxa"/>
            </w:tcMar>
          </w:tcPr>
          <w:p w:rsidR="00236E18" w:rsidRPr="00245E53" w:rsidRDefault="00236E18" w:rsidP="00294272">
            <w:pPr>
              <w:rPr>
                <w:sz w:val="16"/>
                <w:szCs w:val="16"/>
              </w:rPr>
            </w:pPr>
          </w:p>
        </w:tc>
        <w:tc>
          <w:tcPr>
            <w:tcW w:w="1524" w:type="pct"/>
            <w:shd w:val="clear" w:color="auto" w:fill="auto"/>
            <w:tcMar>
              <w:top w:w="113" w:type="dxa"/>
              <w:bottom w:w="85" w:type="dxa"/>
            </w:tcMar>
          </w:tcPr>
          <w:p w:rsidR="00236E18" w:rsidRPr="00245E53" w:rsidRDefault="00236E18" w:rsidP="00294272">
            <w:pPr>
              <w:rPr>
                <w:sz w:val="16"/>
                <w:szCs w:val="16"/>
              </w:rPr>
            </w:pPr>
            <w:r w:rsidRPr="00245E53">
              <w:rPr>
                <w:sz w:val="16"/>
                <w:szCs w:val="16"/>
              </w:rPr>
              <w:t>N</w:t>
            </w:r>
            <w:r>
              <w:rPr>
                <w:sz w:val="16"/>
                <w:szCs w:val="16"/>
              </w:rPr>
              <w:t>º</w:t>
            </w:r>
            <w:r w:rsidRPr="00245E53">
              <w:rPr>
                <w:sz w:val="16"/>
                <w:szCs w:val="16"/>
              </w:rPr>
              <w:t xml:space="preserve"> de contribuciones en la base de datos de </w:t>
            </w:r>
            <w:r w:rsidRPr="004252B2">
              <w:rPr>
                <w:i/>
                <w:sz w:val="16"/>
                <w:szCs w:val="16"/>
              </w:rPr>
              <w:t>WIPO GREEN</w:t>
            </w:r>
          </w:p>
        </w:tc>
        <w:tc>
          <w:tcPr>
            <w:tcW w:w="1585" w:type="pct"/>
            <w:shd w:val="clear" w:color="auto" w:fill="FFFFFF"/>
            <w:tcMar>
              <w:top w:w="113" w:type="dxa"/>
              <w:bottom w:w="85" w:type="dxa"/>
            </w:tcMar>
          </w:tcPr>
          <w:p w:rsidR="00236E18" w:rsidRPr="00245E53" w:rsidRDefault="00236E18" w:rsidP="00294272">
            <w:pPr>
              <w:ind w:left="661"/>
              <w:rPr>
                <w:sz w:val="16"/>
                <w:szCs w:val="16"/>
                <w:lang w:bidi="th-TH"/>
              </w:rPr>
            </w:pPr>
            <w:r w:rsidRPr="00245E53">
              <w:rPr>
                <w:sz w:val="16"/>
                <w:szCs w:val="16"/>
                <w:lang w:bidi="th-TH"/>
              </w:rPr>
              <w:t>Programa 18</w:t>
            </w:r>
          </w:p>
        </w:tc>
      </w:tr>
      <w:tr w:rsidR="00236E18" w:rsidRPr="00245E53" w:rsidTr="00294272">
        <w:trPr>
          <w:cantSplit/>
          <w:trHeight w:val="344"/>
        </w:trPr>
        <w:tc>
          <w:tcPr>
            <w:tcW w:w="1891" w:type="pct"/>
            <w:shd w:val="clear" w:color="auto" w:fill="auto"/>
            <w:tcMar>
              <w:top w:w="113" w:type="dxa"/>
              <w:bottom w:w="85" w:type="dxa"/>
            </w:tcMar>
          </w:tcPr>
          <w:p w:rsidR="00236E18" w:rsidRPr="00245E53" w:rsidRDefault="00236E18" w:rsidP="00294272">
            <w:pPr>
              <w:rPr>
                <w:sz w:val="16"/>
                <w:szCs w:val="16"/>
              </w:rPr>
            </w:pPr>
          </w:p>
        </w:tc>
        <w:tc>
          <w:tcPr>
            <w:tcW w:w="1524" w:type="pct"/>
            <w:shd w:val="clear" w:color="auto" w:fill="auto"/>
            <w:tcMar>
              <w:top w:w="113" w:type="dxa"/>
              <w:bottom w:w="85" w:type="dxa"/>
            </w:tcMar>
          </w:tcPr>
          <w:p w:rsidR="00236E18" w:rsidRPr="00245E53" w:rsidRDefault="00236E18" w:rsidP="00294272">
            <w:pPr>
              <w:rPr>
                <w:sz w:val="16"/>
                <w:szCs w:val="16"/>
                <w:lang w:val="es-ES_tradnl"/>
              </w:rPr>
            </w:pPr>
            <w:r w:rsidRPr="00245E53">
              <w:rPr>
                <w:sz w:val="16"/>
                <w:szCs w:val="16"/>
                <w:lang w:val="es-ES_tradnl"/>
              </w:rPr>
              <w:t>N</w:t>
            </w:r>
            <w:r>
              <w:rPr>
                <w:sz w:val="16"/>
                <w:szCs w:val="16"/>
                <w:lang w:val="es-ES_tradnl"/>
              </w:rPr>
              <w:t>º</w:t>
            </w:r>
            <w:r w:rsidRPr="00245E53">
              <w:rPr>
                <w:sz w:val="16"/>
                <w:szCs w:val="16"/>
                <w:lang w:val="es-ES_tradnl"/>
              </w:rPr>
              <w:t xml:space="preserve"> de acuerdos catalizados por medio de </w:t>
            </w:r>
            <w:r w:rsidRPr="004252B2">
              <w:rPr>
                <w:i/>
                <w:sz w:val="16"/>
                <w:szCs w:val="16"/>
                <w:lang w:val="es-ES_tradnl"/>
              </w:rPr>
              <w:t>WIPO GREEN</w:t>
            </w:r>
            <w:r w:rsidRPr="00245E53">
              <w:rPr>
                <w:sz w:val="16"/>
                <w:szCs w:val="16"/>
                <w:lang w:val="es-ES_tradnl"/>
              </w:rPr>
              <w:t xml:space="preserve"> que facilitan la transferencia de conocimientos así como la adaptación, transferencia o difusión de tecnología</w:t>
            </w:r>
          </w:p>
        </w:tc>
        <w:tc>
          <w:tcPr>
            <w:tcW w:w="1585" w:type="pct"/>
            <w:shd w:val="clear" w:color="auto" w:fill="FFFFFF"/>
            <w:tcMar>
              <w:top w:w="113" w:type="dxa"/>
              <w:bottom w:w="85" w:type="dxa"/>
            </w:tcMar>
          </w:tcPr>
          <w:p w:rsidR="00236E18" w:rsidRPr="00245E53" w:rsidRDefault="00236E18" w:rsidP="00294272">
            <w:pPr>
              <w:ind w:left="661"/>
              <w:rPr>
                <w:sz w:val="16"/>
                <w:szCs w:val="16"/>
                <w:lang w:bidi="th-TH"/>
              </w:rPr>
            </w:pPr>
            <w:r w:rsidRPr="00245E53">
              <w:rPr>
                <w:sz w:val="16"/>
                <w:szCs w:val="16"/>
                <w:lang w:bidi="th-TH"/>
              </w:rPr>
              <w:t>Programa 18</w:t>
            </w:r>
          </w:p>
        </w:tc>
      </w:tr>
      <w:tr w:rsidR="00236E18" w:rsidRPr="00245E53" w:rsidTr="00294272">
        <w:trPr>
          <w:cantSplit/>
          <w:trHeight w:val="344"/>
        </w:trPr>
        <w:tc>
          <w:tcPr>
            <w:tcW w:w="1891" w:type="pct"/>
            <w:shd w:val="clear" w:color="auto" w:fill="auto"/>
            <w:tcMar>
              <w:top w:w="113" w:type="dxa"/>
              <w:bottom w:w="85" w:type="dxa"/>
            </w:tcMar>
          </w:tcPr>
          <w:p w:rsidR="00236E18" w:rsidRPr="00245E53" w:rsidRDefault="00236E18" w:rsidP="00294272">
            <w:pPr>
              <w:rPr>
                <w:sz w:val="16"/>
                <w:szCs w:val="16"/>
              </w:rPr>
            </w:pPr>
          </w:p>
        </w:tc>
        <w:tc>
          <w:tcPr>
            <w:tcW w:w="1524" w:type="pct"/>
            <w:shd w:val="clear" w:color="auto" w:fill="auto"/>
            <w:tcMar>
              <w:top w:w="113" w:type="dxa"/>
              <w:bottom w:w="85" w:type="dxa"/>
            </w:tcMar>
          </w:tcPr>
          <w:p w:rsidR="00236E18" w:rsidRPr="00245E53" w:rsidRDefault="00236E18" w:rsidP="00294272">
            <w:pPr>
              <w:rPr>
                <w:sz w:val="16"/>
                <w:szCs w:val="16"/>
              </w:rPr>
            </w:pPr>
            <w:r w:rsidRPr="00245E53">
              <w:rPr>
                <w:sz w:val="16"/>
                <w:szCs w:val="16"/>
              </w:rPr>
              <w:t>Avances realizados en la creación de un marco internacional de colaboración para una contribución eficaz de la P.I. a la seguridad alimentaria mediante la creación de un proceso consultivo</w:t>
            </w:r>
          </w:p>
        </w:tc>
        <w:tc>
          <w:tcPr>
            <w:tcW w:w="1585" w:type="pct"/>
            <w:shd w:val="clear" w:color="auto" w:fill="FFFFFF"/>
            <w:tcMar>
              <w:top w:w="113" w:type="dxa"/>
              <w:bottom w:w="85" w:type="dxa"/>
            </w:tcMar>
          </w:tcPr>
          <w:p w:rsidR="00236E18" w:rsidRPr="00245E53" w:rsidRDefault="00236E18" w:rsidP="00294272">
            <w:pPr>
              <w:ind w:left="661"/>
              <w:rPr>
                <w:sz w:val="16"/>
                <w:szCs w:val="16"/>
                <w:lang w:bidi="th-TH"/>
              </w:rPr>
            </w:pPr>
            <w:r w:rsidRPr="00245E53">
              <w:rPr>
                <w:sz w:val="16"/>
                <w:szCs w:val="16"/>
                <w:lang w:bidi="th-TH"/>
              </w:rPr>
              <w:t>Programa 18</w:t>
            </w:r>
          </w:p>
        </w:tc>
      </w:tr>
      <w:tr w:rsidR="00236E18" w:rsidRPr="00245E53" w:rsidTr="00294272">
        <w:trPr>
          <w:cantSplit/>
          <w:trHeight w:val="344"/>
        </w:trPr>
        <w:tc>
          <w:tcPr>
            <w:tcW w:w="1891" w:type="pct"/>
            <w:shd w:val="clear" w:color="auto" w:fill="auto"/>
            <w:tcMar>
              <w:top w:w="113" w:type="dxa"/>
              <w:bottom w:w="85" w:type="dxa"/>
            </w:tcMar>
          </w:tcPr>
          <w:p w:rsidR="00236E18" w:rsidRPr="00245E53" w:rsidRDefault="00236E18" w:rsidP="00294272">
            <w:pPr>
              <w:rPr>
                <w:sz w:val="16"/>
                <w:szCs w:val="16"/>
              </w:rPr>
            </w:pPr>
          </w:p>
        </w:tc>
        <w:tc>
          <w:tcPr>
            <w:tcW w:w="1524" w:type="pct"/>
            <w:shd w:val="clear" w:color="auto" w:fill="auto"/>
            <w:tcMar>
              <w:top w:w="113" w:type="dxa"/>
              <w:bottom w:w="85" w:type="dxa"/>
            </w:tcMar>
          </w:tcPr>
          <w:p w:rsidR="00236E18" w:rsidRPr="00245E53" w:rsidRDefault="00236E18" w:rsidP="00294272">
            <w:pPr>
              <w:rPr>
                <w:sz w:val="16"/>
                <w:szCs w:val="16"/>
              </w:rPr>
            </w:pPr>
            <w:r w:rsidRPr="00245E53">
              <w:rPr>
                <w:sz w:val="16"/>
                <w:szCs w:val="16"/>
              </w:rPr>
              <w:t>N</w:t>
            </w:r>
            <w:r>
              <w:rPr>
                <w:sz w:val="16"/>
                <w:szCs w:val="16"/>
              </w:rPr>
              <w:t>º</w:t>
            </w:r>
            <w:r w:rsidRPr="00245E53">
              <w:rPr>
                <w:sz w:val="16"/>
                <w:szCs w:val="16"/>
              </w:rPr>
              <w:t xml:space="preserve"> de visitas al sitio web </w:t>
            </w:r>
            <w:r w:rsidRPr="00245E53">
              <w:rPr>
                <w:sz w:val="16"/>
                <w:szCs w:val="16"/>
                <w:lang w:val="es-ES_tradnl"/>
              </w:rPr>
              <w:t>Desafíos Mundiales</w:t>
            </w:r>
          </w:p>
        </w:tc>
        <w:tc>
          <w:tcPr>
            <w:tcW w:w="1585" w:type="pct"/>
            <w:shd w:val="clear" w:color="auto" w:fill="FFFFFF"/>
            <w:tcMar>
              <w:top w:w="113" w:type="dxa"/>
              <w:bottom w:w="85" w:type="dxa"/>
            </w:tcMar>
          </w:tcPr>
          <w:p w:rsidR="00236E18" w:rsidRPr="00245E53" w:rsidRDefault="00236E18" w:rsidP="00294272">
            <w:pPr>
              <w:ind w:left="661"/>
              <w:rPr>
                <w:sz w:val="16"/>
                <w:szCs w:val="16"/>
                <w:lang w:bidi="th-TH"/>
              </w:rPr>
            </w:pPr>
            <w:r w:rsidRPr="00245E53">
              <w:rPr>
                <w:sz w:val="16"/>
                <w:szCs w:val="16"/>
                <w:lang w:bidi="th-TH"/>
              </w:rPr>
              <w:t>Programa 18</w:t>
            </w:r>
          </w:p>
        </w:tc>
      </w:tr>
      <w:tr w:rsidR="00236E18" w:rsidRPr="00245E53" w:rsidTr="00294272">
        <w:trPr>
          <w:cantSplit/>
          <w:trHeight w:val="706"/>
        </w:trPr>
        <w:tc>
          <w:tcPr>
            <w:tcW w:w="1891" w:type="pct"/>
            <w:shd w:val="clear" w:color="auto" w:fill="auto"/>
            <w:tcMar>
              <w:top w:w="113" w:type="dxa"/>
              <w:bottom w:w="85" w:type="dxa"/>
            </w:tcMar>
          </w:tcPr>
          <w:p w:rsidR="00236E18" w:rsidRPr="00245E53" w:rsidRDefault="00236E18" w:rsidP="00294272">
            <w:pPr>
              <w:rPr>
                <w:sz w:val="16"/>
                <w:szCs w:val="16"/>
              </w:rPr>
            </w:pPr>
          </w:p>
        </w:tc>
        <w:tc>
          <w:tcPr>
            <w:tcW w:w="1524" w:type="pct"/>
            <w:shd w:val="clear" w:color="auto" w:fill="auto"/>
            <w:tcMar>
              <w:top w:w="113" w:type="dxa"/>
              <w:bottom w:w="85" w:type="dxa"/>
            </w:tcMar>
          </w:tcPr>
          <w:p w:rsidR="00236E18" w:rsidRPr="00245E53" w:rsidRDefault="00236E18" w:rsidP="00294272">
            <w:pPr>
              <w:rPr>
                <w:sz w:val="16"/>
                <w:szCs w:val="16"/>
                <w:lang w:val="es-ES_tradnl"/>
              </w:rPr>
            </w:pPr>
            <w:r w:rsidRPr="00245E53">
              <w:rPr>
                <w:sz w:val="16"/>
                <w:szCs w:val="16"/>
                <w:lang w:val="es-ES_tradnl"/>
              </w:rPr>
              <w:t xml:space="preserve">Participación de las partes interesadas en plataformas de la OMPI como </w:t>
            </w:r>
            <w:r w:rsidRPr="00D842AD">
              <w:rPr>
                <w:i/>
                <w:sz w:val="16"/>
                <w:szCs w:val="16"/>
                <w:lang w:val="es-ES_tradnl"/>
              </w:rPr>
              <w:t>WIPO GREEN</w:t>
            </w:r>
            <w:r w:rsidRPr="00245E53">
              <w:rPr>
                <w:sz w:val="16"/>
                <w:szCs w:val="16"/>
                <w:lang w:val="es-ES_tradnl"/>
              </w:rPr>
              <w:t xml:space="preserve"> y </w:t>
            </w:r>
            <w:r w:rsidRPr="004252B2">
              <w:rPr>
                <w:i/>
                <w:sz w:val="16"/>
                <w:szCs w:val="16"/>
                <w:lang w:val="es-ES_tradnl"/>
              </w:rPr>
              <w:t xml:space="preserve">WIPO </w:t>
            </w:r>
            <w:proofErr w:type="spellStart"/>
            <w:r w:rsidRPr="004252B2">
              <w:rPr>
                <w:i/>
                <w:sz w:val="16"/>
                <w:szCs w:val="16"/>
                <w:lang w:val="es-ES_tradnl"/>
              </w:rPr>
              <w:t>Re:Search</w:t>
            </w:r>
            <w:proofErr w:type="spellEnd"/>
          </w:p>
        </w:tc>
        <w:tc>
          <w:tcPr>
            <w:tcW w:w="1585" w:type="pct"/>
            <w:shd w:val="clear" w:color="auto" w:fill="FFFFFF"/>
            <w:tcMar>
              <w:top w:w="113" w:type="dxa"/>
              <w:bottom w:w="85" w:type="dxa"/>
            </w:tcMar>
          </w:tcPr>
          <w:p w:rsidR="00236E18" w:rsidRPr="00245E53" w:rsidRDefault="00236E18" w:rsidP="00294272">
            <w:pPr>
              <w:ind w:left="661"/>
              <w:rPr>
                <w:sz w:val="16"/>
                <w:szCs w:val="16"/>
                <w:lang w:bidi="th-TH"/>
              </w:rPr>
            </w:pPr>
            <w:r w:rsidRPr="00245E53">
              <w:rPr>
                <w:sz w:val="16"/>
                <w:szCs w:val="16"/>
                <w:lang w:bidi="th-TH"/>
              </w:rPr>
              <w:t>Programa 20</w:t>
            </w:r>
          </w:p>
        </w:tc>
      </w:tr>
    </w:tbl>
    <w:p w:rsidR="00236E18" w:rsidRPr="00245E53" w:rsidRDefault="00236E18" w:rsidP="00236E18">
      <w:pPr>
        <w:rPr>
          <w:bCs/>
        </w:rPr>
      </w:pPr>
    </w:p>
    <w:p w:rsidR="00236E18" w:rsidRDefault="00236E18" w:rsidP="00236E18">
      <w:pPr>
        <w:rPr>
          <w:sz w:val="20"/>
          <w:szCs w:val="21"/>
          <w:lang w:val="en-US"/>
        </w:rPr>
      </w:pPr>
      <w:r>
        <w:rPr>
          <w:sz w:val="20"/>
          <w:szCs w:val="21"/>
          <w:lang w:val="en-US"/>
        </w:rPr>
        <w:br w:type="page"/>
      </w:r>
    </w:p>
    <w:p w:rsidR="00236E18" w:rsidRPr="00E33FD1" w:rsidRDefault="00236E18" w:rsidP="00236E18">
      <w:pPr>
        <w:pStyle w:val="StyleStyleHeading3ComplexItalicLatin12pt"/>
        <w:rPr>
          <w:lang w:val="es-ES_tradnl"/>
        </w:rPr>
      </w:pPr>
      <w:bookmarkStart w:id="101" w:name="_Toc431573565"/>
      <w:bookmarkStart w:id="102" w:name="_Toc431573966"/>
      <w:r w:rsidRPr="00E33FD1">
        <w:rPr>
          <w:lang w:val="es-ES_tradnl"/>
        </w:rPr>
        <w:lastRenderedPageBreak/>
        <w:t>PROGRAMA 18</w:t>
      </w:r>
      <w:r w:rsidRPr="00E33FD1">
        <w:rPr>
          <w:b w:val="0"/>
          <w:lang w:val="es-ES_tradnl"/>
        </w:rPr>
        <w:tab/>
      </w:r>
      <w:r w:rsidRPr="00E33FD1">
        <w:rPr>
          <w:lang w:val="es-ES_tradnl"/>
        </w:rPr>
        <w:t>LA P.I. Y LOS DESAFÍOS MUNDIALES</w:t>
      </w:r>
      <w:bookmarkEnd w:id="101"/>
      <w:bookmarkEnd w:id="102"/>
    </w:p>
    <w:p w:rsidR="00236E18" w:rsidRPr="004974AC" w:rsidRDefault="00236E18" w:rsidP="00236E18">
      <w:pPr>
        <w:rPr>
          <w:sz w:val="20"/>
          <w:lang w:val="es-ES_tradnl"/>
        </w:rPr>
      </w:pPr>
    </w:p>
    <w:p w:rsidR="00236E18" w:rsidRPr="004974AC" w:rsidRDefault="00236E18" w:rsidP="00236E18">
      <w:pPr>
        <w:rPr>
          <w:b/>
          <w:sz w:val="20"/>
          <w:lang w:val="es-ES_tradnl"/>
        </w:rPr>
      </w:pPr>
    </w:p>
    <w:p w:rsidR="00236E18" w:rsidRPr="004974AC" w:rsidRDefault="00236E18" w:rsidP="00236E18">
      <w:pPr>
        <w:rPr>
          <w:b/>
          <w:sz w:val="20"/>
          <w:lang w:val="es-ES_tradnl"/>
        </w:rPr>
      </w:pPr>
    </w:p>
    <w:p w:rsidR="00236E18" w:rsidRPr="00E33FD1" w:rsidRDefault="00236E18" w:rsidP="00236E18">
      <w:pPr>
        <w:pStyle w:val="BodyTextIndent"/>
        <w:ind w:left="1985" w:hanging="1985"/>
        <w:jc w:val="both"/>
        <w:rPr>
          <w:szCs w:val="22"/>
        </w:rPr>
      </w:pPr>
      <w:r w:rsidRPr="00E33FD1">
        <w:rPr>
          <w:szCs w:val="22"/>
          <w:lang w:val="es-ES_tradnl"/>
        </w:rPr>
        <w:t>CONTEXTO DE PLANIFICACIÓN</w:t>
      </w:r>
    </w:p>
    <w:p w:rsidR="00236E18" w:rsidRPr="00E33FD1" w:rsidRDefault="00236E18" w:rsidP="00236E18">
      <w:pPr>
        <w:numPr>
          <w:ilvl w:val="0"/>
          <w:numId w:val="33"/>
        </w:numPr>
        <w:tabs>
          <w:tab w:val="left" w:pos="709"/>
        </w:tabs>
        <w:spacing w:before="216"/>
        <w:jc w:val="both"/>
        <w:rPr>
          <w:spacing w:val="2"/>
          <w:sz w:val="20"/>
          <w:lang w:val="es-ES_tradnl"/>
        </w:rPr>
      </w:pPr>
      <w:r w:rsidRPr="00E33FD1">
        <w:rPr>
          <w:spacing w:val="2"/>
          <w:sz w:val="20"/>
          <w:lang w:val="es-ES_tradnl"/>
        </w:rPr>
        <w:t>En este programa se aborda la innovación y la P.I. en un contexto en que confluyen varios problemas mundiales interrelacionados, como la salud mundial, el cambio climático y, en menor medida, la seguridad alimentaria.  Las prioridades elegidas reflejan tanto los intereses de los Estados miembros (por ej., la Agenda para el Desarrollo posterior a 2015) como el potencial de las soluciones innovadoras para conseguir resultados tangibles.</w:t>
      </w:r>
    </w:p>
    <w:p w:rsidR="00236E18" w:rsidRPr="00F00D2E" w:rsidRDefault="00236E18" w:rsidP="00236E18">
      <w:pPr>
        <w:numPr>
          <w:ilvl w:val="0"/>
          <w:numId w:val="33"/>
        </w:numPr>
        <w:tabs>
          <w:tab w:val="left" w:pos="709"/>
        </w:tabs>
        <w:spacing w:before="216"/>
        <w:jc w:val="both"/>
        <w:rPr>
          <w:spacing w:val="2"/>
          <w:sz w:val="20"/>
          <w:lang w:val="es-ES_tradnl"/>
        </w:rPr>
      </w:pPr>
      <w:r w:rsidRPr="00F00D2E">
        <w:rPr>
          <w:spacing w:val="4"/>
          <w:sz w:val="20"/>
        </w:rPr>
        <w:t>Las soluciones a esos desafíos mundiales dependen en parte de la liberación del potencial de innovación en beneficio de todos los países, sea cual fuere su nivel de desarrollo.</w:t>
      </w:r>
      <w:r w:rsidRPr="00F00D2E">
        <w:rPr>
          <w:spacing w:val="2"/>
          <w:sz w:val="20"/>
        </w:rPr>
        <w:t xml:space="preserve">  </w:t>
      </w:r>
      <w:r w:rsidRPr="00F00D2E">
        <w:rPr>
          <w:spacing w:val="2"/>
          <w:sz w:val="20"/>
          <w:lang w:val="es-ES_tradnl"/>
        </w:rPr>
        <w:t>El fortalecimiento de capacidades, la transferencia de tecnologías y la difusión de herramientas prácticas se realizan cada vez más a través de nuevas formas de colaboración que involucran a una ampl</w:t>
      </w:r>
      <w:r>
        <w:rPr>
          <w:spacing w:val="2"/>
          <w:sz w:val="20"/>
          <w:lang w:val="es-ES_tradnl"/>
        </w:rPr>
        <w:t>ia gama de partes interesadas.</w:t>
      </w:r>
    </w:p>
    <w:p w:rsidR="00236E18" w:rsidRPr="00F00D2E" w:rsidRDefault="00236E18" w:rsidP="00236E18">
      <w:pPr>
        <w:numPr>
          <w:ilvl w:val="0"/>
          <w:numId w:val="33"/>
        </w:numPr>
        <w:tabs>
          <w:tab w:val="left" w:pos="709"/>
        </w:tabs>
        <w:spacing w:before="216"/>
        <w:jc w:val="both"/>
        <w:rPr>
          <w:bCs/>
          <w:sz w:val="20"/>
        </w:rPr>
      </w:pPr>
      <w:r>
        <w:rPr>
          <w:spacing w:val="2"/>
          <w:sz w:val="20"/>
          <w:lang w:val="es-ES_tradnl"/>
        </w:rPr>
        <w:t xml:space="preserve">En el marco del programa se han creado </w:t>
      </w:r>
      <w:r w:rsidRPr="00F00D2E">
        <w:rPr>
          <w:spacing w:val="2"/>
          <w:sz w:val="20"/>
          <w:lang w:val="es-ES_tradnl"/>
        </w:rPr>
        <w:t xml:space="preserve">dos plataformas para múltiples interesados, </w:t>
      </w:r>
      <w:r w:rsidRPr="004252B2">
        <w:rPr>
          <w:i/>
          <w:spacing w:val="2"/>
          <w:sz w:val="20"/>
          <w:lang w:val="es-ES_tradnl"/>
        </w:rPr>
        <w:t xml:space="preserve">WIPO </w:t>
      </w:r>
      <w:proofErr w:type="spellStart"/>
      <w:r w:rsidRPr="004252B2">
        <w:rPr>
          <w:i/>
          <w:spacing w:val="2"/>
          <w:sz w:val="20"/>
          <w:lang w:val="es-ES_tradnl"/>
        </w:rPr>
        <w:t>Re:Search</w:t>
      </w:r>
      <w:proofErr w:type="spellEnd"/>
      <w:r w:rsidRPr="00F00D2E">
        <w:rPr>
          <w:spacing w:val="2"/>
          <w:sz w:val="20"/>
          <w:lang w:val="es-ES_tradnl"/>
        </w:rPr>
        <w:t xml:space="preserve"> </w:t>
      </w:r>
      <w:r>
        <w:rPr>
          <w:spacing w:val="2"/>
          <w:sz w:val="20"/>
          <w:lang w:val="es-ES_tradnl"/>
        </w:rPr>
        <w:t xml:space="preserve">(con la finalidad de favorecer el acceso a la P.I. para acelerar la investigación y el desarrollo de medicamentos contra enfermedades tropicales desatendidas, la malaria y la tuberculosis) </w:t>
      </w:r>
      <w:r w:rsidRPr="00F00D2E">
        <w:rPr>
          <w:spacing w:val="2"/>
          <w:sz w:val="20"/>
          <w:lang w:val="es-ES_tradnl"/>
        </w:rPr>
        <w:t xml:space="preserve">en </w:t>
      </w:r>
      <w:r>
        <w:rPr>
          <w:spacing w:val="2"/>
          <w:sz w:val="20"/>
          <w:lang w:val="es-ES_tradnl"/>
        </w:rPr>
        <w:t xml:space="preserve">el ámbito de la </w:t>
      </w:r>
      <w:r w:rsidRPr="00F00D2E">
        <w:rPr>
          <w:spacing w:val="2"/>
          <w:sz w:val="20"/>
          <w:lang w:val="es-ES_tradnl"/>
        </w:rPr>
        <w:t>salud</w:t>
      </w:r>
      <w:r>
        <w:rPr>
          <w:spacing w:val="2"/>
          <w:sz w:val="20"/>
          <w:lang w:val="es-ES_tradnl"/>
        </w:rPr>
        <w:t xml:space="preserve"> mundial</w:t>
      </w:r>
      <w:r w:rsidRPr="00F00D2E">
        <w:rPr>
          <w:spacing w:val="2"/>
          <w:sz w:val="20"/>
          <w:lang w:val="es-ES_tradnl"/>
        </w:rPr>
        <w:t xml:space="preserve"> y </w:t>
      </w:r>
      <w:r w:rsidRPr="00F00D2E">
        <w:rPr>
          <w:i/>
          <w:spacing w:val="2"/>
          <w:sz w:val="20"/>
          <w:lang w:val="es-ES_tradnl"/>
        </w:rPr>
        <w:t>WIPO:GREEN</w:t>
      </w:r>
      <w:r>
        <w:rPr>
          <w:i/>
          <w:spacing w:val="2"/>
          <w:sz w:val="20"/>
          <w:lang w:val="es-ES_tradnl"/>
        </w:rPr>
        <w:t xml:space="preserve"> </w:t>
      </w:r>
      <w:r w:rsidRPr="008D4D81">
        <w:rPr>
          <w:spacing w:val="2"/>
          <w:sz w:val="20"/>
          <w:lang w:val="es-ES_tradnl"/>
        </w:rPr>
        <w:t xml:space="preserve">(mercado cuya finalidad es fomentar un clima propicio a la innovación y </w:t>
      </w:r>
      <w:r>
        <w:rPr>
          <w:spacing w:val="2"/>
          <w:sz w:val="20"/>
          <w:lang w:val="es-ES_tradnl"/>
        </w:rPr>
        <w:t>promover</w:t>
      </w:r>
      <w:r w:rsidRPr="008D4D81">
        <w:rPr>
          <w:spacing w:val="2"/>
          <w:sz w:val="20"/>
          <w:lang w:val="es-ES_tradnl"/>
        </w:rPr>
        <w:t xml:space="preserve"> a la vez un</w:t>
      </w:r>
      <w:r>
        <w:rPr>
          <w:spacing w:val="2"/>
          <w:sz w:val="20"/>
          <w:lang w:val="es-ES_tradnl"/>
        </w:rPr>
        <w:t>a difusión más rápida de las tecnologías medioambientales) en el ámbito del</w:t>
      </w:r>
      <w:r w:rsidRPr="00F00D2E">
        <w:rPr>
          <w:spacing w:val="2"/>
          <w:sz w:val="20"/>
          <w:lang w:val="es-ES_tradnl"/>
        </w:rPr>
        <w:t xml:space="preserve"> cambio climático</w:t>
      </w:r>
      <w:r>
        <w:rPr>
          <w:spacing w:val="2"/>
          <w:sz w:val="20"/>
          <w:lang w:val="es-ES_tradnl"/>
        </w:rPr>
        <w:t xml:space="preserve">.  </w:t>
      </w:r>
      <w:r w:rsidRPr="00F00D2E">
        <w:rPr>
          <w:spacing w:val="2"/>
          <w:sz w:val="20"/>
        </w:rPr>
        <w:t xml:space="preserve">En </w:t>
      </w:r>
      <w:r>
        <w:rPr>
          <w:spacing w:val="2"/>
          <w:sz w:val="20"/>
        </w:rPr>
        <w:t xml:space="preserve">relación con </w:t>
      </w:r>
      <w:r w:rsidRPr="00F00D2E">
        <w:rPr>
          <w:spacing w:val="2"/>
          <w:sz w:val="20"/>
        </w:rPr>
        <w:t xml:space="preserve">ambas plataformas, </w:t>
      </w:r>
      <w:r>
        <w:rPr>
          <w:spacing w:val="2"/>
          <w:sz w:val="20"/>
        </w:rPr>
        <w:t xml:space="preserve">y en sintonía con las funciones que incumben a la </w:t>
      </w:r>
      <w:r w:rsidRPr="008D4D81">
        <w:rPr>
          <w:spacing w:val="2"/>
          <w:sz w:val="20"/>
        </w:rPr>
        <w:t>Secretaría</w:t>
      </w:r>
      <w:r>
        <w:rPr>
          <w:spacing w:val="2"/>
          <w:sz w:val="20"/>
        </w:rPr>
        <w:t xml:space="preserve"> y que se definen en los principios rectores de </w:t>
      </w:r>
      <w:r w:rsidRPr="008D4D81">
        <w:rPr>
          <w:i/>
          <w:spacing w:val="2"/>
          <w:sz w:val="20"/>
        </w:rPr>
        <w:t xml:space="preserve">WIPO </w:t>
      </w:r>
      <w:proofErr w:type="spellStart"/>
      <w:r w:rsidRPr="008D4D81">
        <w:rPr>
          <w:i/>
          <w:spacing w:val="2"/>
          <w:sz w:val="20"/>
        </w:rPr>
        <w:t>Re</w:t>
      </w:r>
      <w:proofErr w:type="gramStart"/>
      <w:r w:rsidRPr="008D4D81">
        <w:rPr>
          <w:i/>
          <w:spacing w:val="2"/>
          <w:sz w:val="20"/>
        </w:rPr>
        <w:t>:Search</w:t>
      </w:r>
      <w:proofErr w:type="spellEnd"/>
      <w:proofErr w:type="gramEnd"/>
      <w:r>
        <w:rPr>
          <w:spacing w:val="2"/>
          <w:sz w:val="20"/>
        </w:rPr>
        <w:t xml:space="preserve"> y en la Carta de </w:t>
      </w:r>
      <w:r w:rsidRPr="00F00D2E">
        <w:rPr>
          <w:i/>
          <w:spacing w:val="2"/>
          <w:sz w:val="20"/>
          <w:lang w:val="es-ES_tradnl"/>
        </w:rPr>
        <w:t>WIPO:GREEN</w:t>
      </w:r>
      <w:r>
        <w:rPr>
          <w:spacing w:val="2"/>
          <w:sz w:val="20"/>
          <w:lang w:val="es-ES_tradnl"/>
        </w:rPr>
        <w:t>,</w:t>
      </w:r>
      <w:r>
        <w:rPr>
          <w:spacing w:val="2"/>
          <w:sz w:val="20"/>
        </w:rPr>
        <w:t xml:space="preserve"> el programa emprenderá varias medidas, para continuar desarrollando y poniendo a punto estrategias destinadas a sostener el ímpetu que han adquirido los consorcios y a movilizar una capacidad adicional que permita proporcionar los recursos adecuados</w:t>
      </w:r>
      <w:r w:rsidRPr="00F00D2E">
        <w:rPr>
          <w:spacing w:val="2"/>
          <w:sz w:val="20"/>
        </w:rPr>
        <w:t xml:space="preserve"> para </w:t>
      </w:r>
      <w:r>
        <w:rPr>
          <w:spacing w:val="2"/>
          <w:sz w:val="20"/>
        </w:rPr>
        <w:t>proseguir con</w:t>
      </w:r>
      <w:r w:rsidRPr="00F00D2E">
        <w:rPr>
          <w:spacing w:val="2"/>
          <w:sz w:val="20"/>
        </w:rPr>
        <w:t xml:space="preserve"> las actividades previstas y en curso</w:t>
      </w:r>
      <w:r w:rsidRPr="00F00D2E">
        <w:rPr>
          <w:bCs/>
          <w:sz w:val="20"/>
        </w:rPr>
        <w:t>.</w:t>
      </w:r>
    </w:p>
    <w:p w:rsidR="00236E18" w:rsidRPr="00F13C21" w:rsidRDefault="00236E18" w:rsidP="00236E18">
      <w:pPr>
        <w:tabs>
          <w:tab w:val="left" w:pos="567"/>
          <w:tab w:val="left" w:pos="709"/>
          <w:tab w:val="left" w:pos="1985"/>
        </w:tabs>
        <w:jc w:val="both"/>
        <w:rPr>
          <w:spacing w:val="2"/>
          <w:sz w:val="20"/>
        </w:rPr>
      </w:pPr>
    </w:p>
    <w:p w:rsidR="00236E18" w:rsidRPr="00F13C21" w:rsidRDefault="00236E18" w:rsidP="00236E18">
      <w:pPr>
        <w:tabs>
          <w:tab w:val="left" w:pos="567"/>
          <w:tab w:val="left" w:pos="709"/>
          <w:tab w:val="left" w:pos="1985"/>
        </w:tabs>
        <w:jc w:val="both"/>
        <w:rPr>
          <w:bCs/>
          <w:sz w:val="20"/>
        </w:rPr>
      </w:pPr>
    </w:p>
    <w:p w:rsidR="00236E18" w:rsidRPr="00E33FD1" w:rsidRDefault="00236E18" w:rsidP="00236E18">
      <w:pPr>
        <w:tabs>
          <w:tab w:val="left" w:pos="567"/>
          <w:tab w:val="left" w:pos="709"/>
          <w:tab w:val="left" w:pos="1985"/>
        </w:tabs>
        <w:jc w:val="both"/>
        <w:rPr>
          <w:bCs/>
          <w:szCs w:val="22"/>
        </w:rPr>
      </w:pPr>
      <w:r w:rsidRPr="00E33FD1">
        <w:rPr>
          <w:bCs/>
          <w:szCs w:val="22"/>
          <w:lang w:val="es-ES_tradnl"/>
        </w:rPr>
        <w:t>ESTRATEGIAS DE EJECUCIÓN</w:t>
      </w:r>
    </w:p>
    <w:p w:rsidR="00236E18" w:rsidRPr="00E33FD1" w:rsidRDefault="00236E18" w:rsidP="00236E18">
      <w:pPr>
        <w:tabs>
          <w:tab w:val="left" w:pos="709"/>
        </w:tabs>
        <w:jc w:val="both"/>
        <w:rPr>
          <w:sz w:val="20"/>
        </w:rPr>
      </w:pPr>
    </w:p>
    <w:p w:rsidR="00236E18" w:rsidRPr="00E33FD1" w:rsidRDefault="00236E18" w:rsidP="00236E18">
      <w:pPr>
        <w:numPr>
          <w:ilvl w:val="0"/>
          <w:numId w:val="33"/>
        </w:numPr>
        <w:tabs>
          <w:tab w:val="left" w:pos="709"/>
        </w:tabs>
        <w:jc w:val="both"/>
        <w:rPr>
          <w:sz w:val="20"/>
          <w:lang w:val="es-ES_tradnl"/>
        </w:rPr>
      </w:pPr>
      <w:r w:rsidRPr="00E33FD1">
        <w:rPr>
          <w:sz w:val="20"/>
          <w:lang w:val="es-ES_tradnl"/>
        </w:rPr>
        <w:t>El programa continuará realizando una contribución eficaz y constructiva a la búsqueda de soluciones basadas en la innovación y al diálogo mundial sobre políticas a través de una estrategia de ejecución dotada de tres vertientes:</w:t>
      </w:r>
    </w:p>
    <w:p w:rsidR="00236E18" w:rsidRPr="00F13C21" w:rsidRDefault="00236E18" w:rsidP="00236E18">
      <w:pPr>
        <w:tabs>
          <w:tab w:val="left" w:pos="709"/>
        </w:tabs>
        <w:jc w:val="both"/>
        <w:rPr>
          <w:sz w:val="20"/>
          <w:lang w:val="es-ES_tradnl"/>
        </w:rPr>
      </w:pPr>
    </w:p>
    <w:p w:rsidR="00236E18" w:rsidRPr="00E33FD1" w:rsidRDefault="00236E18" w:rsidP="00236E18">
      <w:pPr>
        <w:tabs>
          <w:tab w:val="left" w:pos="709"/>
        </w:tabs>
        <w:rPr>
          <w:sz w:val="20"/>
          <w:u w:val="single"/>
        </w:rPr>
      </w:pPr>
      <w:r w:rsidRPr="00E33FD1">
        <w:rPr>
          <w:sz w:val="20"/>
          <w:u w:val="single"/>
        </w:rPr>
        <w:t xml:space="preserve">Elaborar y mantener mecanismos y herramientas prácticos basados en la P.I. para atender los desafíos mundiales </w:t>
      </w:r>
    </w:p>
    <w:p w:rsidR="00236E18" w:rsidRPr="00F13C21" w:rsidRDefault="00236E18" w:rsidP="00236E18">
      <w:pPr>
        <w:tabs>
          <w:tab w:val="left" w:pos="709"/>
        </w:tabs>
        <w:jc w:val="both"/>
        <w:rPr>
          <w:sz w:val="20"/>
        </w:rPr>
      </w:pPr>
    </w:p>
    <w:p w:rsidR="00236E18" w:rsidRPr="00F13C21" w:rsidRDefault="00236E18" w:rsidP="00236E18">
      <w:pPr>
        <w:numPr>
          <w:ilvl w:val="0"/>
          <w:numId w:val="33"/>
        </w:numPr>
        <w:tabs>
          <w:tab w:val="left" w:pos="709"/>
        </w:tabs>
        <w:jc w:val="both"/>
        <w:rPr>
          <w:sz w:val="20"/>
          <w:lang w:val="es-ES_tradnl"/>
        </w:rPr>
      </w:pPr>
      <w:r w:rsidRPr="00F13C21">
        <w:rPr>
          <w:sz w:val="20"/>
        </w:rPr>
        <w:t xml:space="preserve">El elemento esencial de la estrategia del programa se basa en la mayor operatividad y sostenibilidad de sus dos plataformas para múltiples interesados, que posibilitan la creación de redes de colaboración eficaces y la transferencia de tecnología </w:t>
      </w:r>
      <w:r w:rsidRPr="00E33FD1">
        <w:rPr>
          <w:sz w:val="20"/>
        </w:rPr>
        <w:t xml:space="preserve">pertinente para la salud y el cambio climático.  </w:t>
      </w:r>
      <w:r w:rsidRPr="00E33FD1">
        <w:rPr>
          <w:spacing w:val="3"/>
          <w:sz w:val="20"/>
          <w:lang w:val="es-ES_tradnl"/>
        </w:rPr>
        <w:t>Las iniciativas se basarán en alianzas y colaboraciones, con utilización de estructuras de innovación colectiva, innovación en red y otras formas de cooperación para acelerar su repercusión.</w:t>
      </w:r>
      <w:r w:rsidRPr="00E33FD1">
        <w:rPr>
          <w:sz w:val="20"/>
          <w:lang w:val="es-ES_tradnl"/>
        </w:rPr>
        <w:t xml:space="preserve">  Asimismo, se hará hincapié en aumentar las colaboraciones y alian</w:t>
      </w:r>
      <w:r w:rsidRPr="00F13C21">
        <w:rPr>
          <w:sz w:val="20"/>
          <w:lang w:val="es-ES_tradnl"/>
        </w:rPr>
        <w:t>zas</w:t>
      </w:r>
      <w:r>
        <w:rPr>
          <w:sz w:val="20"/>
          <w:lang w:val="es-ES_tradnl"/>
        </w:rPr>
        <w:t xml:space="preserve"> Norte-Sur y</w:t>
      </w:r>
      <w:r w:rsidRPr="00F13C21">
        <w:rPr>
          <w:sz w:val="20"/>
          <w:lang w:val="es-ES_tradnl"/>
        </w:rPr>
        <w:t xml:space="preserve"> Sur-Sur que faciliten la conectividad global de los innovadores de países en desarrollo.</w:t>
      </w:r>
    </w:p>
    <w:p w:rsidR="00236E18" w:rsidRPr="00F13C21" w:rsidRDefault="00236E18" w:rsidP="00236E18">
      <w:pPr>
        <w:tabs>
          <w:tab w:val="left" w:pos="709"/>
        </w:tabs>
        <w:jc w:val="both"/>
        <w:rPr>
          <w:sz w:val="20"/>
          <w:lang w:val="es-ES_tradnl"/>
        </w:rPr>
      </w:pPr>
    </w:p>
    <w:p w:rsidR="00236E18" w:rsidRPr="00F13C21" w:rsidRDefault="00236E18" w:rsidP="00236E18">
      <w:pPr>
        <w:pStyle w:val="ListParagraph"/>
        <w:numPr>
          <w:ilvl w:val="0"/>
          <w:numId w:val="33"/>
        </w:numPr>
        <w:jc w:val="both"/>
        <w:rPr>
          <w:rFonts w:ascii="Arial" w:hAnsi="Arial" w:cs="Arial"/>
          <w:sz w:val="20"/>
          <w:lang w:val="es-ES"/>
        </w:rPr>
      </w:pPr>
      <w:r w:rsidRPr="00F13C21">
        <w:rPr>
          <w:rFonts w:ascii="Arial" w:hAnsi="Arial" w:cs="Arial"/>
          <w:sz w:val="20"/>
          <w:lang w:val="es-ES"/>
        </w:rPr>
        <w:t>En colaboración con aliados exter</w:t>
      </w:r>
      <w:r>
        <w:rPr>
          <w:rFonts w:ascii="Arial" w:hAnsi="Arial" w:cs="Arial"/>
          <w:sz w:val="20"/>
          <w:lang w:val="es-ES"/>
        </w:rPr>
        <w:t>n</w:t>
      </w:r>
      <w:r w:rsidRPr="00F13C21">
        <w:rPr>
          <w:rFonts w:ascii="Arial" w:hAnsi="Arial" w:cs="Arial"/>
          <w:sz w:val="20"/>
          <w:lang w:val="es-ES"/>
        </w:rPr>
        <w:t>os, se crearán más herramientas para el intercambio de tecnología que faciliten la difusión y transferencia de tecnologías pertinentes para la salud y respetuosas del medio ambiente, con arreglo a los objetivos de la A.D. y más particularmente con las recomendaciones 19 (Acceso a los conocimientos y la tecnología) y 25 (Transferencia de tecnología), así como 30, 40 y 42 (Cooperación con otras OIG y ONG).</w:t>
      </w:r>
    </w:p>
    <w:p w:rsidR="00236E18" w:rsidRPr="00F13C21" w:rsidRDefault="00236E18" w:rsidP="00236E18">
      <w:pPr>
        <w:pStyle w:val="ListParagraph"/>
        <w:tabs>
          <w:tab w:val="left" w:pos="709"/>
        </w:tabs>
        <w:rPr>
          <w:rFonts w:ascii="Arial" w:hAnsi="Arial" w:cs="Arial"/>
          <w:sz w:val="20"/>
          <w:lang w:val="es-ES"/>
        </w:rPr>
      </w:pPr>
    </w:p>
    <w:p w:rsidR="00236E18" w:rsidRPr="00F13C21" w:rsidRDefault="00236E18" w:rsidP="00236E18">
      <w:pPr>
        <w:numPr>
          <w:ilvl w:val="0"/>
          <w:numId w:val="33"/>
        </w:numPr>
        <w:tabs>
          <w:tab w:val="left" w:pos="709"/>
        </w:tabs>
        <w:jc w:val="both"/>
        <w:rPr>
          <w:sz w:val="20"/>
        </w:rPr>
      </w:pPr>
      <w:r w:rsidRPr="00F13C21">
        <w:rPr>
          <w:sz w:val="20"/>
        </w:rPr>
        <w:t>Durante el bienio, se elaborará también una estrategia para abordar la P.I. y la seguridad alimentaria que se base en las actividades realizadas anteriormente por la OMPI en ese ámbito, en coordinación con los programas pertinentes de la OMPI y las partes interesadas externas, especialmente las OIG, el sector privado y la sociedad civil.</w:t>
      </w:r>
    </w:p>
    <w:p w:rsidR="00236E18" w:rsidRPr="00F13C21" w:rsidRDefault="00236E18" w:rsidP="00236E18">
      <w:pPr>
        <w:rPr>
          <w:sz w:val="20"/>
        </w:rPr>
      </w:pPr>
    </w:p>
    <w:p w:rsidR="00236E18" w:rsidRDefault="00236E18" w:rsidP="00236E18">
      <w:pPr>
        <w:keepNext/>
        <w:keepLines/>
        <w:tabs>
          <w:tab w:val="left" w:pos="709"/>
        </w:tabs>
        <w:rPr>
          <w:spacing w:val="-1"/>
          <w:sz w:val="20"/>
          <w:u w:val="single"/>
        </w:rPr>
      </w:pPr>
      <w:r w:rsidRPr="00F13C21">
        <w:rPr>
          <w:spacing w:val="-1"/>
          <w:sz w:val="20"/>
          <w:u w:val="single"/>
        </w:rPr>
        <w:lastRenderedPageBreak/>
        <w:t>Mejorar el acceso a la información sobre la P.I. y su utilización para apoyar a los Estados miembros, las OIG, el sector privado, la sociedad civil y demás partes interesadas</w:t>
      </w:r>
      <w:r>
        <w:rPr>
          <w:spacing w:val="-1"/>
          <w:sz w:val="20"/>
          <w:u w:val="single"/>
        </w:rPr>
        <w:t>,</w:t>
      </w:r>
      <w:r w:rsidRPr="00F13C21">
        <w:rPr>
          <w:spacing w:val="-1"/>
          <w:sz w:val="20"/>
          <w:u w:val="single"/>
        </w:rPr>
        <w:t xml:space="preserve"> y ayudarlos a determinar enfoques viables </w:t>
      </w:r>
    </w:p>
    <w:p w:rsidR="00236E18" w:rsidRPr="00F13C21" w:rsidRDefault="00236E18" w:rsidP="00236E18">
      <w:pPr>
        <w:keepNext/>
        <w:keepLines/>
        <w:tabs>
          <w:tab w:val="left" w:pos="709"/>
        </w:tabs>
        <w:rPr>
          <w:sz w:val="20"/>
          <w:u w:val="single"/>
        </w:rPr>
      </w:pPr>
    </w:p>
    <w:p w:rsidR="00236E18" w:rsidRPr="00F13C21" w:rsidRDefault="00236E18" w:rsidP="00236E18">
      <w:pPr>
        <w:pStyle w:val="ListParagraph"/>
        <w:keepNext/>
        <w:keepLines/>
        <w:numPr>
          <w:ilvl w:val="0"/>
          <w:numId w:val="33"/>
        </w:numPr>
        <w:jc w:val="both"/>
        <w:rPr>
          <w:rFonts w:ascii="Arial" w:hAnsi="Arial" w:cs="Arial"/>
          <w:sz w:val="20"/>
          <w:lang w:val="es-ES"/>
        </w:rPr>
      </w:pPr>
      <w:r w:rsidRPr="00F13C21">
        <w:rPr>
          <w:rFonts w:ascii="Arial" w:hAnsi="Arial" w:cs="Arial"/>
          <w:sz w:val="20"/>
          <w:lang w:val="es-ES"/>
        </w:rPr>
        <w:t xml:space="preserve">En el marco del programa se seguirá </w:t>
      </w:r>
      <w:r>
        <w:rPr>
          <w:rFonts w:ascii="Arial" w:hAnsi="Arial" w:cs="Arial"/>
          <w:sz w:val="20"/>
          <w:lang w:val="es-ES"/>
        </w:rPr>
        <w:t xml:space="preserve">contribuyendo a los </w:t>
      </w:r>
      <w:r w:rsidRPr="00F13C21">
        <w:rPr>
          <w:rFonts w:ascii="Arial" w:hAnsi="Arial" w:cs="Arial"/>
          <w:sz w:val="20"/>
          <w:lang w:val="es-ES"/>
        </w:rPr>
        <w:t xml:space="preserve">diálogos de política sobre la P.I. y los </w:t>
      </w:r>
      <w:r>
        <w:rPr>
          <w:rFonts w:ascii="Arial" w:hAnsi="Arial" w:cs="Arial"/>
          <w:sz w:val="20"/>
          <w:lang w:val="es-ES"/>
        </w:rPr>
        <w:t>desafío</w:t>
      </w:r>
      <w:r w:rsidRPr="00F13C21">
        <w:rPr>
          <w:rFonts w:ascii="Arial" w:hAnsi="Arial" w:cs="Arial"/>
          <w:sz w:val="20"/>
          <w:lang w:val="es-ES"/>
        </w:rPr>
        <w:t>s mundiales con el fin de reforzar el p</w:t>
      </w:r>
      <w:r>
        <w:rPr>
          <w:rFonts w:ascii="Arial" w:hAnsi="Arial" w:cs="Arial"/>
          <w:sz w:val="20"/>
          <w:lang w:val="es-ES"/>
        </w:rPr>
        <w:t>apel</w:t>
      </w:r>
      <w:r w:rsidRPr="00F13C21">
        <w:rPr>
          <w:rFonts w:ascii="Arial" w:hAnsi="Arial" w:cs="Arial"/>
          <w:sz w:val="20"/>
          <w:lang w:val="es-ES"/>
        </w:rPr>
        <w:t xml:space="preserve"> de la OMPI como fuente creíble de información y análisis basados en datos empíricos, </w:t>
      </w:r>
      <w:r>
        <w:rPr>
          <w:rFonts w:ascii="Arial" w:hAnsi="Arial" w:cs="Arial"/>
          <w:sz w:val="20"/>
          <w:lang w:val="es-ES"/>
        </w:rPr>
        <w:t>organizando con ese fin reuniones en la OMPI como foro de debate sobre esas cuestiones.</w:t>
      </w:r>
      <w:r w:rsidRPr="00F13C21">
        <w:rPr>
          <w:rFonts w:ascii="Arial" w:hAnsi="Arial" w:cs="Arial"/>
          <w:sz w:val="20"/>
          <w:lang w:val="es-ES"/>
        </w:rPr>
        <w:t xml:space="preserve"> </w:t>
      </w:r>
      <w:r>
        <w:rPr>
          <w:rFonts w:ascii="Arial" w:hAnsi="Arial" w:cs="Arial"/>
          <w:sz w:val="20"/>
          <w:lang w:val="es-ES"/>
        </w:rPr>
        <w:t xml:space="preserve"> En estrecha coordinación con el programa 20, se velará por que la OMPI, en tanto que organismo que forma parte del Sistema de las NN.UU: y en su calidad de observador en varios procesos de las NN.UU., responda de forma oportuna y eficaz a las solicitudes de información de esa índole que cursen las NN.UU., las organizaciones internacionales y los Estados miembros. </w:t>
      </w:r>
      <w:r w:rsidRPr="00F13C21">
        <w:rPr>
          <w:rFonts w:ascii="Arial" w:hAnsi="Arial" w:cs="Arial"/>
          <w:sz w:val="20"/>
          <w:lang w:val="es-ES"/>
        </w:rPr>
        <w:t xml:space="preserve">La labor se orientará en función de la pertenencia de la P.I. y la innovación para la salud mundial, el cambio climático y la seguridad alimentaria, la A.D. y la Agenda </w:t>
      </w:r>
      <w:r>
        <w:rPr>
          <w:rFonts w:ascii="Arial" w:hAnsi="Arial" w:cs="Arial"/>
          <w:sz w:val="20"/>
          <w:lang w:val="es-ES"/>
        </w:rPr>
        <w:t xml:space="preserve">de las NN.UU. </w:t>
      </w:r>
      <w:r w:rsidRPr="00F13C21">
        <w:rPr>
          <w:rFonts w:ascii="Arial" w:hAnsi="Arial" w:cs="Arial"/>
          <w:sz w:val="20"/>
          <w:lang w:val="es-ES"/>
        </w:rPr>
        <w:t xml:space="preserve">para el Desarrollo </w:t>
      </w:r>
      <w:r>
        <w:rPr>
          <w:rFonts w:ascii="Arial" w:hAnsi="Arial" w:cs="Arial"/>
          <w:sz w:val="20"/>
          <w:lang w:val="es-ES"/>
        </w:rPr>
        <w:t>después del 2015</w:t>
      </w:r>
      <w:r w:rsidRPr="00F13C21">
        <w:rPr>
          <w:rFonts w:ascii="Arial" w:hAnsi="Arial" w:cs="Arial"/>
          <w:sz w:val="20"/>
          <w:lang w:val="es-ES"/>
        </w:rPr>
        <w:t>.</w:t>
      </w:r>
    </w:p>
    <w:p w:rsidR="00236E18" w:rsidRPr="00F13C21" w:rsidRDefault="00236E18" w:rsidP="00236E18">
      <w:pPr>
        <w:jc w:val="both"/>
        <w:rPr>
          <w:sz w:val="20"/>
        </w:rPr>
      </w:pPr>
    </w:p>
    <w:p w:rsidR="00236E18" w:rsidRPr="00F13C21" w:rsidRDefault="00236E18" w:rsidP="00236E18">
      <w:pPr>
        <w:numPr>
          <w:ilvl w:val="0"/>
          <w:numId w:val="33"/>
        </w:numPr>
        <w:jc w:val="both"/>
        <w:rPr>
          <w:sz w:val="20"/>
        </w:rPr>
      </w:pPr>
      <w:r w:rsidRPr="00F13C21">
        <w:rPr>
          <w:sz w:val="20"/>
        </w:rPr>
        <w:t xml:space="preserve">Se seguirán realizando estudios sobre políticas en torno a cuestiones como la función de la P.I. y la gestión de la P.I. en la innovación, la transferencia y difusión de la tecnología para afrontar los desafíos mundiales.  Se llevarán a cabo análisis sustantivos en forma de informes y documentos que permitan comprender mejor los factores estratégicos </w:t>
      </w:r>
      <w:r>
        <w:rPr>
          <w:sz w:val="20"/>
        </w:rPr>
        <w:t>y</w:t>
      </w:r>
      <w:r w:rsidRPr="00F13C21">
        <w:rPr>
          <w:sz w:val="20"/>
        </w:rPr>
        <w:t xml:space="preserve"> de política</w:t>
      </w:r>
      <w:r>
        <w:rPr>
          <w:sz w:val="20"/>
        </w:rPr>
        <w:t xml:space="preserve"> de la innovación</w:t>
      </w:r>
      <w:r w:rsidRPr="00F13C21">
        <w:rPr>
          <w:sz w:val="20"/>
        </w:rPr>
        <w:t xml:space="preserve">;  </w:t>
      </w:r>
      <w:r>
        <w:rPr>
          <w:sz w:val="20"/>
        </w:rPr>
        <w:t xml:space="preserve">y </w:t>
      </w:r>
      <w:r w:rsidRPr="00F13C21">
        <w:rPr>
          <w:sz w:val="20"/>
        </w:rPr>
        <w:t xml:space="preserve">demuestren de manera dinámica el </w:t>
      </w:r>
      <w:r>
        <w:rPr>
          <w:sz w:val="20"/>
        </w:rPr>
        <w:t xml:space="preserve">valor de la P.I. como </w:t>
      </w:r>
      <w:r w:rsidRPr="00F13C21">
        <w:rPr>
          <w:sz w:val="20"/>
        </w:rPr>
        <w:t>herramienta</w:t>
      </w:r>
      <w:r>
        <w:rPr>
          <w:sz w:val="20"/>
        </w:rPr>
        <w:t xml:space="preserve"> de desarrollo.  Ello supone</w:t>
      </w:r>
      <w:r w:rsidRPr="00F13C21">
        <w:rPr>
          <w:sz w:val="20"/>
        </w:rPr>
        <w:t xml:space="preserve"> el intercambio de experiencias resultante</w:t>
      </w:r>
      <w:r>
        <w:rPr>
          <w:sz w:val="20"/>
        </w:rPr>
        <w:t>s</w:t>
      </w:r>
      <w:r w:rsidRPr="00F13C21">
        <w:rPr>
          <w:sz w:val="20"/>
        </w:rPr>
        <w:t xml:space="preserve"> de </w:t>
      </w:r>
      <w:r>
        <w:rPr>
          <w:sz w:val="20"/>
        </w:rPr>
        <w:t>amba</w:t>
      </w:r>
      <w:r w:rsidRPr="00F13C21">
        <w:rPr>
          <w:sz w:val="20"/>
        </w:rPr>
        <w:t>s plataformas a través de estudios de caso destinados a sensibilizar sobre las actividades del programa.</w:t>
      </w:r>
    </w:p>
    <w:p w:rsidR="00236E18" w:rsidRPr="00F13C21" w:rsidRDefault="00236E18" w:rsidP="00236E18">
      <w:pPr>
        <w:jc w:val="both"/>
        <w:rPr>
          <w:sz w:val="20"/>
        </w:rPr>
      </w:pPr>
    </w:p>
    <w:p w:rsidR="00236E18" w:rsidRPr="00F13C21" w:rsidRDefault="00236E18" w:rsidP="00236E18">
      <w:pPr>
        <w:numPr>
          <w:ilvl w:val="0"/>
          <w:numId w:val="33"/>
        </w:numPr>
        <w:jc w:val="both"/>
        <w:rPr>
          <w:sz w:val="20"/>
        </w:rPr>
      </w:pPr>
      <w:r w:rsidRPr="00F13C21">
        <w:rPr>
          <w:spacing w:val="2"/>
          <w:sz w:val="20"/>
        </w:rPr>
        <w:t xml:space="preserve">Asimismo, en respuesta a las solicitudes de los Estados miembros, las OIG, la sociedad civil y demás partes interesadas, el programa presentará contribuciones, cuando proceda, en los foros relacionados con las cuestiones fundamentales abordadas en el programa.  La participación constructiva de la OMPI en los debates pertinentes de política pública brinda apoyo a otros actores y contribuye a que la OMPI sea el foro y la referencia en materia de P.I., </w:t>
      </w:r>
      <w:r>
        <w:rPr>
          <w:spacing w:val="2"/>
          <w:sz w:val="20"/>
        </w:rPr>
        <w:t>habida cuenta de</w:t>
      </w:r>
      <w:r w:rsidRPr="00F13C21">
        <w:rPr>
          <w:spacing w:val="2"/>
          <w:sz w:val="20"/>
        </w:rPr>
        <w:t xml:space="preserve"> que aborda cuestiones mundiales de política pública</w:t>
      </w:r>
      <w:r w:rsidRPr="00F13C21">
        <w:rPr>
          <w:sz w:val="20"/>
        </w:rPr>
        <w:t>.  Una parte fundamental de ese objetivo es la exitosa colaboración trilateral que se entablado en el marco del programa con la Organización Mundial de la Salud (OMS) y la Organización Mundial del Comercio (OMC).</w:t>
      </w:r>
    </w:p>
    <w:p w:rsidR="00236E18" w:rsidRPr="00F13C21" w:rsidRDefault="00236E18" w:rsidP="00236E18">
      <w:pPr>
        <w:rPr>
          <w:sz w:val="20"/>
        </w:rPr>
      </w:pPr>
    </w:p>
    <w:p w:rsidR="00236E18" w:rsidRPr="00E33FD1" w:rsidRDefault="00236E18" w:rsidP="00236E18">
      <w:pPr>
        <w:rPr>
          <w:sz w:val="20"/>
          <w:u w:val="single"/>
        </w:rPr>
      </w:pPr>
      <w:r w:rsidRPr="00FD2351">
        <w:rPr>
          <w:sz w:val="20"/>
          <w:u w:val="single"/>
        </w:rPr>
        <w:t xml:space="preserve">Potenciar las capacidades de los recursos humanos </w:t>
      </w:r>
      <w:r>
        <w:rPr>
          <w:sz w:val="20"/>
          <w:u w:val="single"/>
        </w:rPr>
        <w:t>en lo que respecta a</w:t>
      </w:r>
      <w:r w:rsidRPr="00FD2351">
        <w:rPr>
          <w:sz w:val="20"/>
          <w:u w:val="single"/>
        </w:rPr>
        <w:t xml:space="preserve"> las relaciones entre los desafíos mundiales, la innovación y la transferencia de tecnología</w:t>
      </w:r>
      <w:r w:rsidRPr="00E33FD1">
        <w:rPr>
          <w:sz w:val="20"/>
          <w:u w:val="single"/>
        </w:rPr>
        <w:t xml:space="preserve">  </w:t>
      </w:r>
    </w:p>
    <w:p w:rsidR="00236E18" w:rsidRPr="00F13C21" w:rsidRDefault="00236E18" w:rsidP="00236E18">
      <w:pPr>
        <w:rPr>
          <w:sz w:val="20"/>
          <w:u w:val="single"/>
        </w:rPr>
      </w:pPr>
    </w:p>
    <w:p w:rsidR="00236E18" w:rsidRPr="007F0AB4" w:rsidRDefault="00236E18" w:rsidP="00236E18">
      <w:pPr>
        <w:numPr>
          <w:ilvl w:val="0"/>
          <w:numId w:val="33"/>
        </w:numPr>
        <w:jc w:val="both"/>
        <w:rPr>
          <w:sz w:val="20"/>
          <w:lang w:val="es-ES_tradnl"/>
        </w:rPr>
      </w:pPr>
      <w:r w:rsidRPr="00F13C21">
        <w:rPr>
          <w:sz w:val="20"/>
        </w:rPr>
        <w:t>Un aspecto fundamental de esta labor será la determinación de posibles sinergias con otros programas de la OMPI.  Por ejemplo, a medida que las plataformas sustantivas vayan desarrollándose</w:t>
      </w:r>
      <w:r>
        <w:rPr>
          <w:sz w:val="20"/>
        </w:rPr>
        <w:t>,</w:t>
      </w:r>
      <w:r w:rsidRPr="00F13C21">
        <w:rPr>
          <w:sz w:val="20"/>
        </w:rPr>
        <w:t xml:space="preserve"> podrán servir cada vez más como puntos de entrada que permitan a las instituciones de los países en desarrollo acceder a toda una gama de servicios y programas de formación pertinentes de la OMPI y</w:t>
      </w:r>
      <w:r>
        <w:rPr>
          <w:sz w:val="20"/>
        </w:rPr>
        <w:t>,</w:t>
      </w:r>
      <w:r w:rsidRPr="00F13C21">
        <w:rPr>
          <w:sz w:val="20"/>
        </w:rPr>
        <w:t xml:space="preserve"> por ende</w:t>
      </w:r>
      <w:r>
        <w:rPr>
          <w:sz w:val="20"/>
        </w:rPr>
        <w:t>,</w:t>
      </w:r>
      <w:r w:rsidRPr="00F13C21">
        <w:rPr>
          <w:sz w:val="20"/>
        </w:rPr>
        <w:t xml:space="preserve"> a informaciones técnicas sobre la P.I. (p. ej. bases de datos sobre patentes).  Los proyectos que se financian con fondos fiduciarios se mantendrán y se basarán en los logros conseguidos en los bienios anteriores.</w:t>
      </w:r>
    </w:p>
    <w:p w:rsidR="00236E18" w:rsidRPr="004252B2" w:rsidRDefault="00236E18" w:rsidP="00236E18">
      <w:pPr>
        <w:jc w:val="both"/>
        <w:rPr>
          <w:sz w:val="20"/>
          <w:lang w:val="es-ES_tradnl"/>
        </w:rPr>
      </w:pPr>
    </w:p>
    <w:p w:rsidR="00236E18" w:rsidRPr="004252B2" w:rsidRDefault="00236E18" w:rsidP="00236E18">
      <w:pPr>
        <w:numPr>
          <w:ilvl w:val="0"/>
          <w:numId w:val="33"/>
        </w:numPr>
        <w:jc w:val="both"/>
        <w:rPr>
          <w:sz w:val="20"/>
        </w:rPr>
      </w:pPr>
      <w:r>
        <w:rPr>
          <w:sz w:val="20"/>
        </w:rPr>
        <w:t>El p</w:t>
      </w:r>
      <w:r w:rsidRPr="004252B2">
        <w:rPr>
          <w:sz w:val="20"/>
        </w:rPr>
        <w:t>rogram</w:t>
      </w:r>
      <w:r>
        <w:rPr>
          <w:sz w:val="20"/>
        </w:rPr>
        <w:t>a</w:t>
      </w:r>
      <w:r w:rsidRPr="004252B2">
        <w:rPr>
          <w:sz w:val="20"/>
        </w:rPr>
        <w:t xml:space="preserve"> 18 colabora</w:t>
      </w:r>
      <w:r>
        <w:rPr>
          <w:sz w:val="20"/>
        </w:rPr>
        <w:t xml:space="preserve"> principalmente con los programas siguientes:</w:t>
      </w:r>
    </w:p>
    <w:p w:rsidR="00236E18" w:rsidRPr="00984EFC" w:rsidRDefault="00236E18" w:rsidP="00236E18">
      <w:pPr>
        <w:tabs>
          <w:tab w:val="left" w:pos="567"/>
          <w:tab w:val="left" w:pos="1985"/>
        </w:tabs>
        <w:jc w:val="both"/>
        <w:rPr>
          <w:bCs/>
          <w:sz w:val="20"/>
          <w:lang w:val="es-ES_tradnl"/>
        </w:rPr>
      </w:pPr>
    </w:p>
    <w:p w:rsidR="00236E18" w:rsidRPr="00F13C21" w:rsidRDefault="00236E18" w:rsidP="00236E18">
      <w:pPr>
        <w:tabs>
          <w:tab w:val="left" w:pos="567"/>
          <w:tab w:val="left" w:pos="1985"/>
        </w:tabs>
        <w:jc w:val="both"/>
        <w:rPr>
          <w:bCs/>
          <w:sz w:val="20"/>
        </w:rPr>
      </w:pPr>
      <w:r w:rsidRPr="00F13C21">
        <w:rPr>
          <w:noProof/>
          <w:lang w:val="en-US" w:eastAsia="en-US"/>
        </w:rPr>
        <w:drawing>
          <wp:inline distT="0" distB="0" distL="0" distR="0" wp14:anchorId="5F4146A1" wp14:editId="663F89E5">
            <wp:extent cx="5943600" cy="1413040"/>
            <wp:effectExtent l="0" t="0" r="19050" b="0"/>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1" r:lo="rId172" r:qs="rId173" r:cs="rId174"/>
              </a:graphicData>
            </a:graphic>
          </wp:inline>
        </w:drawing>
      </w:r>
    </w:p>
    <w:p w:rsidR="00236E18" w:rsidRPr="00F13C21" w:rsidRDefault="00236E18" w:rsidP="00236E18">
      <w:pPr>
        <w:tabs>
          <w:tab w:val="left" w:pos="567"/>
          <w:tab w:val="left" w:pos="1985"/>
        </w:tabs>
        <w:jc w:val="both"/>
        <w:rPr>
          <w:bCs/>
          <w:sz w:val="20"/>
        </w:rPr>
      </w:pPr>
    </w:p>
    <w:p w:rsidR="00236E18" w:rsidRDefault="00236E18" w:rsidP="00236E18">
      <w:pPr>
        <w:rPr>
          <w:bCs/>
          <w:sz w:val="20"/>
        </w:rPr>
      </w:pPr>
      <w:r>
        <w:rPr>
          <w:bCs/>
          <w:sz w:val="20"/>
        </w:rPr>
        <w:br w:type="page"/>
      </w:r>
    </w:p>
    <w:p w:rsidR="00236E18" w:rsidRPr="00F13C21" w:rsidRDefault="00236E18" w:rsidP="00236E18">
      <w:pPr>
        <w:tabs>
          <w:tab w:val="left" w:pos="567"/>
          <w:tab w:val="left" w:pos="1985"/>
        </w:tabs>
        <w:jc w:val="both"/>
        <w:rPr>
          <w:bCs/>
          <w:sz w:val="20"/>
        </w:rPr>
      </w:pPr>
    </w:p>
    <w:p w:rsidR="00236E18" w:rsidRPr="00027F4F" w:rsidRDefault="00236E18" w:rsidP="00236E18">
      <w:pPr>
        <w:tabs>
          <w:tab w:val="left" w:pos="567"/>
          <w:tab w:val="left" w:pos="1985"/>
        </w:tabs>
        <w:jc w:val="both"/>
        <w:rPr>
          <w:bCs/>
          <w:szCs w:val="22"/>
          <w:lang w:val="es-ES_tradnl"/>
        </w:rPr>
      </w:pPr>
      <w:r w:rsidRPr="00027F4F">
        <w:rPr>
          <w:bCs/>
          <w:szCs w:val="22"/>
          <w:lang w:val="es-ES_tradnl"/>
        </w:rPr>
        <w:t>PRINCIPALES RIESGOS Y ESTRATEGIAS DE MITIGACIÓN</w:t>
      </w:r>
    </w:p>
    <w:p w:rsidR="00236E18" w:rsidRPr="00F13C21" w:rsidRDefault="00236E18" w:rsidP="00236E18">
      <w:pPr>
        <w:rPr>
          <w:sz w:val="16"/>
          <w:szCs w:val="16"/>
          <w:lang w:val="es-ES_tradnl"/>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236E18" w:rsidRPr="00F13C21" w:rsidTr="00294272">
        <w:trPr>
          <w:trHeight w:val="577"/>
        </w:trPr>
        <w:tc>
          <w:tcPr>
            <w:tcW w:w="4111" w:type="dxa"/>
            <w:tcBorders>
              <w:top w:val="single" w:sz="4" w:space="0" w:color="auto"/>
              <w:bottom w:val="single" w:sz="4" w:space="0" w:color="auto"/>
            </w:tcBorders>
            <w:shd w:val="clear" w:color="auto" w:fill="C6D9F1"/>
            <w:vAlign w:val="center"/>
          </w:tcPr>
          <w:p w:rsidR="00236E18" w:rsidRPr="00F13C21" w:rsidRDefault="00236E18" w:rsidP="00294272">
            <w:pPr>
              <w:jc w:val="center"/>
              <w:rPr>
                <w:b/>
                <w:bCs/>
                <w:sz w:val="18"/>
                <w:szCs w:val="18"/>
              </w:rPr>
            </w:pPr>
            <w:r w:rsidRPr="00F13C21">
              <w:rPr>
                <w:b/>
                <w:bCs/>
                <w:color w:val="000000"/>
                <w:sz w:val="18"/>
                <w:szCs w:val="18"/>
                <w:lang w:val="es-ES_tradnl"/>
              </w:rPr>
              <w:t>Riesgo</w:t>
            </w:r>
          </w:p>
        </w:tc>
        <w:tc>
          <w:tcPr>
            <w:tcW w:w="5103" w:type="dxa"/>
            <w:tcBorders>
              <w:top w:val="single" w:sz="4" w:space="0" w:color="auto"/>
              <w:bottom w:val="single" w:sz="4" w:space="0" w:color="auto"/>
            </w:tcBorders>
            <w:shd w:val="clear" w:color="auto" w:fill="C6D9F1"/>
            <w:vAlign w:val="center"/>
          </w:tcPr>
          <w:p w:rsidR="00236E18" w:rsidRPr="00F13C21" w:rsidRDefault="00236E18" w:rsidP="00294272">
            <w:pPr>
              <w:jc w:val="center"/>
              <w:rPr>
                <w:b/>
                <w:bCs/>
                <w:sz w:val="18"/>
                <w:szCs w:val="18"/>
              </w:rPr>
            </w:pPr>
            <w:r w:rsidRPr="00027F4F">
              <w:rPr>
                <w:b/>
                <w:bCs/>
                <w:sz w:val="18"/>
                <w:szCs w:val="18"/>
              </w:rPr>
              <w:t>Mitigación</w:t>
            </w:r>
          </w:p>
        </w:tc>
      </w:tr>
      <w:tr w:rsidR="00236E18" w:rsidRPr="009573A5" w:rsidTr="00294272">
        <w:trPr>
          <w:trHeight w:val="147"/>
        </w:trPr>
        <w:tc>
          <w:tcPr>
            <w:tcW w:w="4111" w:type="dxa"/>
            <w:tcBorders>
              <w:top w:val="single" w:sz="4" w:space="0" w:color="auto"/>
            </w:tcBorders>
            <w:shd w:val="clear" w:color="auto" w:fill="auto"/>
            <w:tcMar>
              <w:top w:w="113" w:type="dxa"/>
              <w:bottom w:w="113" w:type="dxa"/>
            </w:tcMar>
          </w:tcPr>
          <w:p w:rsidR="00236E18" w:rsidRPr="00F13C21" w:rsidRDefault="00236E18" w:rsidP="00294272">
            <w:pPr>
              <w:rPr>
                <w:sz w:val="16"/>
                <w:szCs w:val="16"/>
              </w:rPr>
            </w:pPr>
            <w:r w:rsidRPr="00F13C21">
              <w:rPr>
                <w:color w:val="000000"/>
                <w:sz w:val="16"/>
                <w:szCs w:val="16"/>
              </w:rPr>
              <w:t xml:space="preserve">La falta de compromiso por parte de los miembros o asociados con respecto a </w:t>
            </w:r>
            <w:r w:rsidRPr="004252B2">
              <w:rPr>
                <w:i/>
                <w:color w:val="000000"/>
                <w:sz w:val="16"/>
                <w:szCs w:val="16"/>
              </w:rPr>
              <w:t xml:space="preserve">WIPO </w:t>
            </w:r>
            <w:proofErr w:type="spellStart"/>
            <w:r w:rsidRPr="004252B2">
              <w:rPr>
                <w:i/>
                <w:color w:val="000000"/>
                <w:sz w:val="16"/>
                <w:szCs w:val="16"/>
              </w:rPr>
              <w:t>Re</w:t>
            </w:r>
            <w:proofErr w:type="gramStart"/>
            <w:r w:rsidRPr="004252B2">
              <w:rPr>
                <w:i/>
                <w:color w:val="000000"/>
                <w:sz w:val="16"/>
                <w:szCs w:val="16"/>
              </w:rPr>
              <w:t>:Search</w:t>
            </w:r>
            <w:proofErr w:type="spellEnd"/>
            <w:proofErr w:type="gramEnd"/>
            <w:r w:rsidRPr="00F13C21">
              <w:rPr>
                <w:color w:val="000000"/>
                <w:sz w:val="16"/>
                <w:szCs w:val="16"/>
              </w:rPr>
              <w:t xml:space="preserve"> y </w:t>
            </w:r>
            <w:r w:rsidRPr="004252B2">
              <w:rPr>
                <w:i/>
                <w:color w:val="000000"/>
                <w:sz w:val="16"/>
                <w:szCs w:val="16"/>
              </w:rPr>
              <w:t>WIPO GREEN</w:t>
            </w:r>
            <w:r w:rsidRPr="00F13C21">
              <w:rPr>
                <w:color w:val="000000"/>
                <w:sz w:val="16"/>
                <w:szCs w:val="16"/>
              </w:rPr>
              <w:t xml:space="preserve"> podría dar lugar a contribuciones insuficientes, lo que restaría credibilidad a las plataformas.</w:t>
            </w:r>
            <w:r w:rsidRPr="00F13C21" w:rsidDel="008D4CE6">
              <w:rPr>
                <w:color w:val="000000"/>
                <w:sz w:val="16"/>
                <w:szCs w:val="16"/>
              </w:rPr>
              <w:t xml:space="preserve"> </w:t>
            </w:r>
          </w:p>
        </w:tc>
        <w:tc>
          <w:tcPr>
            <w:tcW w:w="5103" w:type="dxa"/>
            <w:tcBorders>
              <w:top w:val="single" w:sz="4" w:space="0" w:color="auto"/>
            </w:tcBorders>
            <w:shd w:val="clear" w:color="auto" w:fill="auto"/>
            <w:tcMar>
              <w:top w:w="113" w:type="dxa"/>
              <w:bottom w:w="113" w:type="dxa"/>
            </w:tcMar>
          </w:tcPr>
          <w:p w:rsidR="00236E18" w:rsidRPr="00F13C21" w:rsidRDefault="00236E18" w:rsidP="00294272">
            <w:pPr>
              <w:spacing w:line="276" w:lineRule="auto"/>
              <w:rPr>
                <w:color w:val="000000"/>
                <w:sz w:val="16"/>
                <w:szCs w:val="16"/>
              </w:rPr>
            </w:pPr>
            <w:r w:rsidRPr="004252B2">
              <w:rPr>
                <w:i/>
                <w:color w:val="000000"/>
                <w:sz w:val="16"/>
                <w:szCs w:val="16"/>
              </w:rPr>
              <w:t xml:space="preserve">WIPO </w:t>
            </w:r>
            <w:proofErr w:type="spellStart"/>
            <w:r w:rsidRPr="004252B2">
              <w:rPr>
                <w:i/>
                <w:color w:val="000000"/>
                <w:sz w:val="16"/>
                <w:szCs w:val="16"/>
              </w:rPr>
              <w:t>Re</w:t>
            </w:r>
            <w:proofErr w:type="gramStart"/>
            <w:r w:rsidRPr="004252B2">
              <w:rPr>
                <w:i/>
                <w:color w:val="000000"/>
                <w:sz w:val="16"/>
                <w:szCs w:val="16"/>
              </w:rPr>
              <w:t>:Search</w:t>
            </w:r>
            <w:proofErr w:type="spellEnd"/>
            <w:proofErr w:type="gramEnd"/>
            <w:r w:rsidRPr="00F13C21">
              <w:rPr>
                <w:color w:val="000000"/>
                <w:sz w:val="16"/>
                <w:szCs w:val="16"/>
              </w:rPr>
              <w:t>:  dedicar más esfuerzos a la potenciación de los recursos y las actividades del Centro de vínculos de cooperación.</w:t>
            </w:r>
          </w:p>
          <w:p w:rsidR="00236E18" w:rsidRPr="00F13C21" w:rsidRDefault="00236E18" w:rsidP="00294272">
            <w:pPr>
              <w:rPr>
                <w:color w:val="000000"/>
                <w:sz w:val="8"/>
                <w:szCs w:val="8"/>
              </w:rPr>
            </w:pPr>
          </w:p>
          <w:p w:rsidR="00236E18" w:rsidRPr="00F13C21" w:rsidRDefault="00236E18" w:rsidP="00294272">
            <w:pPr>
              <w:rPr>
                <w:sz w:val="16"/>
                <w:szCs w:val="16"/>
              </w:rPr>
            </w:pPr>
            <w:r w:rsidRPr="004252B2">
              <w:rPr>
                <w:i/>
                <w:color w:val="000000"/>
                <w:sz w:val="16"/>
                <w:szCs w:val="16"/>
              </w:rPr>
              <w:t>WIPO GREEN</w:t>
            </w:r>
            <w:proofErr w:type="gramStart"/>
            <w:r w:rsidRPr="00F13C21">
              <w:rPr>
                <w:color w:val="000000"/>
                <w:sz w:val="16"/>
                <w:szCs w:val="16"/>
              </w:rPr>
              <w:t>:  asegurar</w:t>
            </w:r>
            <w:proofErr w:type="gramEnd"/>
            <w:r w:rsidRPr="00F13C21">
              <w:rPr>
                <w:color w:val="000000"/>
                <w:sz w:val="16"/>
                <w:szCs w:val="16"/>
              </w:rPr>
              <w:t xml:space="preserve"> que los servicios prestados se ajusten a las necesidades de los clientes, que las actividades de marketing sean eficaces y que se mantenga una estrecha colaboración con los asociados/partes interesadas actuales. </w:t>
            </w:r>
          </w:p>
        </w:tc>
      </w:tr>
    </w:tbl>
    <w:p w:rsidR="00236E18" w:rsidRPr="00F13C21" w:rsidRDefault="00236E18" w:rsidP="00236E18">
      <w:pPr>
        <w:tabs>
          <w:tab w:val="left" w:pos="567"/>
          <w:tab w:val="left" w:pos="1985"/>
        </w:tabs>
        <w:jc w:val="both"/>
        <w:rPr>
          <w:bCs/>
        </w:rPr>
      </w:pPr>
    </w:p>
    <w:p w:rsidR="00236E18" w:rsidRPr="00F13C21" w:rsidRDefault="00236E18" w:rsidP="00236E18">
      <w:pPr>
        <w:tabs>
          <w:tab w:val="left" w:pos="567"/>
          <w:tab w:val="left" w:pos="1985"/>
        </w:tabs>
        <w:jc w:val="both"/>
        <w:rPr>
          <w:bCs/>
        </w:rPr>
      </w:pPr>
    </w:p>
    <w:p w:rsidR="00236E18" w:rsidRPr="00027F4F" w:rsidRDefault="00236E18" w:rsidP="00236E18">
      <w:pPr>
        <w:keepNext/>
        <w:keepLines/>
        <w:tabs>
          <w:tab w:val="left" w:pos="567"/>
          <w:tab w:val="left" w:pos="1985"/>
        </w:tabs>
        <w:jc w:val="both"/>
        <w:rPr>
          <w:bCs/>
        </w:rPr>
      </w:pPr>
      <w:r w:rsidRPr="00027F4F">
        <w:rPr>
          <w:bCs/>
          <w:lang w:val="es-ES_tradnl"/>
        </w:rPr>
        <w:t>MARCO DE RESULTADOS</w:t>
      </w:r>
    </w:p>
    <w:p w:rsidR="00236E18" w:rsidRPr="00F13C21" w:rsidRDefault="00236E18" w:rsidP="00236E18">
      <w:pPr>
        <w:keepNext/>
        <w:keepLines/>
        <w:tabs>
          <w:tab w:val="left" w:pos="567"/>
          <w:tab w:val="left" w:pos="1985"/>
        </w:tabs>
        <w:jc w:val="both"/>
        <w:rPr>
          <w:bCs/>
          <w:sz w:val="20"/>
        </w:rPr>
      </w:pPr>
    </w:p>
    <w:tbl>
      <w:tblPr>
        <w:tblW w:w="9260" w:type="dxa"/>
        <w:tblInd w:w="93" w:type="dxa"/>
        <w:tblLook w:val="04A0" w:firstRow="1" w:lastRow="0" w:firstColumn="1" w:lastColumn="0" w:noHBand="0" w:noVBand="1"/>
      </w:tblPr>
      <w:tblGrid>
        <w:gridCol w:w="2340"/>
        <w:gridCol w:w="2380"/>
        <w:gridCol w:w="2520"/>
        <w:gridCol w:w="2020"/>
      </w:tblGrid>
      <w:tr w:rsidR="00236E18" w:rsidRPr="00F13C21" w:rsidTr="00294272">
        <w:trPr>
          <w:trHeight w:val="675"/>
          <w:tblHeader/>
        </w:trPr>
        <w:tc>
          <w:tcPr>
            <w:tcW w:w="2340" w:type="dxa"/>
            <w:tcBorders>
              <w:top w:val="single" w:sz="4" w:space="0" w:color="auto"/>
              <w:left w:val="single" w:sz="4" w:space="0" w:color="auto"/>
              <w:bottom w:val="single" w:sz="4" w:space="0" w:color="auto"/>
              <w:right w:val="nil"/>
            </w:tcBorders>
            <w:shd w:val="clear" w:color="auto" w:fill="C6D9F1"/>
            <w:vAlign w:val="center"/>
            <w:hideMark/>
          </w:tcPr>
          <w:p w:rsidR="00236E18" w:rsidRPr="00F13C21" w:rsidRDefault="00236E18" w:rsidP="00294272">
            <w:pPr>
              <w:jc w:val="center"/>
              <w:rPr>
                <w:b/>
                <w:bCs/>
                <w:color w:val="000000"/>
                <w:sz w:val="18"/>
                <w:szCs w:val="18"/>
              </w:rPr>
            </w:pPr>
            <w:r w:rsidRPr="00F13C21">
              <w:rPr>
                <w:b/>
                <w:bCs/>
                <w:color w:val="000000"/>
                <w:sz w:val="18"/>
                <w:szCs w:val="18"/>
                <w:lang w:val="es-ES_tradnl"/>
              </w:rPr>
              <w:t>Resultados previstos</w:t>
            </w:r>
          </w:p>
        </w:tc>
        <w:tc>
          <w:tcPr>
            <w:tcW w:w="2380" w:type="dxa"/>
            <w:tcBorders>
              <w:top w:val="single" w:sz="4" w:space="0" w:color="auto"/>
              <w:left w:val="nil"/>
              <w:bottom w:val="single" w:sz="4" w:space="0" w:color="auto"/>
              <w:right w:val="nil"/>
            </w:tcBorders>
            <w:shd w:val="clear" w:color="auto" w:fill="C6D9F1"/>
            <w:vAlign w:val="center"/>
            <w:hideMark/>
          </w:tcPr>
          <w:p w:rsidR="00236E18" w:rsidRPr="00F13C21" w:rsidRDefault="00236E18" w:rsidP="00294272">
            <w:pPr>
              <w:jc w:val="center"/>
              <w:rPr>
                <w:b/>
                <w:bCs/>
                <w:color w:val="000000"/>
                <w:sz w:val="18"/>
                <w:szCs w:val="18"/>
              </w:rPr>
            </w:pPr>
            <w:r w:rsidRPr="00F13C21">
              <w:rPr>
                <w:b/>
                <w:bCs/>
                <w:color w:val="000000"/>
                <w:sz w:val="18"/>
                <w:szCs w:val="18"/>
                <w:lang w:val="es-ES_tradnl"/>
              </w:rPr>
              <w:t>Indicadores de rendimiento</w:t>
            </w:r>
          </w:p>
        </w:tc>
        <w:tc>
          <w:tcPr>
            <w:tcW w:w="2520" w:type="dxa"/>
            <w:tcBorders>
              <w:top w:val="single" w:sz="4" w:space="0" w:color="auto"/>
              <w:left w:val="nil"/>
              <w:bottom w:val="single" w:sz="4" w:space="0" w:color="auto"/>
              <w:right w:val="nil"/>
            </w:tcBorders>
            <w:shd w:val="clear" w:color="auto" w:fill="C6D9F1"/>
            <w:vAlign w:val="center"/>
            <w:hideMark/>
          </w:tcPr>
          <w:p w:rsidR="00236E18" w:rsidRPr="00F13C21" w:rsidRDefault="00236E18" w:rsidP="00294272">
            <w:pPr>
              <w:jc w:val="center"/>
              <w:rPr>
                <w:b/>
                <w:bCs/>
                <w:color w:val="000000"/>
                <w:sz w:val="18"/>
                <w:szCs w:val="18"/>
              </w:rPr>
            </w:pPr>
            <w:r w:rsidRPr="00F13C21">
              <w:rPr>
                <w:b/>
                <w:bCs/>
                <w:color w:val="000000"/>
                <w:sz w:val="18"/>
                <w:szCs w:val="18"/>
                <w:lang w:val="es-ES_tradnl"/>
              </w:rPr>
              <w:t>Referencia</w:t>
            </w:r>
          </w:p>
        </w:tc>
        <w:tc>
          <w:tcPr>
            <w:tcW w:w="2020" w:type="dxa"/>
            <w:tcBorders>
              <w:top w:val="single" w:sz="4" w:space="0" w:color="auto"/>
              <w:left w:val="nil"/>
              <w:bottom w:val="single" w:sz="4" w:space="0" w:color="auto"/>
              <w:right w:val="single" w:sz="4" w:space="0" w:color="auto"/>
            </w:tcBorders>
            <w:shd w:val="clear" w:color="auto" w:fill="C6D9F1"/>
            <w:vAlign w:val="center"/>
            <w:hideMark/>
          </w:tcPr>
          <w:p w:rsidR="00236E18" w:rsidRPr="00F13C21" w:rsidRDefault="00236E18" w:rsidP="00294272">
            <w:pPr>
              <w:jc w:val="center"/>
              <w:rPr>
                <w:b/>
                <w:bCs/>
                <w:color w:val="000000"/>
                <w:sz w:val="18"/>
                <w:szCs w:val="18"/>
              </w:rPr>
            </w:pPr>
            <w:r w:rsidRPr="00F13C21">
              <w:rPr>
                <w:b/>
                <w:bCs/>
                <w:color w:val="000000"/>
                <w:sz w:val="18"/>
                <w:szCs w:val="18"/>
                <w:lang w:val="es-ES_tradnl"/>
              </w:rPr>
              <w:t>Objetivos</w:t>
            </w:r>
          </w:p>
        </w:tc>
      </w:tr>
      <w:tr w:rsidR="00236E18" w:rsidRPr="009573A5" w:rsidTr="00294272">
        <w:trPr>
          <w:trHeight w:val="2384"/>
        </w:trPr>
        <w:tc>
          <w:tcPr>
            <w:tcW w:w="2340" w:type="dxa"/>
            <w:tcBorders>
              <w:top w:val="nil"/>
              <w:left w:val="single" w:sz="4" w:space="0" w:color="auto"/>
              <w:right w:val="nil"/>
            </w:tcBorders>
            <w:shd w:val="clear" w:color="000000" w:fill="FFFFFF"/>
            <w:hideMark/>
          </w:tcPr>
          <w:p w:rsidR="00236E18" w:rsidRPr="00216424" w:rsidRDefault="00236E18" w:rsidP="00294272">
            <w:pPr>
              <w:rPr>
                <w:sz w:val="16"/>
                <w:szCs w:val="16"/>
                <w:lang w:val="es-ES_tradnl"/>
              </w:rPr>
            </w:pPr>
            <w:r w:rsidRPr="00216424">
              <w:rPr>
                <w:sz w:val="16"/>
                <w:szCs w:val="16"/>
                <w:lang w:val="es-ES_tradnl"/>
              </w:rPr>
              <w:br/>
              <w:t>I.2  Marcos de P.I. adaptados y equilibrados en el ámbito legislativo, regulador y de política</w:t>
            </w:r>
          </w:p>
          <w:p w:rsidR="00236E18" w:rsidRPr="00216424" w:rsidRDefault="00236E18" w:rsidP="00294272">
            <w:pPr>
              <w:rPr>
                <w:sz w:val="16"/>
                <w:szCs w:val="16"/>
                <w:lang w:val="es-ES_tradnl"/>
              </w:rPr>
            </w:pPr>
          </w:p>
          <w:p w:rsidR="00236E18" w:rsidRDefault="00236E18" w:rsidP="00294272">
            <w:pPr>
              <w:rPr>
                <w:sz w:val="16"/>
                <w:szCs w:val="16"/>
                <w:lang w:val="es-ES_tradnl"/>
              </w:rPr>
            </w:pPr>
          </w:p>
          <w:p w:rsidR="00236E18" w:rsidRDefault="00236E18" w:rsidP="00294272">
            <w:pPr>
              <w:rPr>
                <w:sz w:val="16"/>
                <w:szCs w:val="16"/>
                <w:lang w:val="es-ES_tradnl"/>
              </w:rPr>
            </w:pPr>
          </w:p>
          <w:p w:rsidR="00236E18" w:rsidRDefault="00236E18" w:rsidP="00294272">
            <w:pPr>
              <w:rPr>
                <w:sz w:val="16"/>
                <w:szCs w:val="16"/>
                <w:lang w:val="es-ES_tradnl"/>
              </w:rPr>
            </w:pPr>
          </w:p>
          <w:p w:rsidR="00236E18" w:rsidRDefault="00236E18" w:rsidP="00294272">
            <w:pPr>
              <w:rPr>
                <w:sz w:val="16"/>
                <w:szCs w:val="16"/>
                <w:lang w:val="es-ES_tradnl"/>
              </w:rPr>
            </w:pPr>
          </w:p>
          <w:p w:rsidR="00236E18" w:rsidRDefault="00236E18" w:rsidP="00294272">
            <w:pPr>
              <w:rPr>
                <w:sz w:val="16"/>
                <w:szCs w:val="16"/>
                <w:lang w:val="es-ES_tradnl"/>
              </w:rPr>
            </w:pPr>
          </w:p>
          <w:p w:rsidR="00236E18" w:rsidRDefault="00236E18" w:rsidP="00294272">
            <w:pPr>
              <w:rPr>
                <w:sz w:val="16"/>
                <w:szCs w:val="16"/>
                <w:lang w:val="es-ES_tradnl"/>
              </w:rPr>
            </w:pPr>
          </w:p>
          <w:p w:rsidR="00236E18" w:rsidRDefault="00236E18" w:rsidP="00294272">
            <w:pPr>
              <w:rPr>
                <w:sz w:val="16"/>
                <w:szCs w:val="16"/>
                <w:lang w:val="es-ES_tradnl"/>
              </w:rPr>
            </w:pPr>
          </w:p>
          <w:p w:rsidR="00236E18" w:rsidRDefault="00236E18" w:rsidP="00294272">
            <w:pPr>
              <w:rPr>
                <w:sz w:val="16"/>
                <w:szCs w:val="16"/>
                <w:lang w:val="es-ES_tradnl"/>
              </w:rPr>
            </w:pPr>
          </w:p>
          <w:p w:rsidR="00236E18" w:rsidRDefault="00236E18" w:rsidP="00294272">
            <w:pPr>
              <w:rPr>
                <w:sz w:val="16"/>
                <w:szCs w:val="16"/>
                <w:lang w:val="es-ES_tradnl"/>
              </w:rPr>
            </w:pPr>
          </w:p>
          <w:p w:rsidR="00236E18" w:rsidRPr="00216424" w:rsidRDefault="00236E18" w:rsidP="00294272">
            <w:pPr>
              <w:rPr>
                <w:sz w:val="16"/>
                <w:szCs w:val="16"/>
                <w:lang w:val="es-ES_tradnl"/>
              </w:rPr>
            </w:pPr>
          </w:p>
          <w:p w:rsidR="00236E18" w:rsidRPr="00216424" w:rsidRDefault="00236E18" w:rsidP="00294272">
            <w:pPr>
              <w:rPr>
                <w:sz w:val="16"/>
                <w:szCs w:val="16"/>
                <w:lang w:val="es-ES_tradnl"/>
              </w:rPr>
            </w:pPr>
            <w:r w:rsidRPr="00216424">
              <w:rPr>
                <w:sz w:val="16"/>
                <w:szCs w:val="16"/>
                <w:lang w:val="es-ES_tradnl"/>
              </w:rPr>
              <w:t>III.2 Aumento de las capacidades en recursos humanos para hacer frente a la gran diversidad de exigencias que supone la utilización eficaz de la P.I. para fomentar el desarrollo en los países en desarrollo, PMA y países con economías en transición</w:t>
            </w:r>
          </w:p>
        </w:tc>
        <w:tc>
          <w:tcPr>
            <w:tcW w:w="2380" w:type="dxa"/>
            <w:tcBorders>
              <w:top w:val="nil"/>
              <w:left w:val="nil"/>
              <w:right w:val="nil"/>
            </w:tcBorders>
            <w:shd w:val="clear" w:color="000000" w:fill="FFFFFF"/>
            <w:hideMark/>
          </w:tcPr>
          <w:p w:rsidR="00236E18" w:rsidRDefault="00236E18" w:rsidP="00294272">
            <w:pPr>
              <w:rPr>
                <w:sz w:val="16"/>
                <w:szCs w:val="16"/>
              </w:rPr>
            </w:pPr>
            <w:r w:rsidRPr="00F13C21">
              <w:rPr>
                <w:color w:val="000000"/>
                <w:sz w:val="16"/>
                <w:szCs w:val="16"/>
              </w:rPr>
              <w:br/>
            </w:r>
            <w:r>
              <w:rPr>
                <w:sz w:val="16"/>
                <w:szCs w:val="16"/>
              </w:rPr>
              <w:t>Número de países que han solicitado una contribución específica de P.I. con respecto a cuestiones relativas a la política en materia de competencia</w:t>
            </w:r>
          </w:p>
          <w:p w:rsidR="00236E18" w:rsidRDefault="00236E18" w:rsidP="00294272">
            <w:pPr>
              <w:rPr>
                <w:sz w:val="16"/>
                <w:szCs w:val="16"/>
              </w:rPr>
            </w:pPr>
          </w:p>
          <w:p w:rsidR="00236E18" w:rsidRDefault="00236E18" w:rsidP="00294272">
            <w:pPr>
              <w:ind w:left="59"/>
              <w:rPr>
                <w:sz w:val="16"/>
                <w:szCs w:val="16"/>
              </w:rPr>
            </w:pPr>
            <w:r>
              <w:rPr>
                <w:sz w:val="16"/>
                <w:szCs w:val="16"/>
              </w:rPr>
              <w:t>Número y diversidad de partes interesadas (oficinas de P.I., entidades en el ámbito de la competencia, OII y ONG) que dialogan con la OMPI</w:t>
            </w:r>
          </w:p>
          <w:p w:rsidR="00236E18" w:rsidRDefault="00236E18" w:rsidP="00294272">
            <w:pPr>
              <w:ind w:left="59"/>
              <w:rPr>
                <w:sz w:val="16"/>
                <w:szCs w:val="16"/>
              </w:rPr>
            </w:pPr>
          </w:p>
          <w:p w:rsidR="00236E18" w:rsidRDefault="00236E18" w:rsidP="00294272">
            <w:pPr>
              <w:ind w:left="59"/>
              <w:rPr>
                <w:sz w:val="16"/>
                <w:szCs w:val="16"/>
              </w:rPr>
            </w:pPr>
          </w:p>
          <w:p w:rsidR="00236E18" w:rsidRPr="00F13C21" w:rsidRDefault="00236E18" w:rsidP="00294272">
            <w:pPr>
              <w:ind w:left="59"/>
              <w:rPr>
                <w:color w:val="000000"/>
                <w:sz w:val="16"/>
                <w:szCs w:val="16"/>
              </w:rPr>
            </w:pPr>
            <w:r w:rsidRPr="00F13C21">
              <w:rPr>
                <w:color w:val="000000"/>
                <w:sz w:val="16"/>
                <w:szCs w:val="16"/>
              </w:rPr>
              <w:t>N</w:t>
            </w:r>
            <w:r>
              <w:rPr>
                <w:color w:val="000000"/>
                <w:sz w:val="16"/>
                <w:szCs w:val="16"/>
              </w:rPr>
              <w:t>º</w:t>
            </w:r>
            <w:r w:rsidRPr="00F13C21">
              <w:rPr>
                <w:color w:val="000000"/>
                <w:sz w:val="16"/>
                <w:szCs w:val="16"/>
              </w:rPr>
              <w:t xml:space="preserve"> de acuerdos de acogida de científicos de países en desarrollo.</w:t>
            </w:r>
          </w:p>
          <w:p w:rsidR="00236E18" w:rsidRPr="00216424" w:rsidRDefault="00236E18" w:rsidP="00294272">
            <w:pPr>
              <w:ind w:left="59"/>
              <w:rPr>
                <w:sz w:val="16"/>
                <w:szCs w:val="16"/>
              </w:rPr>
            </w:pPr>
          </w:p>
          <w:p w:rsidR="00236E18" w:rsidRPr="00216424" w:rsidRDefault="00236E18" w:rsidP="00294272">
            <w:pPr>
              <w:ind w:left="59"/>
              <w:rPr>
                <w:sz w:val="16"/>
                <w:szCs w:val="16"/>
              </w:rPr>
            </w:pPr>
          </w:p>
          <w:p w:rsidR="00236E18" w:rsidRPr="00F13C21" w:rsidRDefault="00236E18" w:rsidP="00294272">
            <w:pPr>
              <w:ind w:left="59"/>
              <w:rPr>
                <w:color w:val="000000"/>
                <w:sz w:val="16"/>
                <w:szCs w:val="16"/>
              </w:rPr>
            </w:pPr>
            <w:r w:rsidRPr="00F13C21">
              <w:rPr>
                <w:color w:val="000000"/>
                <w:sz w:val="16"/>
                <w:szCs w:val="16"/>
              </w:rPr>
              <w:t xml:space="preserve">Porcentaje de participantes en el módulo </w:t>
            </w:r>
            <w:r>
              <w:rPr>
                <w:color w:val="000000"/>
                <w:sz w:val="16"/>
                <w:szCs w:val="16"/>
              </w:rPr>
              <w:t>de enseñanza a distancia</w:t>
            </w:r>
            <w:r w:rsidRPr="00F13C21">
              <w:rPr>
                <w:color w:val="000000"/>
                <w:sz w:val="16"/>
                <w:szCs w:val="16"/>
              </w:rPr>
              <w:t xml:space="preserve"> sobre P.I. y salud que declaran utilizar la P.I. para el desarrollo mediante la transferencia de conocimientos y la creación de aptitudes</w:t>
            </w:r>
          </w:p>
        </w:tc>
        <w:tc>
          <w:tcPr>
            <w:tcW w:w="2520" w:type="dxa"/>
            <w:tcBorders>
              <w:top w:val="nil"/>
              <w:left w:val="nil"/>
              <w:right w:val="nil"/>
            </w:tcBorders>
            <w:shd w:val="clear" w:color="000000" w:fill="FFFFFF"/>
            <w:hideMark/>
          </w:tcPr>
          <w:p w:rsidR="00236E18" w:rsidRPr="00F13C21" w:rsidRDefault="00236E18" w:rsidP="00294272">
            <w:pPr>
              <w:ind w:left="290" w:firstLineChars="18" w:firstLine="29"/>
              <w:rPr>
                <w:color w:val="000000"/>
                <w:sz w:val="16"/>
                <w:szCs w:val="16"/>
              </w:rPr>
            </w:pPr>
            <w:r>
              <w:rPr>
                <w:color w:val="000000"/>
                <w:sz w:val="16"/>
                <w:szCs w:val="16"/>
              </w:rPr>
              <w:br/>
              <w:t>12 países (2014)</w:t>
            </w:r>
          </w:p>
          <w:p w:rsidR="00236E18" w:rsidRPr="00F13C21" w:rsidRDefault="00236E18" w:rsidP="00294272">
            <w:pPr>
              <w:ind w:left="290" w:firstLineChars="18" w:firstLine="29"/>
              <w:rPr>
                <w:color w:val="000000"/>
                <w:sz w:val="16"/>
                <w:szCs w:val="16"/>
              </w:rPr>
            </w:pPr>
          </w:p>
          <w:p w:rsidR="00236E18" w:rsidRPr="00F13C21" w:rsidRDefault="00236E18" w:rsidP="00294272">
            <w:pPr>
              <w:ind w:left="290" w:firstLineChars="18" w:firstLine="29"/>
              <w:rPr>
                <w:color w:val="000000"/>
                <w:sz w:val="16"/>
                <w:szCs w:val="16"/>
              </w:rPr>
            </w:pPr>
          </w:p>
          <w:p w:rsidR="00236E18" w:rsidRPr="00F13C21" w:rsidRDefault="00236E18" w:rsidP="00294272">
            <w:pPr>
              <w:ind w:left="290" w:firstLineChars="18" w:firstLine="29"/>
              <w:rPr>
                <w:color w:val="000000"/>
                <w:sz w:val="16"/>
                <w:szCs w:val="16"/>
              </w:rPr>
            </w:pPr>
          </w:p>
          <w:p w:rsidR="00236E18" w:rsidRPr="00F13C21" w:rsidRDefault="00236E18" w:rsidP="00294272">
            <w:pPr>
              <w:ind w:left="290" w:firstLineChars="18" w:firstLine="29"/>
              <w:rPr>
                <w:color w:val="000000"/>
                <w:sz w:val="16"/>
                <w:szCs w:val="16"/>
              </w:rPr>
            </w:pPr>
          </w:p>
          <w:p w:rsidR="00236E18" w:rsidRDefault="00236E18" w:rsidP="00294272">
            <w:pPr>
              <w:ind w:left="290" w:firstLineChars="18" w:firstLine="29"/>
              <w:rPr>
                <w:sz w:val="16"/>
                <w:szCs w:val="16"/>
                <w:lang w:val="es-ES_tradnl"/>
              </w:rPr>
            </w:pPr>
          </w:p>
          <w:p w:rsidR="00236E18" w:rsidRDefault="00236E18" w:rsidP="00294272">
            <w:pPr>
              <w:ind w:left="290" w:firstLineChars="18" w:firstLine="29"/>
              <w:rPr>
                <w:sz w:val="16"/>
                <w:szCs w:val="16"/>
                <w:lang w:val="es-ES_tradnl"/>
              </w:rPr>
            </w:pPr>
          </w:p>
          <w:p w:rsidR="00236E18" w:rsidRDefault="00236E18" w:rsidP="00294272">
            <w:pPr>
              <w:ind w:left="290" w:firstLineChars="18" w:firstLine="29"/>
              <w:rPr>
                <w:sz w:val="16"/>
                <w:szCs w:val="16"/>
                <w:lang w:val="es-ES_tradnl"/>
              </w:rPr>
            </w:pPr>
            <w:r>
              <w:rPr>
                <w:sz w:val="16"/>
                <w:szCs w:val="16"/>
                <w:lang w:val="es-ES_tradnl"/>
              </w:rPr>
              <w:t>64 entidades nacionales de P.I./competencia y 5 OII/ONG (en total)</w:t>
            </w:r>
          </w:p>
          <w:p w:rsidR="00236E18" w:rsidRDefault="00236E18" w:rsidP="00294272">
            <w:pPr>
              <w:ind w:left="290" w:firstLineChars="18" w:firstLine="29"/>
              <w:rPr>
                <w:sz w:val="16"/>
                <w:szCs w:val="16"/>
                <w:lang w:val="es-ES_tradnl"/>
              </w:rPr>
            </w:pPr>
          </w:p>
          <w:p w:rsidR="00236E18" w:rsidRDefault="00236E18" w:rsidP="00294272">
            <w:pPr>
              <w:ind w:left="290" w:firstLineChars="18" w:firstLine="29"/>
              <w:rPr>
                <w:sz w:val="16"/>
                <w:szCs w:val="16"/>
                <w:lang w:val="es-ES_tradnl"/>
              </w:rPr>
            </w:pPr>
          </w:p>
          <w:p w:rsidR="00236E18" w:rsidRDefault="00236E18" w:rsidP="00294272">
            <w:pPr>
              <w:ind w:left="290" w:firstLineChars="18" w:firstLine="29"/>
              <w:rPr>
                <w:sz w:val="16"/>
                <w:szCs w:val="16"/>
                <w:lang w:val="es-ES_tradnl"/>
              </w:rPr>
            </w:pPr>
          </w:p>
          <w:p w:rsidR="00236E18" w:rsidRDefault="00236E18" w:rsidP="00294272">
            <w:pPr>
              <w:ind w:left="290" w:firstLineChars="18" w:firstLine="29"/>
              <w:rPr>
                <w:sz w:val="16"/>
                <w:szCs w:val="16"/>
                <w:lang w:val="es-ES_tradnl"/>
              </w:rPr>
            </w:pPr>
          </w:p>
          <w:p w:rsidR="00236E18" w:rsidRDefault="00236E18" w:rsidP="00294272">
            <w:pPr>
              <w:ind w:left="290" w:firstLineChars="18" w:firstLine="29"/>
              <w:rPr>
                <w:sz w:val="16"/>
                <w:szCs w:val="16"/>
                <w:lang w:val="es-ES_tradnl"/>
              </w:rPr>
            </w:pPr>
          </w:p>
          <w:p w:rsidR="00236E18" w:rsidRDefault="00236E18" w:rsidP="00294272">
            <w:pPr>
              <w:ind w:left="290" w:firstLineChars="18" w:firstLine="29"/>
              <w:rPr>
                <w:sz w:val="16"/>
                <w:szCs w:val="16"/>
                <w:lang w:val="es-ES_tradnl"/>
              </w:rPr>
            </w:pPr>
            <w:r>
              <w:rPr>
                <w:sz w:val="16"/>
                <w:szCs w:val="16"/>
                <w:lang w:val="es-ES_tradnl"/>
              </w:rPr>
              <w:t>5</w:t>
            </w:r>
          </w:p>
          <w:p w:rsidR="00236E18" w:rsidRDefault="00236E18" w:rsidP="00294272">
            <w:pPr>
              <w:ind w:left="290" w:firstLineChars="18" w:firstLine="29"/>
              <w:rPr>
                <w:sz w:val="16"/>
                <w:szCs w:val="16"/>
                <w:lang w:val="es-ES_tradnl"/>
              </w:rPr>
            </w:pPr>
          </w:p>
          <w:p w:rsidR="00236E18" w:rsidRDefault="00236E18" w:rsidP="00294272">
            <w:pPr>
              <w:ind w:left="290" w:firstLineChars="18" w:firstLine="29"/>
              <w:rPr>
                <w:sz w:val="16"/>
                <w:szCs w:val="16"/>
                <w:lang w:val="es-ES_tradnl"/>
              </w:rPr>
            </w:pPr>
          </w:p>
          <w:p w:rsidR="00236E18" w:rsidRDefault="00236E18" w:rsidP="00294272">
            <w:pPr>
              <w:ind w:left="290" w:firstLineChars="18" w:firstLine="29"/>
              <w:rPr>
                <w:sz w:val="16"/>
                <w:szCs w:val="16"/>
                <w:lang w:val="es-ES_tradnl"/>
              </w:rPr>
            </w:pPr>
          </w:p>
          <w:p w:rsidR="00236E18" w:rsidRDefault="00236E18" w:rsidP="00294272">
            <w:pPr>
              <w:ind w:left="290" w:firstLineChars="18" w:firstLine="29"/>
              <w:rPr>
                <w:sz w:val="16"/>
                <w:szCs w:val="16"/>
                <w:lang w:val="es-ES_tradnl"/>
              </w:rPr>
            </w:pPr>
          </w:p>
          <w:p w:rsidR="00236E18" w:rsidRDefault="00236E18" w:rsidP="00294272">
            <w:pPr>
              <w:ind w:left="290" w:firstLineChars="18" w:firstLine="29"/>
              <w:rPr>
                <w:sz w:val="16"/>
                <w:szCs w:val="16"/>
                <w:lang w:val="es-ES_tradnl"/>
              </w:rPr>
            </w:pPr>
            <w:proofErr w:type="spellStart"/>
            <w:r>
              <w:rPr>
                <w:sz w:val="16"/>
                <w:szCs w:val="16"/>
                <w:lang w:val="es-ES_tradnl"/>
              </w:rPr>
              <w:t>n.d</w:t>
            </w:r>
            <w:proofErr w:type="spellEnd"/>
            <w:r>
              <w:rPr>
                <w:sz w:val="16"/>
                <w:szCs w:val="16"/>
                <w:lang w:val="es-ES_tradnl"/>
              </w:rPr>
              <w:t>.</w:t>
            </w:r>
          </w:p>
          <w:p w:rsidR="00236E18" w:rsidRPr="00F13C21" w:rsidRDefault="00236E18" w:rsidP="00294272">
            <w:pPr>
              <w:ind w:left="290" w:firstLineChars="18" w:firstLine="29"/>
              <w:rPr>
                <w:color w:val="000000"/>
                <w:sz w:val="16"/>
                <w:szCs w:val="16"/>
              </w:rPr>
            </w:pPr>
          </w:p>
        </w:tc>
        <w:tc>
          <w:tcPr>
            <w:tcW w:w="2020" w:type="dxa"/>
            <w:tcBorders>
              <w:top w:val="nil"/>
              <w:left w:val="nil"/>
              <w:right w:val="single" w:sz="4" w:space="0" w:color="auto"/>
            </w:tcBorders>
            <w:shd w:val="clear" w:color="000000" w:fill="FFFFFF"/>
            <w:hideMark/>
          </w:tcPr>
          <w:p w:rsidR="00236E18" w:rsidRDefault="00236E18" w:rsidP="00294272">
            <w:pPr>
              <w:ind w:left="180"/>
              <w:rPr>
                <w:color w:val="000000"/>
                <w:sz w:val="16"/>
                <w:szCs w:val="16"/>
              </w:rPr>
            </w:pPr>
            <w:r w:rsidRPr="00F13C21">
              <w:rPr>
                <w:color w:val="000000"/>
                <w:sz w:val="16"/>
                <w:szCs w:val="16"/>
              </w:rPr>
              <w:br/>
            </w:r>
          </w:p>
          <w:p w:rsidR="00236E18" w:rsidRDefault="00236E18" w:rsidP="00294272">
            <w:pPr>
              <w:ind w:left="180"/>
              <w:rPr>
                <w:color w:val="000000"/>
                <w:sz w:val="16"/>
                <w:szCs w:val="16"/>
              </w:rPr>
            </w:pPr>
            <w:r>
              <w:rPr>
                <w:color w:val="000000"/>
                <w:sz w:val="16"/>
                <w:szCs w:val="16"/>
              </w:rPr>
              <w:t>12 países en 2016/17</w:t>
            </w:r>
          </w:p>
          <w:p w:rsidR="00236E18" w:rsidRDefault="00236E18" w:rsidP="00294272">
            <w:pPr>
              <w:ind w:left="180"/>
              <w:rPr>
                <w:color w:val="000000"/>
                <w:sz w:val="16"/>
                <w:szCs w:val="16"/>
              </w:rPr>
            </w:pPr>
          </w:p>
          <w:p w:rsidR="00236E18" w:rsidRDefault="00236E18" w:rsidP="00294272">
            <w:pPr>
              <w:ind w:left="180"/>
              <w:rPr>
                <w:color w:val="000000"/>
                <w:sz w:val="16"/>
                <w:szCs w:val="16"/>
              </w:rPr>
            </w:pPr>
          </w:p>
          <w:p w:rsidR="00236E18" w:rsidRDefault="00236E18" w:rsidP="00294272">
            <w:pPr>
              <w:ind w:left="180"/>
              <w:rPr>
                <w:color w:val="000000"/>
                <w:sz w:val="16"/>
                <w:szCs w:val="16"/>
              </w:rPr>
            </w:pPr>
          </w:p>
          <w:p w:rsidR="00236E18" w:rsidRDefault="00236E18" w:rsidP="00294272">
            <w:pPr>
              <w:ind w:left="180"/>
              <w:rPr>
                <w:color w:val="000000"/>
                <w:sz w:val="16"/>
                <w:szCs w:val="16"/>
              </w:rPr>
            </w:pPr>
          </w:p>
          <w:p w:rsidR="00236E18" w:rsidRDefault="00236E18" w:rsidP="00294272">
            <w:pPr>
              <w:ind w:left="180"/>
              <w:rPr>
                <w:color w:val="000000"/>
                <w:sz w:val="16"/>
                <w:szCs w:val="16"/>
              </w:rPr>
            </w:pPr>
          </w:p>
          <w:p w:rsidR="00236E18" w:rsidRPr="00216424" w:rsidRDefault="00236E18" w:rsidP="00294272">
            <w:pPr>
              <w:ind w:left="180"/>
              <w:rPr>
                <w:color w:val="000000"/>
                <w:sz w:val="16"/>
                <w:szCs w:val="16"/>
              </w:rPr>
            </w:pPr>
            <w:r>
              <w:rPr>
                <w:color w:val="000000"/>
                <w:sz w:val="16"/>
                <w:szCs w:val="16"/>
              </w:rPr>
              <w:t xml:space="preserve">26 </w:t>
            </w:r>
            <w:r w:rsidRPr="00216424">
              <w:rPr>
                <w:color w:val="000000"/>
                <w:sz w:val="16"/>
                <w:szCs w:val="16"/>
              </w:rPr>
              <w:t>entidades nacionales de P.I./competencia adicionales y 5 OII/ONG</w:t>
            </w:r>
          </w:p>
          <w:p w:rsidR="00236E18" w:rsidRPr="00216424" w:rsidRDefault="00236E18" w:rsidP="00294272">
            <w:pPr>
              <w:ind w:left="180"/>
              <w:rPr>
                <w:color w:val="000000"/>
                <w:sz w:val="16"/>
                <w:szCs w:val="16"/>
              </w:rPr>
            </w:pPr>
          </w:p>
          <w:p w:rsidR="00236E18" w:rsidRDefault="00236E18" w:rsidP="00294272">
            <w:pPr>
              <w:ind w:left="180"/>
              <w:rPr>
                <w:color w:val="000000"/>
                <w:sz w:val="16"/>
                <w:szCs w:val="16"/>
              </w:rPr>
            </w:pPr>
          </w:p>
          <w:p w:rsidR="00236E18" w:rsidRDefault="00236E18" w:rsidP="00294272">
            <w:pPr>
              <w:ind w:left="180"/>
              <w:rPr>
                <w:color w:val="000000"/>
                <w:sz w:val="16"/>
                <w:szCs w:val="16"/>
              </w:rPr>
            </w:pPr>
          </w:p>
          <w:p w:rsidR="00236E18" w:rsidRPr="00F13C21" w:rsidRDefault="00236E18" w:rsidP="00294272">
            <w:pPr>
              <w:ind w:left="180"/>
              <w:rPr>
                <w:color w:val="000000"/>
                <w:sz w:val="16"/>
                <w:szCs w:val="16"/>
              </w:rPr>
            </w:pPr>
            <w:r w:rsidRPr="00F13C21">
              <w:rPr>
                <w:color w:val="000000"/>
                <w:sz w:val="16"/>
                <w:szCs w:val="16"/>
              </w:rPr>
              <w:t>2 nuevos acuerdos de</w:t>
            </w:r>
          </w:p>
          <w:p w:rsidR="00236E18" w:rsidRPr="00F13C21" w:rsidRDefault="00236E18" w:rsidP="00294272">
            <w:pPr>
              <w:ind w:left="180"/>
              <w:rPr>
                <w:color w:val="000000"/>
                <w:sz w:val="16"/>
                <w:szCs w:val="16"/>
              </w:rPr>
            </w:pPr>
            <w:r w:rsidRPr="00F13C21">
              <w:rPr>
                <w:color w:val="000000"/>
                <w:sz w:val="16"/>
                <w:szCs w:val="16"/>
              </w:rPr>
              <w:t xml:space="preserve">acogida </w:t>
            </w:r>
          </w:p>
          <w:p w:rsidR="00236E18" w:rsidRPr="00F13C21" w:rsidRDefault="00236E18" w:rsidP="00294272">
            <w:pPr>
              <w:ind w:left="180"/>
              <w:rPr>
                <w:color w:val="000000"/>
                <w:sz w:val="16"/>
                <w:szCs w:val="16"/>
              </w:rPr>
            </w:pPr>
          </w:p>
          <w:p w:rsidR="00236E18" w:rsidRPr="00F13C21" w:rsidRDefault="00236E18" w:rsidP="00294272">
            <w:pPr>
              <w:ind w:left="180"/>
              <w:rPr>
                <w:color w:val="000000"/>
                <w:sz w:val="16"/>
                <w:szCs w:val="16"/>
              </w:rPr>
            </w:pPr>
          </w:p>
          <w:p w:rsidR="00236E18" w:rsidRPr="00F13C21" w:rsidRDefault="00236E18" w:rsidP="00294272">
            <w:pPr>
              <w:ind w:left="180"/>
              <w:rPr>
                <w:color w:val="000000"/>
                <w:sz w:val="16"/>
                <w:szCs w:val="16"/>
              </w:rPr>
            </w:pPr>
          </w:p>
          <w:p w:rsidR="00236E18" w:rsidRPr="00F13C21" w:rsidRDefault="00236E18" w:rsidP="00294272">
            <w:pPr>
              <w:ind w:left="180"/>
              <w:rPr>
                <w:color w:val="000000"/>
                <w:sz w:val="16"/>
                <w:szCs w:val="16"/>
              </w:rPr>
            </w:pPr>
            <w:r w:rsidRPr="00F13C21">
              <w:rPr>
                <w:color w:val="000000"/>
                <w:sz w:val="16"/>
                <w:szCs w:val="16"/>
              </w:rPr>
              <w:t>Por lo menos el 70% de los encuestados</w:t>
            </w:r>
          </w:p>
        </w:tc>
      </w:tr>
      <w:tr w:rsidR="00236E18" w:rsidRPr="009573A5" w:rsidTr="00294272">
        <w:trPr>
          <w:trHeight w:val="2799"/>
        </w:trPr>
        <w:tc>
          <w:tcPr>
            <w:tcW w:w="2340" w:type="dxa"/>
            <w:tcBorders>
              <w:top w:val="nil"/>
              <w:left w:val="single" w:sz="4" w:space="0" w:color="auto"/>
              <w:bottom w:val="single" w:sz="4" w:space="0" w:color="auto"/>
              <w:right w:val="nil"/>
            </w:tcBorders>
            <w:shd w:val="clear" w:color="000000" w:fill="FFFFFF"/>
            <w:hideMark/>
          </w:tcPr>
          <w:p w:rsidR="00236E18" w:rsidRPr="004252B2" w:rsidRDefault="00236E18" w:rsidP="00294272">
            <w:pPr>
              <w:autoSpaceDE w:val="0"/>
              <w:autoSpaceDN w:val="0"/>
              <w:adjustRightInd w:val="0"/>
              <w:rPr>
                <w:sz w:val="16"/>
                <w:szCs w:val="16"/>
              </w:rPr>
            </w:pPr>
          </w:p>
          <w:p w:rsidR="00236E18" w:rsidRPr="004252B2" w:rsidRDefault="00236E18" w:rsidP="00294272">
            <w:pPr>
              <w:autoSpaceDE w:val="0"/>
              <w:autoSpaceDN w:val="0"/>
              <w:adjustRightInd w:val="0"/>
              <w:rPr>
                <w:sz w:val="16"/>
                <w:szCs w:val="16"/>
              </w:rPr>
            </w:pPr>
            <w:r w:rsidRPr="004252B2">
              <w:rPr>
                <w:sz w:val="16"/>
                <w:szCs w:val="16"/>
              </w:rPr>
              <w:t xml:space="preserve">VII.2  </w:t>
            </w:r>
            <w:r w:rsidRPr="004252B2">
              <w:rPr>
                <w:sz w:val="16"/>
                <w:szCs w:val="16"/>
                <w:lang w:val="es-ES_tradnl"/>
              </w:rPr>
              <w:t>Plataformas y herramientas de P.I. utilizadas para la transferencia de conocimiento y la adaptación y difusión de tecnología de los países desarrollados a los países en desarrollo, en particular, a los menos adelantados, con el fin de atender los desafíos mundiales</w:t>
            </w:r>
          </w:p>
        </w:tc>
        <w:tc>
          <w:tcPr>
            <w:tcW w:w="2380" w:type="dxa"/>
            <w:tcBorders>
              <w:top w:val="nil"/>
              <w:left w:val="nil"/>
              <w:bottom w:val="single" w:sz="4" w:space="0" w:color="auto"/>
              <w:right w:val="nil"/>
            </w:tcBorders>
            <w:shd w:val="clear" w:color="000000" w:fill="FFFFFF"/>
            <w:hideMark/>
          </w:tcPr>
          <w:p w:rsidR="00236E18" w:rsidRPr="00F13C21" w:rsidRDefault="00236E18" w:rsidP="00294272">
            <w:pPr>
              <w:ind w:left="59"/>
              <w:rPr>
                <w:color w:val="000000"/>
                <w:sz w:val="16"/>
                <w:szCs w:val="16"/>
              </w:rPr>
            </w:pPr>
          </w:p>
          <w:p w:rsidR="00236E18" w:rsidRPr="00CC61DF" w:rsidRDefault="00236E18" w:rsidP="00294272">
            <w:pPr>
              <w:ind w:left="59"/>
              <w:rPr>
                <w:color w:val="000000"/>
                <w:sz w:val="16"/>
                <w:szCs w:val="16"/>
              </w:rPr>
            </w:pPr>
            <w:r w:rsidRPr="00F13C21">
              <w:rPr>
                <w:color w:val="000000"/>
                <w:sz w:val="16"/>
                <w:szCs w:val="16"/>
              </w:rPr>
              <w:t>Aumento del n</w:t>
            </w:r>
            <w:r>
              <w:rPr>
                <w:color w:val="000000"/>
                <w:sz w:val="16"/>
                <w:szCs w:val="16"/>
              </w:rPr>
              <w:t>º</w:t>
            </w:r>
            <w:r w:rsidRPr="00F13C21">
              <w:rPr>
                <w:color w:val="000000"/>
                <w:sz w:val="16"/>
                <w:szCs w:val="16"/>
              </w:rPr>
              <w:t xml:space="preserve"> de</w:t>
            </w:r>
            <w:r>
              <w:rPr>
                <w:color w:val="000000"/>
                <w:sz w:val="16"/>
                <w:szCs w:val="16"/>
              </w:rPr>
              <w:t xml:space="preserve"> </w:t>
            </w:r>
            <w:r w:rsidRPr="00F13C21">
              <w:rPr>
                <w:color w:val="000000"/>
                <w:sz w:val="16"/>
                <w:szCs w:val="16"/>
              </w:rPr>
              <w:t xml:space="preserve">miembros de </w:t>
            </w:r>
            <w:r w:rsidRPr="004252B2">
              <w:rPr>
                <w:i/>
                <w:color w:val="000000"/>
                <w:sz w:val="16"/>
                <w:szCs w:val="16"/>
              </w:rPr>
              <w:t xml:space="preserve">WIPO </w:t>
            </w:r>
            <w:proofErr w:type="spellStart"/>
            <w:r w:rsidRPr="004252B2">
              <w:rPr>
                <w:i/>
                <w:color w:val="000000"/>
                <w:sz w:val="16"/>
                <w:szCs w:val="16"/>
              </w:rPr>
              <w:t>Re:Search</w:t>
            </w:r>
            <w:proofErr w:type="spellEnd"/>
            <w:r w:rsidRPr="00F13C21">
              <w:rPr>
                <w:color w:val="000000"/>
                <w:sz w:val="16"/>
                <w:szCs w:val="16"/>
              </w:rPr>
              <w:t>,</w:t>
            </w:r>
            <w:r>
              <w:rPr>
                <w:color w:val="000000"/>
                <w:sz w:val="16"/>
                <w:szCs w:val="16"/>
              </w:rPr>
              <w:t xml:space="preserve"> </w:t>
            </w:r>
            <w:r w:rsidRPr="00F13C21">
              <w:rPr>
                <w:color w:val="000000"/>
                <w:sz w:val="16"/>
                <w:szCs w:val="16"/>
              </w:rPr>
              <w:t>incluidos los procedentes de</w:t>
            </w:r>
            <w:r>
              <w:rPr>
                <w:color w:val="000000"/>
                <w:sz w:val="16"/>
                <w:szCs w:val="16"/>
              </w:rPr>
              <w:t xml:space="preserve"> </w:t>
            </w:r>
            <w:r w:rsidRPr="00F13C21">
              <w:rPr>
                <w:color w:val="000000"/>
                <w:sz w:val="16"/>
                <w:szCs w:val="16"/>
              </w:rPr>
              <w:t>países en desarrollo y PMA</w:t>
            </w:r>
            <w:r w:rsidRPr="00F13C21">
              <w:rPr>
                <w:color w:val="000000"/>
                <w:sz w:val="16"/>
                <w:szCs w:val="16"/>
              </w:rPr>
              <w:br/>
            </w:r>
            <w:r w:rsidRPr="00F13C21">
              <w:rPr>
                <w:color w:val="000000"/>
                <w:sz w:val="16"/>
                <w:szCs w:val="16"/>
              </w:rPr>
              <w:br/>
              <w:t>N</w:t>
            </w:r>
            <w:r>
              <w:rPr>
                <w:color w:val="000000"/>
                <w:sz w:val="16"/>
                <w:szCs w:val="16"/>
              </w:rPr>
              <w:t>º</w:t>
            </w:r>
            <w:r w:rsidRPr="00F13C21">
              <w:rPr>
                <w:color w:val="000000"/>
                <w:sz w:val="16"/>
                <w:szCs w:val="16"/>
              </w:rPr>
              <w:t xml:space="preserve"> de contribuciones en la base de datos de </w:t>
            </w:r>
            <w:r w:rsidRPr="004252B2">
              <w:rPr>
                <w:i/>
                <w:color w:val="000000"/>
                <w:sz w:val="16"/>
                <w:szCs w:val="16"/>
              </w:rPr>
              <w:t xml:space="preserve">WIPO </w:t>
            </w:r>
            <w:proofErr w:type="spellStart"/>
            <w:r w:rsidRPr="004252B2">
              <w:rPr>
                <w:i/>
                <w:color w:val="000000"/>
                <w:sz w:val="16"/>
                <w:szCs w:val="16"/>
              </w:rPr>
              <w:t>Re:Search</w:t>
            </w:r>
            <w:proofErr w:type="spellEnd"/>
            <w:r w:rsidRPr="00F13C21">
              <w:rPr>
                <w:color w:val="000000"/>
                <w:sz w:val="16"/>
                <w:szCs w:val="16"/>
              </w:rPr>
              <w:t xml:space="preserve"> </w:t>
            </w:r>
            <w:r w:rsidRPr="00F13C21">
              <w:rPr>
                <w:color w:val="000000"/>
                <w:sz w:val="16"/>
                <w:szCs w:val="16"/>
              </w:rPr>
              <w:br/>
            </w:r>
            <w:r w:rsidRPr="00F13C21">
              <w:rPr>
                <w:color w:val="000000"/>
                <w:sz w:val="16"/>
                <w:szCs w:val="16"/>
              </w:rPr>
              <w:br/>
              <w:t>Aumento del n</w:t>
            </w:r>
            <w:r>
              <w:rPr>
                <w:color w:val="000000"/>
                <w:sz w:val="16"/>
                <w:szCs w:val="16"/>
              </w:rPr>
              <w:t>º</w:t>
            </w:r>
            <w:r w:rsidRPr="00F13C21">
              <w:rPr>
                <w:color w:val="000000"/>
                <w:sz w:val="16"/>
                <w:szCs w:val="16"/>
              </w:rPr>
              <w:t xml:space="preserve"> de</w:t>
            </w:r>
            <w:r>
              <w:rPr>
                <w:color w:val="000000"/>
                <w:sz w:val="16"/>
                <w:szCs w:val="16"/>
              </w:rPr>
              <w:t xml:space="preserve"> </w:t>
            </w:r>
            <w:r w:rsidRPr="00F13C21">
              <w:rPr>
                <w:color w:val="000000"/>
                <w:sz w:val="16"/>
                <w:szCs w:val="16"/>
              </w:rPr>
              <w:t xml:space="preserve">acuerdos suscritos en el marco de </w:t>
            </w:r>
            <w:r w:rsidRPr="004252B2">
              <w:rPr>
                <w:i/>
                <w:color w:val="000000"/>
                <w:sz w:val="16"/>
                <w:szCs w:val="16"/>
              </w:rPr>
              <w:t xml:space="preserve">WIPO </w:t>
            </w:r>
            <w:proofErr w:type="spellStart"/>
            <w:r w:rsidRPr="004252B2">
              <w:rPr>
                <w:i/>
                <w:color w:val="000000"/>
                <w:sz w:val="16"/>
                <w:szCs w:val="16"/>
              </w:rPr>
              <w:t>Re:Search</w:t>
            </w:r>
            <w:proofErr w:type="spellEnd"/>
            <w:r w:rsidRPr="00F13C21">
              <w:rPr>
                <w:color w:val="000000"/>
                <w:sz w:val="16"/>
                <w:szCs w:val="16"/>
              </w:rPr>
              <w:t xml:space="preserve"> que</w:t>
            </w:r>
            <w:r>
              <w:rPr>
                <w:color w:val="000000"/>
                <w:sz w:val="16"/>
                <w:szCs w:val="16"/>
              </w:rPr>
              <w:t xml:space="preserve"> </w:t>
            </w:r>
            <w:r w:rsidRPr="00F13C21">
              <w:rPr>
                <w:color w:val="000000"/>
                <w:sz w:val="16"/>
                <w:szCs w:val="16"/>
              </w:rPr>
              <w:t>conducen a nuevas actividades</w:t>
            </w:r>
            <w:r>
              <w:rPr>
                <w:color w:val="000000"/>
                <w:sz w:val="16"/>
                <w:szCs w:val="16"/>
              </w:rPr>
              <w:t xml:space="preserve"> </w:t>
            </w:r>
            <w:r w:rsidRPr="00F13C21">
              <w:rPr>
                <w:color w:val="000000"/>
                <w:sz w:val="16"/>
                <w:szCs w:val="16"/>
              </w:rPr>
              <w:t>de I+D, o a un aceleramiento</w:t>
            </w:r>
            <w:r>
              <w:rPr>
                <w:color w:val="000000"/>
                <w:sz w:val="16"/>
                <w:szCs w:val="16"/>
              </w:rPr>
              <w:t xml:space="preserve"> </w:t>
            </w:r>
            <w:r w:rsidRPr="00F13C21">
              <w:rPr>
                <w:color w:val="000000"/>
                <w:sz w:val="16"/>
                <w:szCs w:val="16"/>
              </w:rPr>
              <w:t>de las mismas, en</w:t>
            </w:r>
            <w:r>
              <w:rPr>
                <w:color w:val="000000"/>
                <w:sz w:val="16"/>
                <w:szCs w:val="16"/>
              </w:rPr>
              <w:t xml:space="preserve"> </w:t>
            </w:r>
            <w:r w:rsidRPr="00F13C21">
              <w:rPr>
                <w:color w:val="000000"/>
                <w:sz w:val="16"/>
                <w:szCs w:val="16"/>
              </w:rPr>
              <w:t>enfermedades tropicales</w:t>
            </w:r>
            <w:r>
              <w:rPr>
                <w:color w:val="000000"/>
                <w:sz w:val="16"/>
                <w:szCs w:val="16"/>
              </w:rPr>
              <w:t xml:space="preserve"> </w:t>
            </w:r>
            <w:r w:rsidRPr="00CC61DF">
              <w:rPr>
                <w:color w:val="000000"/>
                <w:sz w:val="16"/>
                <w:szCs w:val="16"/>
              </w:rPr>
              <w:t>desatendidas, paludismo y</w:t>
            </w:r>
            <w:r>
              <w:rPr>
                <w:color w:val="000000"/>
                <w:sz w:val="16"/>
                <w:szCs w:val="16"/>
              </w:rPr>
              <w:t xml:space="preserve"> </w:t>
            </w:r>
            <w:r w:rsidRPr="00CC61DF">
              <w:rPr>
                <w:color w:val="000000"/>
                <w:sz w:val="16"/>
                <w:szCs w:val="16"/>
              </w:rPr>
              <w:t xml:space="preserve">tuberculosis </w:t>
            </w:r>
            <w:r>
              <w:rPr>
                <w:color w:val="000000"/>
                <w:sz w:val="16"/>
                <w:szCs w:val="16"/>
              </w:rPr>
              <w:br/>
            </w:r>
          </w:p>
        </w:tc>
        <w:tc>
          <w:tcPr>
            <w:tcW w:w="2520" w:type="dxa"/>
            <w:tcBorders>
              <w:top w:val="nil"/>
              <w:left w:val="nil"/>
              <w:bottom w:val="single" w:sz="4" w:space="0" w:color="auto"/>
              <w:right w:val="nil"/>
            </w:tcBorders>
            <w:shd w:val="clear" w:color="000000" w:fill="FFFFFF"/>
            <w:hideMark/>
          </w:tcPr>
          <w:p w:rsidR="00236E18" w:rsidRPr="00216424" w:rsidRDefault="00236E18" w:rsidP="00294272">
            <w:pPr>
              <w:ind w:left="290"/>
              <w:rPr>
                <w:sz w:val="16"/>
                <w:szCs w:val="16"/>
              </w:rPr>
            </w:pPr>
          </w:p>
          <w:p w:rsidR="00236E18" w:rsidRPr="00F13C21" w:rsidRDefault="00236E18" w:rsidP="00294272">
            <w:pPr>
              <w:ind w:left="290"/>
              <w:rPr>
                <w:color w:val="000000"/>
                <w:sz w:val="16"/>
                <w:szCs w:val="16"/>
              </w:rPr>
            </w:pPr>
            <w:r w:rsidRPr="00027F4F">
              <w:rPr>
                <w:sz w:val="16"/>
                <w:szCs w:val="16"/>
                <w:lang w:val="es-ES_tradnl"/>
              </w:rPr>
              <w:t xml:space="preserve">96 miembros;  </w:t>
            </w:r>
            <w:r>
              <w:rPr>
                <w:sz w:val="16"/>
                <w:szCs w:val="16"/>
                <w:lang w:val="es-ES_tradnl"/>
              </w:rPr>
              <w:t>27</w:t>
            </w:r>
            <w:r w:rsidRPr="00027F4F">
              <w:rPr>
                <w:sz w:val="16"/>
                <w:szCs w:val="16"/>
                <w:lang w:val="es-ES_tradnl"/>
              </w:rPr>
              <w:t xml:space="preserve"> de países en desarrollo</w:t>
            </w:r>
            <w:r>
              <w:rPr>
                <w:sz w:val="16"/>
                <w:szCs w:val="16"/>
                <w:lang w:val="es-ES_tradnl"/>
              </w:rPr>
              <w:t xml:space="preserve"> </w:t>
            </w:r>
            <w:r w:rsidRPr="00F13C21">
              <w:rPr>
                <w:color w:val="000000"/>
                <w:sz w:val="16"/>
                <w:szCs w:val="16"/>
              </w:rPr>
              <w:t>(a finales de diciembre de 2014)</w:t>
            </w:r>
            <w:r w:rsidRPr="00F13C21">
              <w:rPr>
                <w:color w:val="000000"/>
                <w:sz w:val="16"/>
                <w:szCs w:val="16"/>
              </w:rPr>
              <w:br/>
            </w:r>
            <w:r w:rsidRPr="00F13C21">
              <w:rPr>
                <w:color w:val="000000"/>
                <w:sz w:val="16"/>
                <w:szCs w:val="16"/>
              </w:rPr>
              <w:br/>
            </w:r>
          </w:p>
          <w:p w:rsidR="00236E18" w:rsidRPr="00F13C21" w:rsidRDefault="00236E18" w:rsidP="00294272">
            <w:pPr>
              <w:ind w:left="290"/>
              <w:rPr>
                <w:color w:val="000000"/>
                <w:sz w:val="16"/>
                <w:szCs w:val="16"/>
              </w:rPr>
            </w:pPr>
          </w:p>
          <w:p w:rsidR="00236E18" w:rsidRPr="00F13C21" w:rsidRDefault="00236E18" w:rsidP="00294272">
            <w:pPr>
              <w:ind w:left="290"/>
              <w:rPr>
                <w:color w:val="000000"/>
                <w:sz w:val="16"/>
                <w:szCs w:val="16"/>
              </w:rPr>
            </w:pPr>
            <w:r w:rsidRPr="00F13C21">
              <w:rPr>
                <w:color w:val="000000"/>
                <w:sz w:val="16"/>
                <w:szCs w:val="16"/>
              </w:rPr>
              <w:t>186 contribuciones en la base de datos (al 24 de abril de 2015)</w:t>
            </w:r>
            <w:r w:rsidRPr="00F13C21">
              <w:rPr>
                <w:color w:val="000000"/>
                <w:sz w:val="16"/>
                <w:szCs w:val="16"/>
              </w:rPr>
              <w:br/>
            </w:r>
          </w:p>
          <w:p w:rsidR="00236E18" w:rsidRPr="00F13C21" w:rsidRDefault="00236E18" w:rsidP="00294272">
            <w:pPr>
              <w:ind w:left="290"/>
              <w:rPr>
                <w:color w:val="000000"/>
                <w:sz w:val="16"/>
                <w:szCs w:val="16"/>
              </w:rPr>
            </w:pPr>
            <w:r w:rsidRPr="00F13C21">
              <w:rPr>
                <w:color w:val="000000"/>
                <w:sz w:val="16"/>
                <w:szCs w:val="16"/>
              </w:rPr>
              <w:t>90 acuerdos (al 9 de abril de 2015)</w:t>
            </w:r>
          </w:p>
        </w:tc>
        <w:tc>
          <w:tcPr>
            <w:tcW w:w="2020" w:type="dxa"/>
            <w:tcBorders>
              <w:top w:val="nil"/>
              <w:left w:val="nil"/>
              <w:bottom w:val="single" w:sz="4" w:space="0" w:color="auto"/>
              <w:right w:val="single" w:sz="4" w:space="0" w:color="auto"/>
            </w:tcBorders>
            <w:shd w:val="clear" w:color="000000" w:fill="FFFFFF"/>
            <w:hideMark/>
          </w:tcPr>
          <w:p w:rsidR="00236E18" w:rsidRPr="00F13C21" w:rsidRDefault="00236E18" w:rsidP="00294272">
            <w:pPr>
              <w:ind w:left="180"/>
              <w:rPr>
                <w:color w:val="000000"/>
                <w:sz w:val="16"/>
                <w:szCs w:val="16"/>
              </w:rPr>
            </w:pPr>
          </w:p>
          <w:p w:rsidR="00236E18" w:rsidRPr="00F13C21" w:rsidRDefault="00236E18" w:rsidP="00294272">
            <w:pPr>
              <w:ind w:left="180"/>
              <w:rPr>
                <w:color w:val="000000"/>
                <w:sz w:val="16"/>
                <w:szCs w:val="16"/>
              </w:rPr>
            </w:pPr>
            <w:r>
              <w:rPr>
                <w:color w:val="000000"/>
                <w:sz w:val="16"/>
                <w:szCs w:val="16"/>
              </w:rPr>
              <w:t>8</w:t>
            </w:r>
            <w:r w:rsidRPr="00F13C21">
              <w:rPr>
                <w:color w:val="000000"/>
                <w:sz w:val="16"/>
                <w:szCs w:val="16"/>
              </w:rPr>
              <w:t xml:space="preserve"> nuevos Miembros;  7 procedentes de países en desarrollo</w:t>
            </w:r>
            <w:r w:rsidRPr="00F13C21">
              <w:rPr>
                <w:color w:val="000000"/>
                <w:sz w:val="16"/>
                <w:szCs w:val="16"/>
              </w:rPr>
              <w:br/>
            </w:r>
          </w:p>
          <w:p w:rsidR="00236E18" w:rsidRPr="00F13C21" w:rsidRDefault="00236E18" w:rsidP="00294272">
            <w:pPr>
              <w:ind w:left="180"/>
              <w:rPr>
                <w:color w:val="000000"/>
                <w:sz w:val="16"/>
                <w:szCs w:val="16"/>
              </w:rPr>
            </w:pPr>
          </w:p>
          <w:p w:rsidR="00236E18" w:rsidRPr="00F13C21" w:rsidRDefault="00236E18" w:rsidP="00294272">
            <w:pPr>
              <w:ind w:left="180"/>
              <w:rPr>
                <w:color w:val="000000"/>
                <w:sz w:val="16"/>
                <w:szCs w:val="16"/>
              </w:rPr>
            </w:pPr>
          </w:p>
          <w:p w:rsidR="00236E18" w:rsidRPr="00F13C21" w:rsidRDefault="00236E18" w:rsidP="00294272">
            <w:pPr>
              <w:ind w:left="180"/>
              <w:rPr>
                <w:color w:val="000000"/>
                <w:sz w:val="16"/>
                <w:szCs w:val="16"/>
              </w:rPr>
            </w:pPr>
            <w:r w:rsidRPr="00F13C21">
              <w:rPr>
                <w:color w:val="000000"/>
                <w:sz w:val="16"/>
                <w:szCs w:val="16"/>
              </w:rPr>
              <w:t xml:space="preserve">En total 300 contribuciones en la base de datos </w:t>
            </w:r>
            <w:r w:rsidRPr="00F13C21">
              <w:rPr>
                <w:color w:val="000000"/>
                <w:sz w:val="16"/>
                <w:szCs w:val="16"/>
              </w:rPr>
              <w:br/>
            </w:r>
          </w:p>
          <w:p w:rsidR="00236E18" w:rsidRPr="00F13C21" w:rsidRDefault="00236E18" w:rsidP="00294272">
            <w:pPr>
              <w:ind w:left="180"/>
              <w:rPr>
                <w:color w:val="000000"/>
                <w:sz w:val="16"/>
                <w:szCs w:val="16"/>
              </w:rPr>
            </w:pPr>
            <w:r w:rsidRPr="00F13C21">
              <w:rPr>
                <w:color w:val="000000"/>
                <w:sz w:val="16"/>
                <w:szCs w:val="16"/>
              </w:rPr>
              <w:t>30 nuevos acuerdos, de los cuales 20 son acuerdos de seguimiento</w:t>
            </w:r>
          </w:p>
        </w:tc>
      </w:tr>
      <w:tr w:rsidR="00236E18" w:rsidRPr="009573A5" w:rsidTr="00294272">
        <w:trPr>
          <w:trHeight w:val="2601"/>
        </w:trPr>
        <w:tc>
          <w:tcPr>
            <w:tcW w:w="2340" w:type="dxa"/>
            <w:tcBorders>
              <w:top w:val="single" w:sz="4" w:space="0" w:color="auto"/>
              <w:left w:val="single" w:sz="4" w:space="0" w:color="auto"/>
              <w:right w:val="nil"/>
            </w:tcBorders>
            <w:shd w:val="clear" w:color="000000" w:fill="FFFFFF"/>
            <w:hideMark/>
          </w:tcPr>
          <w:p w:rsidR="00236E18" w:rsidRPr="00F13C21" w:rsidRDefault="00236E18" w:rsidP="00294272">
            <w:pPr>
              <w:rPr>
                <w:color w:val="000000"/>
                <w:sz w:val="16"/>
                <w:szCs w:val="16"/>
              </w:rPr>
            </w:pPr>
          </w:p>
        </w:tc>
        <w:tc>
          <w:tcPr>
            <w:tcW w:w="2380" w:type="dxa"/>
            <w:tcBorders>
              <w:top w:val="single" w:sz="4" w:space="0" w:color="auto"/>
              <w:left w:val="nil"/>
              <w:right w:val="nil"/>
            </w:tcBorders>
            <w:shd w:val="clear" w:color="000000" w:fill="FFFFFF"/>
            <w:hideMark/>
          </w:tcPr>
          <w:p w:rsidR="00236E18" w:rsidRPr="00F13C21" w:rsidRDefault="00236E18" w:rsidP="00294272">
            <w:pPr>
              <w:ind w:left="59"/>
              <w:rPr>
                <w:color w:val="000000"/>
                <w:sz w:val="16"/>
                <w:szCs w:val="16"/>
              </w:rPr>
            </w:pPr>
            <w:r w:rsidRPr="00F13C21">
              <w:rPr>
                <w:color w:val="000000"/>
                <w:sz w:val="16"/>
                <w:szCs w:val="16"/>
              </w:rPr>
              <w:t>N</w:t>
            </w:r>
            <w:r>
              <w:rPr>
                <w:color w:val="000000"/>
                <w:sz w:val="16"/>
                <w:szCs w:val="16"/>
              </w:rPr>
              <w:t>º</w:t>
            </w:r>
            <w:r w:rsidRPr="00F13C21">
              <w:rPr>
                <w:color w:val="000000"/>
                <w:sz w:val="16"/>
                <w:szCs w:val="16"/>
              </w:rPr>
              <w:t xml:space="preserve"> de miembros de </w:t>
            </w:r>
            <w:r w:rsidRPr="004252B2">
              <w:rPr>
                <w:i/>
                <w:color w:val="000000"/>
                <w:sz w:val="16"/>
                <w:szCs w:val="16"/>
              </w:rPr>
              <w:t>WIPO GREEN</w:t>
            </w:r>
            <w:r w:rsidRPr="00F13C21">
              <w:rPr>
                <w:color w:val="000000"/>
                <w:sz w:val="16"/>
                <w:szCs w:val="16"/>
              </w:rPr>
              <w:t xml:space="preserve"> </w:t>
            </w:r>
            <w:r w:rsidRPr="00F13C21">
              <w:rPr>
                <w:color w:val="000000"/>
                <w:sz w:val="16"/>
                <w:szCs w:val="16"/>
              </w:rPr>
              <w:br/>
            </w:r>
            <w:r w:rsidRPr="00F13C21">
              <w:rPr>
                <w:color w:val="000000"/>
                <w:sz w:val="16"/>
                <w:szCs w:val="16"/>
              </w:rPr>
              <w:br/>
              <w:t>N</w:t>
            </w:r>
            <w:r>
              <w:rPr>
                <w:color w:val="000000"/>
                <w:sz w:val="16"/>
                <w:szCs w:val="16"/>
              </w:rPr>
              <w:t>º</w:t>
            </w:r>
            <w:r w:rsidRPr="00F13C21">
              <w:rPr>
                <w:color w:val="000000"/>
                <w:sz w:val="16"/>
                <w:szCs w:val="16"/>
              </w:rPr>
              <w:t xml:space="preserve"> de </w:t>
            </w:r>
            <w:r>
              <w:rPr>
                <w:color w:val="000000"/>
                <w:sz w:val="16"/>
                <w:szCs w:val="16"/>
              </w:rPr>
              <w:t>registros</w:t>
            </w:r>
            <w:r w:rsidRPr="00F13C21">
              <w:rPr>
                <w:color w:val="000000"/>
                <w:sz w:val="16"/>
                <w:szCs w:val="16"/>
              </w:rPr>
              <w:t xml:space="preserve"> en la base de datos de </w:t>
            </w:r>
            <w:r w:rsidRPr="004252B2">
              <w:rPr>
                <w:i/>
                <w:color w:val="000000"/>
                <w:sz w:val="16"/>
                <w:szCs w:val="16"/>
              </w:rPr>
              <w:t>WIPO GREEN</w:t>
            </w:r>
            <w:r w:rsidRPr="00F13C21">
              <w:rPr>
                <w:color w:val="000000"/>
                <w:sz w:val="16"/>
                <w:szCs w:val="16"/>
              </w:rPr>
              <w:t xml:space="preserve"> </w:t>
            </w:r>
            <w:r w:rsidRPr="00F13C21">
              <w:rPr>
                <w:color w:val="000000"/>
                <w:sz w:val="16"/>
                <w:szCs w:val="16"/>
              </w:rPr>
              <w:br/>
            </w:r>
            <w:r w:rsidRPr="00F13C21">
              <w:rPr>
                <w:color w:val="000000"/>
                <w:sz w:val="16"/>
                <w:szCs w:val="16"/>
              </w:rPr>
              <w:br/>
              <w:t>N</w:t>
            </w:r>
            <w:r>
              <w:rPr>
                <w:color w:val="000000"/>
                <w:sz w:val="16"/>
                <w:szCs w:val="16"/>
              </w:rPr>
              <w:t>º</w:t>
            </w:r>
            <w:r w:rsidRPr="00F13C21">
              <w:rPr>
                <w:color w:val="000000"/>
                <w:sz w:val="16"/>
                <w:szCs w:val="16"/>
              </w:rPr>
              <w:t xml:space="preserve"> de acuerdos</w:t>
            </w:r>
            <w:r>
              <w:rPr>
                <w:color w:val="000000"/>
                <w:sz w:val="16"/>
                <w:szCs w:val="16"/>
              </w:rPr>
              <w:t xml:space="preserve"> </w:t>
            </w:r>
            <w:r w:rsidRPr="00F13C21">
              <w:rPr>
                <w:color w:val="000000"/>
                <w:sz w:val="16"/>
                <w:szCs w:val="16"/>
              </w:rPr>
              <w:t>c</w:t>
            </w:r>
            <w:r>
              <w:rPr>
                <w:color w:val="000000"/>
                <w:sz w:val="16"/>
                <w:szCs w:val="16"/>
              </w:rPr>
              <w:t>oncreti</w:t>
            </w:r>
            <w:r w:rsidRPr="00F13C21">
              <w:rPr>
                <w:color w:val="000000"/>
                <w:sz w:val="16"/>
                <w:szCs w:val="16"/>
              </w:rPr>
              <w:t xml:space="preserve">zados </w:t>
            </w:r>
            <w:r>
              <w:rPr>
                <w:color w:val="000000"/>
                <w:sz w:val="16"/>
                <w:szCs w:val="16"/>
              </w:rPr>
              <w:t>gracias a</w:t>
            </w:r>
            <w:r w:rsidRPr="00F13C21">
              <w:rPr>
                <w:color w:val="000000"/>
                <w:sz w:val="16"/>
                <w:szCs w:val="16"/>
              </w:rPr>
              <w:t xml:space="preserve"> </w:t>
            </w:r>
            <w:r w:rsidRPr="004252B2">
              <w:rPr>
                <w:i/>
                <w:color w:val="000000"/>
                <w:sz w:val="16"/>
                <w:szCs w:val="16"/>
              </w:rPr>
              <w:t>WIPO GREEN</w:t>
            </w:r>
            <w:r w:rsidRPr="00F13C21">
              <w:rPr>
                <w:color w:val="000000"/>
                <w:sz w:val="16"/>
                <w:szCs w:val="16"/>
              </w:rPr>
              <w:t xml:space="preserve"> que facilitan la</w:t>
            </w:r>
            <w:r>
              <w:rPr>
                <w:color w:val="000000"/>
                <w:sz w:val="16"/>
                <w:szCs w:val="16"/>
              </w:rPr>
              <w:t xml:space="preserve"> </w:t>
            </w:r>
            <w:r w:rsidRPr="00F13C21">
              <w:rPr>
                <w:color w:val="000000"/>
                <w:sz w:val="16"/>
                <w:szCs w:val="16"/>
              </w:rPr>
              <w:t>transferencia de conocimiento</w:t>
            </w:r>
            <w:r>
              <w:rPr>
                <w:color w:val="000000"/>
                <w:sz w:val="16"/>
                <w:szCs w:val="16"/>
              </w:rPr>
              <w:t xml:space="preserve"> </w:t>
            </w:r>
            <w:r w:rsidRPr="00F13C21">
              <w:rPr>
                <w:color w:val="000000"/>
                <w:sz w:val="16"/>
                <w:szCs w:val="16"/>
              </w:rPr>
              <w:t>así como la adaptación,</w:t>
            </w:r>
            <w:r>
              <w:rPr>
                <w:color w:val="000000"/>
                <w:sz w:val="16"/>
                <w:szCs w:val="16"/>
              </w:rPr>
              <w:t xml:space="preserve"> </w:t>
            </w:r>
            <w:r w:rsidRPr="00F13C21">
              <w:rPr>
                <w:color w:val="000000"/>
                <w:sz w:val="16"/>
                <w:szCs w:val="16"/>
              </w:rPr>
              <w:t>transferencia o difusión de</w:t>
            </w:r>
            <w:r>
              <w:rPr>
                <w:color w:val="000000"/>
                <w:sz w:val="16"/>
                <w:szCs w:val="16"/>
              </w:rPr>
              <w:t xml:space="preserve"> </w:t>
            </w:r>
            <w:r w:rsidRPr="00F13C21">
              <w:rPr>
                <w:color w:val="000000"/>
                <w:sz w:val="16"/>
                <w:szCs w:val="16"/>
              </w:rPr>
              <w:t>tecnología</w:t>
            </w:r>
          </w:p>
        </w:tc>
        <w:tc>
          <w:tcPr>
            <w:tcW w:w="2520" w:type="dxa"/>
            <w:tcBorders>
              <w:top w:val="single" w:sz="4" w:space="0" w:color="auto"/>
              <w:left w:val="nil"/>
              <w:right w:val="nil"/>
            </w:tcBorders>
            <w:shd w:val="clear" w:color="000000" w:fill="FFFFFF"/>
            <w:hideMark/>
          </w:tcPr>
          <w:p w:rsidR="00236E18" w:rsidRPr="00F13C21" w:rsidRDefault="00236E18" w:rsidP="00294272">
            <w:pPr>
              <w:ind w:left="290"/>
              <w:rPr>
                <w:color w:val="000000"/>
                <w:sz w:val="16"/>
                <w:szCs w:val="16"/>
              </w:rPr>
            </w:pPr>
            <w:r w:rsidRPr="00F13C21">
              <w:rPr>
                <w:color w:val="000000"/>
                <w:sz w:val="16"/>
                <w:szCs w:val="16"/>
              </w:rPr>
              <w:t>57 asociados;  430 usuarios</w:t>
            </w:r>
            <w:r>
              <w:rPr>
                <w:color w:val="000000"/>
                <w:sz w:val="16"/>
                <w:szCs w:val="16"/>
              </w:rPr>
              <w:t xml:space="preserve"> </w:t>
            </w:r>
            <w:r w:rsidRPr="00F13C21">
              <w:rPr>
                <w:color w:val="000000"/>
                <w:sz w:val="16"/>
                <w:szCs w:val="16"/>
              </w:rPr>
              <w:t>(al 24 de abril de 2015)</w:t>
            </w:r>
            <w:r w:rsidRPr="00F13C21">
              <w:rPr>
                <w:color w:val="000000"/>
                <w:sz w:val="16"/>
                <w:szCs w:val="16"/>
              </w:rPr>
              <w:br/>
            </w:r>
            <w:r w:rsidRPr="00F13C21">
              <w:rPr>
                <w:color w:val="000000"/>
                <w:sz w:val="16"/>
                <w:szCs w:val="16"/>
              </w:rPr>
              <w:br/>
              <w:t xml:space="preserve">2.050 </w:t>
            </w:r>
            <w:r>
              <w:rPr>
                <w:color w:val="000000"/>
                <w:sz w:val="16"/>
                <w:szCs w:val="16"/>
              </w:rPr>
              <w:t>registros</w:t>
            </w:r>
          </w:p>
          <w:p w:rsidR="00236E18" w:rsidRPr="00F13C21" w:rsidRDefault="00236E18" w:rsidP="00294272">
            <w:pPr>
              <w:ind w:left="290"/>
              <w:rPr>
                <w:color w:val="000000"/>
                <w:sz w:val="16"/>
                <w:szCs w:val="16"/>
              </w:rPr>
            </w:pPr>
            <w:r w:rsidRPr="00F13C21">
              <w:rPr>
                <w:color w:val="000000"/>
                <w:sz w:val="16"/>
                <w:szCs w:val="16"/>
              </w:rPr>
              <w:t>(al 24 de abril de 2015)</w:t>
            </w:r>
            <w:r w:rsidRPr="00F13C21">
              <w:rPr>
                <w:color w:val="000000"/>
                <w:sz w:val="16"/>
                <w:szCs w:val="16"/>
              </w:rPr>
              <w:br/>
            </w:r>
            <w:r w:rsidRPr="00F13C21">
              <w:rPr>
                <w:color w:val="000000"/>
                <w:sz w:val="16"/>
                <w:szCs w:val="16"/>
              </w:rPr>
              <w:br/>
              <w:t xml:space="preserve">7 acuerdos (AUTM, DKPTO, EACIN, </w:t>
            </w:r>
            <w:r w:rsidRPr="000C438B">
              <w:rPr>
                <w:i/>
                <w:color w:val="000000"/>
                <w:sz w:val="16"/>
                <w:szCs w:val="16"/>
              </w:rPr>
              <w:t>Eco-</w:t>
            </w:r>
            <w:proofErr w:type="spellStart"/>
            <w:r w:rsidRPr="000C438B">
              <w:rPr>
                <w:i/>
                <w:color w:val="000000"/>
                <w:sz w:val="16"/>
                <w:szCs w:val="16"/>
              </w:rPr>
              <w:t>patent</w:t>
            </w:r>
            <w:proofErr w:type="spellEnd"/>
            <w:r w:rsidRPr="000C438B">
              <w:rPr>
                <w:i/>
                <w:color w:val="000000"/>
                <w:sz w:val="16"/>
                <w:szCs w:val="16"/>
              </w:rPr>
              <w:t xml:space="preserve"> </w:t>
            </w:r>
            <w:proofErr w:type="spellStart"/>
            <w:r w:rsidRPr="000C438B">
              <w:rPr>
                <w:i/>
                <w:color w:val="000000"/>
                <w:sz w:val="16"/>
                <w:szCs w:val="16"/>
              </w:rPr>
              <w:t>commons</w:t>
            </w:r>
            <w:proofErr w:type="spellEnd"/>
            <w:r w:rsidRPr="00F13C21">
              <w:rPr>
                <w:color w:val="000000"/>
                <w:sz w:val="16"/>
                <w:szCs w:val="16"/>
              </w:rPr>
              <w:t xml:space="preserve">, KOTEC, </w:t>
            </w:r>
            <w:proofErr w:type="spellStart"/>
            <w:r w:rsidRPr="000C438B">
              <w:rPr>
                <w:i/>
                <w:color w:val="000000"/>
                <w:sz w:val="16"/>
                <w:szCs w:val="16"/>
              </w:rPr>
              <w:t>TechnologieAllianz</w:t>
            </w:r>
            <w:proofErr w:type="spellEnd"/>
            <w:r w:rsidRPr="00F13C21">
              <w:rPr>
                <w:color w:val="000000"/>
                <w:sz w:val="16"/>
                <w:szCs w:val="16"/>
              </w:rPr>
              <w:t>, Oficina de las Naciones Unidas para la Cooperación Sur-Sur (al 24 de abril de 2015)</w:t>
            </w:r>
          </w:p>
        </w:tc>
        <w:tc>
          <w:tcPr>
            <w:tcW w:w="2020" w:type="dxa"/>
            <w:tcBorders>
              <w:top w:val="single" w:sz="4" w:space="0" w:color="auto"/>
              <w:left w:val="nil"/>
              <w:right w:val="single" w:sz="4" w:space="0" w:color="auto"/>
            </w:tcBorders>
            <w:shd w:val="clear" w:color="000000" w:fill="FFFFFF"/>
            <w:hideMark/>
          </w:tcPr>
          <w:p w:rsidR="00236E18" w:rsidRPr="00F13C21" w:rsidRDefault="00236E18" w:rsidP="00294272">
            <w:pPr>
              <w:ind w:left="180"/>
              <w:rPr>
                <w:color w:val="000000"/>
                <w:sz w:val="16"/>
                <w:szCs w:val="16"/>
              </w:rPr>
            </w:pPr>
            <w:r w:rsidRPr="00F13C21">
              <w:rPr>
                <w:color w:val="000000"/>
                <w:sz w:val="16"/>
                <w:szCs w:val="16"/>
              </w:rPr>
              <w:t>14 nuevos asociados;  200 nuevos usuarios</w:t>
            </w:r>
          </w:p>
          <w:p w:rsidR="00236E18" w:rsidRPr="00F13C21" w:rsidRDefault="00236E18" w:rsidP="00294272">
            <w:pPr>
              <w:ind w:left="180"/>
              <w:rPr>
                <w:color w:val="000000"/>
                <w:sz w:val="16"/>
                <w:szCs w:val="16"/>
              </w:rPr>
            </w:pPr>
            <w:r w:rsidRPr="00F13C21">
              <w:rPr>
                <w:color w:val="000000"/>
                <w:sz w:val="16"/>
                <w:szCs w:val="16"/>
              </w:rPr>
              <w:br/>
              <w:t>1.200 nuev</w:t>
            </w:r>
            <w:r>
              <w:rPr>
                <w:color w:val="000000"/>
                <w:sz w:val="16"/>
                <w:szCs w:val="16"/>
              </w:rPr>
              <w:t>o</w:t>
            </w:r>
            <w:r w:rsidRPr="00F13C21">
              <w:rPr>
                <w:color w:val="000000"/>
                <w:sz w:val="16"/>
                <w:szCs w:val="16"/>
              </w:rPr>
              <w:t xml:space="preserve">s </w:t>
            </w:r>
            <w:r>
              <w:rPr>
                <w:color w:val="000000"/>
                <w:sz w:val="16"/>
                <w:szCs w:val="16"/>
              </w:rPr>
              <w:t>registros</w:t>
            </w:r>
            <w:r w:rsidRPr="00F13C21">
              <w:rPr>
                <w:color w:val="000000"/>
                <w:sz w:val="16"/>
                <w:szCs w:val="16"/>
              </w:rPr>
              <w:t xml:space="preserve"> </w:t>
            </w:r>
            <w:r w:rsidRPr="00F13C21">
              <w:rPr>
                <w:color w:val="000000"/>
                <w:sz w:val="16"/>
                <w:szCs w:val="16"/>
              </w:rPr>
              <w:br/>
            </w:r>
            <w:r>
              <w:rPr>
                <w:color w:val="000000"/>
                <w:sz w:val="16"/>
                <w:szCs w:val="16"/>
              </w:rPr>
              <w:br/>
            </w:r>
            <w:r w:rsidRPr="00F13C21">
              <w:rPr>
                <w:color w:val="000000"/>
                <w:sz w:val="16"/>
                <w:szCs w:val="16"/>
              </w:rPr>
              <w:br/>
              <w:t>10 acuerdos</w:t>
            </w:r>
          </w:p>
        </w:tc>
      </w:tr>
      <w:tr w:rsidR="00236E18" w:rsidRPr="009573A5" w:rsidTr="00294272">
        <w:trPr>
          <w:trHeight w:val="1269"/>
        </w:trPr>
        <w:tc>
          <w:tcPr>
            <w:tcW w:w="2340" w:type="dxa"/>
            <w:tcBorders>
              <w:left w:val="single" w:sz="4" w:space="0" w:color="auto"/>
              <w:bottom w:val="nil"/>
              <w:right w:val="nil"/>
            </w:tcBorders>
            <w:shd w:val="clear" w:color="000000" w:fill="FFFFFF"/>
            <w:hideMark/>
          </w:tcPr>
          <w:p w:rsidR="00236E18" w:rsidRPr="00F13C21" w:rsidRDefault="00236E18" w:rsidP="00294272">
            <w:pPr>
              <w:rPr>
                <w:color w:val="000000"/>
                <w:sz w:val="16"/>
                <w:szCs w:val="16"/>
              </w:rPr>
            </w:pPr>
            <w:r w:rsidRPr="00F13C21">
              <w:rPr>
                <w:color w:val="000000"/>
                <w:sz w:val="16"/>
                <w:szCs w:val="16"/>
              </w:rPr>
              <w:t> </w:t>
            </w:r>
          </w:p>
        </w:tc>
        <w:tc>
          <w:tcPr>
            <w:tcW w:w="2380" w:type="dxa"/>
            <w:tcBorders>
              <w:left w:val="nil"/>
              <w:bottom w:val="nil"/>
              <w:right w:val="nil"/>
            </w:tcBorders>
            <w:shd w:val="clear" w:color="000000" w:fill="FFFFFF"/>
            <w:hideMark/>
          </w:tcPr>
          <w:p w:rsidR="00236E18" w:rsidRPr="00F13C21" w:rsidRDefault="00236E18" w:rsidP="00294272">
            <w:pPr>
              <w:ind w:left="261"/>
              <w:rPr>
                <w:color w:val="000000"/>
                <w:sz w:val="16"/>
                <w:szCs w:val="16"/>
              </w:rPr>
            </w:pPr>
          </w:p>
          <w:p w:rsidR="00236E18" w:rsidRPr="00F13C21" w:rsidRDefault="00236E18" w:rsidP="00294272">
            <w:pPr>
              <w:ind w:left="261"/>
              <w:rPr>
                <w:color w:val="000000"/>
                <w:sz w:val="16"/>
                <w:szCs w:val="16"/>
              </w:rPr>
            </w:pPr>
            <w:r w:rsidRPr="00F13C21">
              <w:rPr>
                <w:color w:val="000000"/>
                <w:sz w:val="16"/>
                <w:szCs w:val="16"/>
              </w:rPr>
              <w:t>Avances realizados en la creación de un marco internacional de colaboración para una contribución eficaz de la P.I. a la seguridad alimentaria mediante la creación de un proceso consultivo</w:t>
            </w:r>
          </w:p>
        </w:tc>
        <w:tc>
          <w:tcPr>
            <w:tcW w:w="2520" w:type="dxa"/>
            <w:tcBorders>
              <w:left w:val="nil"/>
              <w:bottom w:val="nil"/>
              <w:right w:val="nil"/>
            </w:tcBorders>
            <w:shd w:val="clear" w:color="000000" w:fill="FFFFFF"/>
            <w:hideMark/>
          </w:tcPr>
          <w:p w:rsidR="00236E18" w:rsidRPr="005642B2" w:rsidRDefault="00236E18" w:rsidP="00294272">
            <w:pPr>
              <w:ind w:firstLineChars="200" w:firstLine="320"/>
              <w:rPr>
                <w:sz w:val="16"/>
                <w:szCs w:val="16"/>
                <w:lang w:val="es-ES_tradnl"/>
              </w:rPr>
            </w:pPr>
          </w:p>
          <w:p w:rsidR="00236E18" w:rsidRPr="00F13C21" w:rsidRDefault="00236E18" w:rsidP="00294272">
            <w:pPr>
              <w:ind w:firstLineChars="200" w:firstLine="320"/>
              <w:rPr>
                <w:color w:val="000000"/>
                <w:sz w:val="16"/>
                <w:szCs w:val="16"/>
              </w:rPr>
            </w:pPr>
            <w:proofErr w:type="spellStart"/>
            <w:r>
              <w:rPr>
                <w:sz w:val="16"/>
                <w:szCs w:val="16"/>
                <w:lang w:val="es-ES_tradnl"/>
              </w:rPr>
              <w:t>n.d</w:t>
            </w:r>
            <w:proofErr w:type="spellEnd"/>
            <w:r>
              <w:rPr>
                <w:sz w:val="16"/>
                <w:szCs w:val="16"/>
                <w:lang w:val="es-ES_tradnl"/>
              </w:rPr>
              <w:t>.</w:t>
            </w:r>
          </w:p>
        </w:tc>
        <w:tc>
          <w:tcPr>
            <w:tcW w:w="2020" w:type="dxa"/>
            <w:tcBorders>
              <w:left w:val="nil"/>
              <w:bottom w:val="nil"/>
              <w:right w:val="single" w:sz="4" w:space="0" w:color="auto"/>
            </w:tcBorders>
            <w:shd w:val="clear" w:color="000000" w:fill="FFFFFF"/>
            <w:hideMark/>
          </w:tcPr>
          <w:p w:rsidR="00236E18" w:rsidRPr="00F13C21" w:rsidRDefault="00236E18" w:rsidP="00294272">
            <w:pPr>
              <w:ind w:left="180"/>
              <w:rPr>
                <w:color w:val="000000"/>
                <w:sz w:val="16"/>
                <w:szCs w:val="16"/>
              </w:rPr>
            </w:pPr>
          </w:p>
          <w:p w:rsidR="00236E18" w:rsidRPr="00F13C21" w:rsidRDefault="00236E18" w:rsidP="00294272">
            <w:pPr>
              <w:ind w:left="180"/>
              <w:rPr>
                <w:color w:val="000000"/>
                <w:sz w:val="16"/>
                <w:szCs w:val="16"/>
              </w:rPr>
            </w:pPr>
            <w:r w:rsidRPr="00F13C21">
              <w:rPr>
                <w:color w:val="000000"/>
                <w:sz w:val="16"/>
                <w:szCs w:val="16"/>
              </w:rPr>
              <w:t>Se elabora un proyecto de marco general</w:t>
            </w:r>
          </w:p>
        </w:tc>
      </w:tr>
      <w:tr w:rsidR="00236E18" w:rsidRPr="00F13C21" w:rsidTr="00294272">
        <w:trPr>
          <w:trHeight w:val="1521"/>
        </w:trPr>
        <w:tc>
          <w:tcPr>
            <w:tcW w:w="2340" w:type="dxa"/>
            <w:tcBorders>
              <w:top w:val="nil"/>
              <w:left w:val="single" w:sz="4" w:space="0" w:color="auto"/>
              <w:bottom w:val="single" w:sz="4" w:space="0" w:color="auto"/>
              <w:right w:val="nil"/>
            </w:tcBorders>
            <w:shd w:val="clear" w:color="000000" w:fill="FFFFFF"/>
            <w:hideMark/>
          </w:tcPr>
          <w:p w:rsidR="00236E18" w:rsidRPr="00F13C21" w:rsidRDefault="00236E18" w:rsidP="00294272">
            <w:pPr>
              <w:rPr>
                <w:color w:val="000000"/>
                <w:sz w:val="16"/>
                <w:szCs w:val="16"/>
              </w:rPr>
            </w:pPr>
            <w:r w:rsidRPr="00F13C21">
              <w:rPr>
                <w:color w:val="000000"/>
                <w:sz w:val="16"/>
                <w:szCs w:val="16"/>
              </w:rPr>
              <w:t> </w:t>
            </w:r>
          </w:p>
        </w:tc>
        <w:tc>
          <w:tcPr>
            <w:tcW w:w="2380" w:type="dxa"/>
            <w:tcBorders>
              <w:top w:val="nil"/>
              <w:left w:val="nil"/>
              <w:bottom w:val="single" w:sz="4" w:space="0" w:color="auto"/>
              <w:right w:val="nil"/>
            </w:tcBorders>
            <w:shd w:val="clear" w:color="000000" w:fill="FFFFFF"/>
            <w:hideMark/>
          </w:tcPr>
          <w:p w:rsidR="00236E18" w:rsidRPr="00F13C21" w:rsidRDefault="00236E18" w:rsidP="00294272">
            <w:pPr>
              <w:ind w:left="261"/>
              <w:rPr>
                <w:color w:val="000000"/>
                <w:sz w:val="16"/>
                <w:szCs w:val="16"/>
              </w:rPr>
            </w:pPr>
          </w:p>
          <w:p w:rsidR="00236E18" w:rsidRPr="00F13C21" w:rsidRDefault="00236E18" w:rsidP="00294272">
            <w:pPr>
              <w:ind w:left="261"/>
              <w:rPr>
                <w:color w:val="000000"/>
                <w:sz w:val="16"/>
                <w:szCs w:val="16"/>
              </w:rPr>
            </w:pPr>
            <w:r w:rsidRPr="00F13C21">
              <w:rPr>
                <w:color w:val="000000"/>
                <w:sz w:val="16"/>
                <w:szCs w:val="16"/>
              </w:rPr>
              <w:t>N</w:t>
            </w:r>
            <w:r>
              <w:rPr>
                <w:color w:val="000000"/>
                <w:sz w:val="16"/>
                <w:szCs w:val="16"/>
              </w:rPr>
              <w:t>º</w:t>
            </w:r>
            <w:r w:rsidRPr="00F13C21">
              <w:rPr>
                <w:color w:val="000000"/>
                <w:sz w:val="16"/>
                <w:szCs w:val="16"/>
              </w:rPr>
              <w:t xml:space="preserve"> de visitas al sitio web </w:t>
            </w:r>
            <w:r w:rsidRPr="00F13C21">
              <w:rPr>
                <w:color w:val="000000"/>
                <w:sz w:val="16"/>
                <w:szCs w:val="16"/>
                <w:lang w:val="es-ES_tradnl"/>
              </w:rPr>
              <w:t>Desafíos Mundiales</w:t>
            </w:r>
          </w:p>
        </w:tc>
        <w:tc>
          <w:tcPr>
            <w:tcW w:w="2520" w:type="dxa"/>
            <w:tcBorders>
              <w:top w:val="nil"/>
              <w:left w:val="nil"/>
              <w:bottom w:val="single" w:sz="4" w:space="0" w:color="auto"/>
              <w:right w:val="nil"/>
            </w:tcBorders>
            <w:shd w:val="clear" w:color="000000" w:fill="FFFFFF"/>
            <w:hideMark/>
          </w:tcPr>
          <w:p w:rsidR="00236E18" w:rsidRPr="00F13C21" w:rsidRDefault="00236E18" w:rsidP="00294272">
            <w:pPr>
              <w:ind w:left="290"/>
              <w:rPr>
                <w:color w:val="000000"/>
                <w:sz w:val="16"/>
                <w:szCs w:val="16"/>
              </w:rPr>
            </w:pPr>
          </w:p>
          <w:p w:rsidR="00236E18" w:rsidRPr="00F13C21" w:rsidRDefault="00236E18" w:rsidP="00294272">
            <w:pPr>
              <w:ind w:left="290"/>
              <w:rPr>
                <w:color w:val="000000"/>
                <w:sz w:val="16"/>
                <w:szCs w:val="16"/>
              </w:rPr>
            </w:pPr>
            <w:r w:rsidRPr="00F13C21">
              <w:rPr>
                <w:color w:val="000000"/>
                <w:sz w:val="16"/>
                <w:szCs w:val="16"/>
              </w:rPr>
              <w:t xml:space="preserve">Número de visitas: </w:t>
            </w:r>
            <w:r w:rsidRPr="00F13C21">
              <w:rPr>
                <w:color w:val="000000"/>
                <w:sz w:val="16"/>
                <w:szCs w:val="16"/>
              </w:rPr>
              <w:br/>
              <w:t>- GCD (</w:t>
            </w:r>
            <w:r w:rsidRPr="00F13C21">
              <w:rPr>
                <w:color w:val="000000"/>
                <w:sz w:val="16"/>
                <w:szCs w:val="16"/>
                <w:lang w:val="es-ES_tradnl"/>
              </w:rPr>
              <w:t>División de Desafíos Mundiales)</w:t>
            </w:r>
            <w:r w:rsidRPr="00F13C21">
              <w:rPr>
                <w:color w:val="000000"/>
                <w:sz w:val="16"/>
                <w:szCs w:val="16"/>
              </w:rPr>
              <w:t xml:space="preserve">:  1.353 </w:t>
            </w:r>
            <w:r w:rsidRPr="00F13C21">
              <w:rPr>
                <w:color w:val="000000"/>
                <w:sz w:val="16"/>
                <w:szCs w:val="16"/>
              </w:rPr>
              <w:br/>
              <w:t>- La salud mundial y la P.I.:</w:t>
            </w:r>
          </w:p>
          <w:p w:rsidR="00236E18" w:rsidRPr="009573A5" w:rsidRDefault="00236E18" w:rsidP="00294272">
            <w:pPr>
              <w:ind w:left="290"/>
              <w:rPr>
                <w:color w:val="000000"/>
                <w:sz w:val="16"/>
                <w:szCs w:val="16"/>
              </w:rPr>
            </w:pPr>
            <w:r w:rsidRPr="00F13C21">
              <w:rPr>
                <w:color w:val="000000"/>
                <w:sz w:val="16"/>
                <w:szCs w:val="16"/>
              </w:rPr>
              <w:t xml:space="preserve"> 4.778</w:t>
            </w:r>
            <w:r w:rsidRPr="00F13C21">
              <w:rPr>
                <w:color w:val="000000"/>
                <w:sz w:val="16"/>
                <w:szCs w:val="16"/>
              </w:rPr>
              <w:br/>
              <w:t>- El cambio climático y la P.I.:</w:t>
            </w:r>
            <w:r>
              <w:rPr>
                <w:color w:val="000000"/>
                <w:sz w:val="16"/>
                <w:szCs w:val="16"/>
              </w:rPr>
              <w:t xml:space="preserve">  </w:t>
            </w:r>
            <w:r w:rsidRPr="00F13C21">
              <w:rPr>
                <w:color w:val="000000"/>
                <w:sz w:val="16"/>
                <w:szCs w:val="16"/>
              </w:rPr>
              <w:t xml:space="preserve"> </w:t>
            </w:r>
            <w:r w:rsidRPr="009573A5">
              <w:rPr>
                <w:color w:val="000000"/>
                <w:sz w:val="16"/>
                <w:szCs w:val="16"/>
              </w:rPr>
              <w:t xml:space="preserve">2.462 </w:t>
            </w:r>
            <w:r w:rsidRPr="009573A5">
              <w:rPr>
                <w:color w:val="000000"/>
                <w:sz w:val="16"/>
                <w:szCs w:val="16"/>
              </w:rPr>
              <w:br/>
              <w:t xml:space="preserve">- </w:t>
            </w:r>
            <w:r w:rsidRPr="004252B2">
              <w:rPr>
                <w:i/>
                <w:color w:val="000000"/>
                <w:sz w:val="16"/>
                <w:szCs w:val="16"/>
              </w:rPr>
              <w:t xml:space="preserve">WIPO </w:t>
            </w:r>
            <w:proofErr w:type="spellStart"/>
            <w:r w:rsidRPr="004252B2">
              <w:rPr>
                <w:i/>
                <w:color w:val="000000"/>
                <w:sz w:val="16"/>
                <w:szCs w:val="16"/>
              </w:rPr>
              <w:t>Re:Search</w:t>
            </w:r>
            <w:proofErr w:type="spellEnd"/>
            <w:r w:rsidRPr="009573A5">
              <w:rPr>
                <w:color w:val="000000"/>
                <w:sz w:val="16"/>
                <w:szCs w:val="16"/>
              </w:rPr>
              <w:t xml:space="preserve">:  38.852 </w:t>
            </w:r>
            <w:r w:rsidRPr="009573A5">
              <w:rPr>
                <w:color w:val="000000"/>
                <w:sz w:val="16"/>
                <w:szCs w:val="16"/>
              </w:rPr>
              <w:br/>
              <w:t xml:space="preserve">- </w:t>
            </w:r>
            <w:r w:rsidRPr="004252B2">
              <w:rPr>
                <w:i/>
                <w:color w:val="000000"/>
                <w:sz w:val="16"/>
                <w:szCs w:val="16"/>
              </w:rPr>
              <w:t>WIPO GREEN</w:t>
            </w:r>
            <w:r w:rsidRPr="009573A5">
              <w:rPr>
                <w:color w:val="000000"/>
                <w:sz w:val="16"/>
                <w:szCs w:val="16"/>
              </w:rPr>
              <w:t>:  77.752</w:t>
            </w:r>
          </w:p>
        </w:tc>
        <w:tc>
          <w:tcPr>
            <w:tcW w:w="2020" w:type="dxa"/>
            <w:tcBorders>
              <w:top w:val="nil"/>
              <w:left w:val="nil"/>
              <w:bottom w:val="single" w:sz="4" w:space="0" w:color="auto"/>
              <w:right w:val="single" w:sz="4" w:space="0" w:color="auto"/>
            </w:tcBorders>
            <w:shd w:val="clear" w:color="000000" w:fill="FFFFFF"/>
            <w:hideMark/>
          </w:tcPr>
          <w:p w:rsidR="00236E18" w:rsidRPr="00F13C21" w:rsidRDefault="00236E18" w:rsidP="00294272">
            <w:pPr>
              <w:ind w:left="180"/>
              <w:rPr>
                <w:color w:val="000000"/>
                <w:sz w:val="16"/>
                <w:szCs w:val="16"/>
              </w:rPr>
            </w:pPr>
            <w:r w:rsidRPr="005642B2">
              <w:rPr>
                <w:color w:val="000000"/>
                <w:sz w:val="16"/>
                <w:szCs w:val="16"/>
              </w:rPr>
              <w:t>Aumento</w:t>
            </w:r>
            <w:r w:rsidRPr="005642B2">
              <w:rPr>
                <w:sz w:val="16"/>
                <w:szCs w:val="16"/>
                <w:lang w:val="es-ES_tradnl"/>
              </w:rPr>
              <w:t xml:space="preserve"> del 10%</w:t>
            </w:r>
            <w:r w:rsidRPr="005642B2">
              <w:rPr>
                <w:sz w:val="16"/>
                <w:szCs w:val="16"/>
              </w:rPr>
              <w:t xml:space="preserve"> </w:t>
            </w:r>
          </w:p>
        </w:tc>
      </w:tr>
    </w:tbl>
    <w:p w:rsidR="00236E18" w:rsidRPr="00F13C21" w:rsidRDefault="00236E18" w:rsidP="00236E18">
      <w:pPr>
        <w:tabs>
          <w:tab w:val="left" w:pos="567"/>
          <w:tab w:val="left" w:pos="1985"/>
        </w:tabs>
        <w:jc w:val="both"/>
        <w:rPr>
          <w:bCs/>
          <w:sz w:val="20"/>
        </w:rPr>
      </w:pPr>
    </w:p>
    <w:p w:rsidR="00236E18" w:rsidRPr="00F13C21" w:rsidRDefault="00236E18" w:rsidP="00236E18">
      <w:pPr>
        <w:widowControl w:val="0"/>
        <w:tabs>
          <w:tab w:val="left" w:pos="567"/>
          <w:tab w:val="left" w:pos="1985"/>
        </w:tabs>
        <w:jc w:val="both"/>
        <w:rPr>
          <w:bCs/>
          <w:sz w:val="20"/>
        </w:rPr>
      </w:pPr>
    </w:p>
    <w:p w:rsidR="00236E18" w:rsidRPr="00F13C21" w:rsidRDefault="00236E18" w:rsidP="00236E18">
      <w:pPr>
        <w:widowControl w:val="0"/>
        <w:tabs>
          <w:tab w:val="left" w:pos="567"/>
          <w:tab w:val="left" w:pos="1985"/>
        </w:tabs>
        <w:jc w:val="both"/>
        <w:rPr>
          <w:b/>
          <w:bCs/>
          <w:szCs w:val="22"/>
          <w:lang w:val="es-ES_tradnl"/>
        </w:rPr>
      </w:pPr>
      <w:r w:rsidRPr="00F13C21">
        <w:rPr>
          <w:b/>
          <w:bCs/>
          <w:color w:val="000000"/>
          <w:szCs w:val="22"/>
          <w:lang w:val="es-ES_tradnl"/>
        </w:rPr>
        <w:t>LA P.I. Y LA POLÍTICA DE COMPETENCIA</w:t>
      </w:r>
    </w:p>
    <w:p w:rsidR="00236E18" w:rsidRPr="00F13C21" w:rsidRDefault="00236E18" w:rsidP="00236E18">
      <w:pPr>
        <w:widowControl w:val="0"/>
        <w:tabs>
          <w:tab w:val="left" w:pos="567"/>
          <w:tab w:val="left" w:pos="1985"/>
        </w:tabs>
        <w:jc w:val="both"/>
        <w:rPr>
          <w:bCs/>
          <w:sz w:val="20"/>
          <w:lang w:val="es-ES_tradnl"/>
        </w:rPr>
      </w:pPr>
    </w:p>
    <w:p w:rsidR="00236E18" w:rsidRPr="00F13C21" w:rsidRDefault="00236E18" w:rsidP="00236E18">
      <w:pPr>
        <w:widowControl w:val="0"/>
        <w:tabs>
          <w:tab w:val="left" w:pos="567"/>
          <w:tab w:val="left" w:pos="1985"/>
        </w:tabs>
        <w:jc w:val="both"/>
        <w:rPr>
          <w:bCs/>
          <w:sz w:val="20"/>
          <w:lang w:val="es-ES_tradnl"/>
        </w:rPr>
      </w:pPr>
    </w:p>
    <w:p w:rsidR="00236E18" w:rsidRPr="000C438B" w:rsidRDefault="00236E18" w:rsidP="00236E18">
      <w:pPr>
        <w:widowControl w:val="0"/>
        <w:jc w:val="both"/>
        <w:rPr>
          <w:szCs w:val="22"/>
        </w:rPr>
      </w:pPr>
      <w:r w:rsidRPr="000C438B">
        <w:rPr>
          <w:szCs w:val="22"/>
          <w:lang w:val="es-ES_tradnl"/>
        </w:rPr>
        <w:t>CONTEXTO DE PLANIFICACIÓN</w:t>
      </w:r>
    </w:p>
    <w:p w:rsidR="00236E18" w:rsidRPr="00F13C21" w:rsidRDefault="00236E18" w:rsidP="00236E18">
      <w:pPr>
        <w:widowControl w:val="0"/>
        <w:jc w:val="both"/>
        <w:rPr>
          <w:sz w:val="20"/>
        </w:rPr>
      </w:pPr>
    </w:p>
    <w:p w:rsidR="00236E18" w:rsidRPr="00F13C21" w:rsidRDefault="00236E18" w:rsidP="00236E18">
      <w:pPr>
        <w:widowControl w:val="0"/>
        <w:numPr>
          <w:ilvl w:val="0"/>
          <w:numId w:val="33"/>
        </w:numPr>
        <w:tabs>
          <w:tab w:val="left" w:pos="709"/>
        </w:tabs>
        <w:jc w:val="both"/>
        <w:rPr>
          <w:sz w:val="20"/>
        </w:rPr>
      </w:pPr>
      <w:r w:rsidRPr="00F13C21">
        <w:rPr>
          <w:sz w:val="20"/>
        </w:rPr>
        <w:t xml:space="preserve">La labor </w:t>
      </w:r>
      <w:r>
        <w:rPr>
          <w:sz w:val="20"/>
        </w:rPr>
        <w:t xml:space="preserve">de la OMPI </w:t>
      </w:r>
      <w:r w:rsidRPr="00F13C21">
        <w:rPr>
          <w:sz w:val="20"/>
        </w:rPr>
        <w:t>relativa a la P.I. y la política de competencia está relacionada con las metas estratégicas I y III.  En lo que atañe a la meta estratégica I, las actividades tienen por objeto ofrecer a los Estados miembros de la OMPI las herramientas necesarias para establecer un marco normativo equilibrado a escala nacional que permita que la P.I. siga siendo el</w:t>
      </w:r>
      <w:r>
        <w:rPr>
          <w:sz w:val="20"/>
        </w:rPr>
        <w:t xml:space="preserve"> marco legal</w:t>
      </w:r>
      <w:r w:rsidRPr="00F13C21">
        <w:rPr>
          <w:sz w:val="20"/>
        </w:rPr>
        <w:t xml:space="preserve"> de referencia en los mercados libres y abiertos.  Esa labor debe al mismo tiempo garantizar que la libertad de mercado sea un importante catalizador del desarrollo.</w:t>
      </w:r>
    </w:p>
    <w:p w:rsidR="00236E18" w:rsidRPr="00F13C21" w:rsidRDefault="00236E18" w:rsidP="00236E18">
      <w:pPr>
        <w:jc w:val="both"/>
        <w:rPr>
          <w:sz w:val="20"/>
        </w:rPr>
      </w:pPr>
    </w:p>
    <w:p w:rsidR="00236E18" w:rsidRPr="00F13C21" w:rsidRDefault="00236E18" w:rsidP="00236E18">
      <w:pPr>
        <w:numPr>
          <w:ilvl w:val="0"/>
          <w:numId w:val="33"/>
        </w:numPr>
        <w:tabs>
          <w:tab w:val="left" w:pos="709"/>
        </w:tabs>
        <w:jc w:val="both"/>
        <w:rPr>
          <w:sz w:val="20"/>
        </w:rPr>
      </w:pPr>
      <w:r w:rsidRPr="00F13C21">
        <w:rPr>
          <w:sz w:val="20"/>
        </w:rPr>
        <w:t>La OMPI seguirá sirviendo de foro para el intercambio de experiencias entre los Estados miembros sobre la P.I. y la política de competencia mediante</w:t>
      </w:r>
      <w:r>
        <w:rPr>
          <w:sz w:val="20"/>
        </w:rPr>
        <w:t xml:space="preserve"> actividades de</w:t>
      </w:r>
      <w:r w:rsidRPr="00F13C21">
        <w:rPr>
          <w:sz w:val="20"/>
        </w:rPr>
        <w:t xml:space="preserve"> sensibilización y la divulgación de información, otorgando especial prioridad a los países en desarrollo y los PMA.</w:t>
      </w:r>
    </w:p>
    <w:p w:rsidR="00236E18" w:rsidRPr="00F13C21" w:rsidRDefault="00236E18" w:rsidP="00236E18">
      <w:pPr>
        <w:jc w:val="both"/>
        <w:rPr>
          <w:sz w:val="20"/>
        </w:rPr>
      </w:pPr>
    </w:p>
    <w:p w:rsidR="00236E18" w:rsidRPr="00F13C21" w:rsidRDefault="00236E18" w:rsidP="00236E18">
      <w:pPr>
        <w:jc w:val="both"/>
        <w:rPr>
          <w:sz w:val="20"/>
        </w:rPr>
      </w:pPr>
    </w:p>
    <w:p w:rsidR="00236E18" w:rsidRPr="000C438B" w:rsidRDefault="00236E18" w:rsidP="00236E18">
      <w:pPr>
        <w:jc w:val="both"/>
        <w:rPr>
          <w:szCs w:val="22"/>
        </w:rPr>
      </w:pPr>
      <w:r w:rsidRPr="000C438B">
        <w:rPr>
          <w:szCs w:val="22"/>
          <w:lang w:val="es-ES_tradnl"/>
        </w:rPr>
        <w:t>ESTRATEGIAS DE EJECUCIÓN</w:t>
      </w:r>
    </w:p>
    <w:p w:rsidR="00236E18" w:rsidRPr="00F13C21" w:rsidRDefault="00236E18" w:rsidP="00236E18">
      <w:pPr>
        <w:jc w:val="both"/>
        <w:rPr>
          <w:sz w:val="20"/>
        </w:rPr>
      </w:pPr>
    </w:p>
    <w:p w:rsidR="00236E18" w:rsidRPr="00F13C21" w:rsidRDefault="00236E18" w:rsidP="00236E18">
      <w:pPr>
        <w:numPr>
          <w:ilvl w:val="0"/>
          <w:numId w:val="33"/>
        </w:numPr>
        <w:tabs>
          <w:tab w:val="left" w:pos="709"/>
        </w:tabs>
        <w:jc w:val="both"/>
        <w:rPr>
          <w:sz w:val="20"/>
        </w:rPr>
      </w:pPr>
      <w:r w:rsidRPr="00F13C21">
        <w:rPr>
          <w:sz w:val="20"/>
        </w:rPr>
        <w:t xml:space="preserve">Las actividades relacionadas con el intercambio de experiencias y la asistencia a los Estados miembros en lo tocante a la interacción entre la P.I. y la política de competencia se continuarán en el periodo 2016/2017.  </w:t>
      </w:r>
      <w:r>
        <w:rPr>
          <w:sz w:val="20"/>
        </w:rPr>
        <w:t>Estas actividades abarcará</w:t>
      </w:r>
      <w:r w:rsidRPr="00F13C21">
        <w:rPr>
          <w:sz w:val="20"/>
        </w:rPr>
        <w:t>n el estudio y análisis del uso que hacen varios Estados miembros de las norma</w:t>
      </w:r>
      <w:r>
        <w:rPr>
          <w:sz w:val="20"/>
        </w:rPr>
        <w:t>s</w:t>
      </w:r>
      <w:r w:rsidRPr="00F13C21">
        <w:rPr>
          <w:sz w:val="20"/>
        </w:rPr>
        <w:t xml:space="preserve"> de protección contra la competencia desleal como mecanismo complementario a la </w:t>
      </w:r>
      <w:r>
        <w:rPr>
          <w:sz w:val="20"/>
        </w:rPr>
        <w:t>observancia</w:t>
      </w:r>
      <w:r w:rsidRPr="00F13C21">
        <w:rPr>
          <w:sz w:val="20"/>
        </w:rPr>
        <w:t xml:space="preserve"> de las leyes sobre competencia.</w:t>
      </w:r>
    </w:p>
    <w:p w:rsidR="00236E18" w:rsidRPr="00F13C21" w:rsidRDefault="00236E18" w:rsidP="00236E18">
      <w:pPr>
        <w:jc w:val="both"/>
        <w:rPr>
          <w:sz w:val="20"/>
        </w:rPr>
      </w:pPr>
    </w:p>
    <w:p w:rsidR="00236E18" w:rsidRPr="00F13C21" w:rsidRDefault="00236E18" w:rsidP="00236E18">
      <w:pPr>
        <w:numPr>
          <w:ilvl w:val="0"/>
          <w:numId w:val="33"/>
        </w:numPr>
        <w:tabs>
          <w:tab w:val="left" w:pos="709"/>
        </w:tabs>
        <w:jc w:val="both"/>
        <w:rPr>
          <w:sz w:val="20"/>
        </w:rPr>
      </w:pPr>
      <w:r w:rsidRPr="00F13C21">
        <w:rPr>
          <w:sz w:val="20"/>
        </w:rPr>
        <w:t>Asimismo, con el fin de evitar la duplicación de esfuerzos con otras organizaciones intergubernamentales, la OMPI seguirá coord</w:t>
      </w:r>
      <w:r>
        <w:rPr>
          <w:sz w:val="20"/>
        </w:rPr>
        <w:t>iná</w:t>
      </w:r>
      <w:r w:rsidRPr="00F13C21">
        <w:rPr>
          <w:sz w:val="20"/>
        </w:rPr>
        <w:t>ndo</w:t>
      </w:r>
      <w:r>
        <w:rPr>
          <w:sz w:val="20"/>
        </w:rPr>
        <w:t>se</w:t>
      </w:r>
      <w:r w:rsidRPr="00F13C21">
        <w:rPr>
          <w:sz w:val="20"/>
        </w:rPr>
        <w:t xml:space="preserve"> periódicamente con la Organización para la Cooperación y Desarrollo Económicos (OCDE), la OMC, la</w:t>
      </w:r>
      <w:r w:rsidRPr="00F13C21">
        <w:t xml:space="preserve"> </w:t>
      </w:r>
      <w:r w:rsidRPr="00F13C21">
        <w:rPr>
          <w:sz w:val="20"/>
        </w:rPr>
        <w:t xml:space="preserve">Conferencia de las Naciones Unidas sobre Comercio y Desarrollo (UNCTAD) y, cuando proceda, con la </w:t>
      </w:r>
      <w:r w:rsidRPr="00F13C21">
        <w:rPr>
          <w:i/>
          <w:sz w:val="20"/>
        </w:rPr>
        <w:t xml:space="preserve">International </w:t>
      </w:r>
      <w:proofErr w:type="spellStart"/>
      <w:r w:rsidRPr="00F13C21">
        <w:rPr>
          <w:i/>
          <w:sz w:val="20"/>
        </w:rPr>
        <w:t>Competition</w:t>
      </w:r>
      <w:proofErr w:type="spellEnd"/>
      <w:r w:rsidRPr="00F13C21">
        <w:rPr>
          <w:i/>
          <w:sz w:val="20"/>
        </w:rPr>
        <w:t xml:space="preserve"> Network</w:t>
      </w:r>
      <w:r w:rsidRPr="005642B2">
        <w:rPr>
          <w:sz w:val="20"/>
        </w:rPr>
        <w:t xml:space="preserve"> (ICN</w:t>
      </w:r>
      <w:r w:rsidRPr="00F13C21">
        <w:rPr>
          <w:sz w:val="20"/>
        </w:rPr>
        <w:t>).</w:t>
      </w:r>
    </w:p>
    <w:p w:rsidR="00236E18" w:rsidRPr="00E93F9E" w:rsidRDefault="00236E18" w:rsidP="00236E18">
      <w:pPr>
        <w:tabs>
          <w:tab w:val="left" w:pos="567"/>
          <w:tab w:val="left" w:pos="1985"/>
        </w:tabs>
        <w:jc w:val="both"/>
        <w:rPr>
          <w:bCs/>
          <w:sz w:val="20"/>
        </w:rPr>
      </w:pPr>
    </w:p>
    <w:p w:rsidR="00236E18" w:rsidRPr="00E93F9E" w:rsidRDefault="00236E18" w:rsidP="00236E18">
      <w:pPr>
        <w:tabs>
          <w:tab w:val="left" w:pos="567"/>
          <w:tab w:val="left" w:pos="1985"/>
        </w:tabs>
        <w:jc w:val="both"/>
        <w:rPr>
          <w:bCs/>
          <w:sz w:val="20"/>
        </w:rPr>
      </w:pPr>
    </w:p>
    <w:p w:rsidR="00236E18" w:rsidRPr="00222859" w:rsidRDefault="00236E18" w:rsidP="00236E18">
      <w:pPr>
        <w:tabs>
          <w:tab w:val="left" w:pos="567"/>
          <w:tab w:val="left" w:pos="1985"/>
        </w:tabs>
        <w:jc w:val="both"/>
        <w:rPr>
          <w:bCs/>
        </w:rPr>
      </w:pPr>
      <w:r w:rsidRPr="00222859">
        <w:rPr>
          <w:bCs/>
        </w:rPr>
        <w:t>RECURSOS PARA EL PROGRAMA 18</w:t>
      </w:r>
    </w:p>
    <w:p w:rsidR="00236E18" w:rsidRDefault="00236E18" w:rsidP="00236E18">
      <w:pPr>
        <w:tabs>
          <w:tab w:val="left" w:pos="709"/>
          <w:tab w:val="left" w:pos="1985"/>
        </w:tabs>
        <w:jc w:val="both"/>
        <w:rPr>
          <w:bCs/>
        </w:rPr>
      </w:pPr>
    </w:p>
    <w:p w:rsidR="00236E18" w:rsidRPr="00222859" w:rsidRDefault="00236E18" w:rsidP="00236E18">
      <w:pPr>
        <w:numPr>
          <w:ilvl w:val="0"/>
          <w:numId w:val="33"/>
        </w:numPr>
        <w:tabs>
          <w:tab w:val="left" w:pos="709"/>
        </w:tabs>
        <w:jc w:val="both"/>
        <w:rPr>
          <w:sz w:val="20"/>
        </w:rPr>
      </w:pPr>
      <w:r w:rsidRPr="00892A2A">
        <w:rPr>
          <w:sz w:val="20"/>
        </w:rPr>
        <w:t xml:space="preserve">En lo que respecta al programa 18, puede observarse una ligera disminución en </w:t>
      </w:r>
      <w:r>
        <w:rPr>
          <w:sz w:val="20"/>
        </w:rPr>
        <w:t>la dotación global de</w:t>
      </w:r>
      <w:r w:rsidRPr="00892A2A">
        <w:rPr>
          <w:sz w:val="20"/>
        </w:rPr>
        <w:t xml:space="preserve"> recursos para 2016/17 con respecto al presupuesto de 2014/</w:t>
      </w:r>
      <w:r>
        <w:rPr>
          <w:sz w:val="20"/>
        </w:rPr>
        <w:t>15 tras las</w:t>
      </w:r>
      <w:r w:rsidRPr="00892A2A">
        <w:rPr>
          <w:sz w:val="20"/>
        </w:rPr>
        <w:t xml:space="preserve"> transferencias.  Ello se debe a la reducción, en 2016/17, en la dotación de recursos </w:t>
      </w:r>
      <w:r>
        <w:rPr>
          <w:sz w:val="20"/>
        </w:rPr>
        <w:t>no relativos a personal</w:t>
      </w:r>
      <w:r w:rsidRPr="00892A2A">
        <w:rPr>
          <w:sz w:val="20"/>
        </w:rPr>
        <w:t xml:space="preserve"> para P.I. y políticas en materia de competencia y la reducción en la dotación de recursos de personal para el programa, debido al cambio introducido en 2016/17 en la metodología aplicada al cálculo de los costos de recursos de personal a partir del cálculo de los costos reales.</w:t>
      </w:r>
    </w:p>
    <w:p w:rsidR="00236E18" w:rsidRPr="00222859" w:rsidRDefault="00236E18" w:rsidP="00236E18">
      <w:pPr>
        <w:tabs>
          <w:tab w:val="left" w:pos="709"/>
          <w:tab w:val="left" w:pos="1985"/>
        </w:tabs>
        <w:jc w:val="both"/>
        <w:rPr>
          <w:sz w:val="20"/>
        </w:rPr>
      </w:pPr>
    </w:p>
    <w:p w:rsidR="00236E18" w:rsidRPr="00222859" w:rsidRDefault="00236E18" w:rsidP="00236E18">
      <w:pPr>
        <w:numPr>
          <w:ilvl w:val="0"/>
          <w:numId w:val="33"/>
        </w:numPr>
        <w:tabs>
          <w:tab w:val="left" w:pos="709"/>
        </w:tabs>
        <w:jc w:val="both"/>
        <w:rPr>
          <w:sz w:val="20"/>
        </w:rPr>
      </w:pPr>
      <w:r w:rsidRPr="00892A2A">
        <w:rPr>
          <w:sz w:val="20"/>
        </w:rPr>
        <w:t xml:space="preserve">En 2016/17, el resultado previsto VII.3 se ha sintetizado con el resultado previsto I.2, dando lugar a un trasvase de los recursos, del resultado previsto VII.3 en 2014/15 al resultado previsto </w:t>
      </w:r>
      <w:r>
        <w:rPr>
          <w:sz w:val="20"/>
        </w:rPr>
        <w:t>I.2 en </w:t>
      </w:r>
      <w:r w:rsidRPr="00892A2A">
        <w:rPr>
          <w:sz w:val="20"/>
        </w:rPr>
        <w:t>2016/17.</w:t>
      </w:r>
    </w:p>
    <w:p w:rsidR="00236E18" w:rsidRPr="00222859" w:rsidRDefault="00236E18" w:rsidP="00236E18">
      <w:pPr>
        <w:tabs>
          <w:tab w:val="left" w:pos="709"/>
          <w:tab w:val="left" w:pos="1985"/>
        </w:tabs>
        <w:jc w:val="both"/>
        <w:rPr>
          <w:sz w:val="20"/>
        </w:rPr>
      </w:pPr>
    </w:p>
    <w:p w:rsidR="00236E18" w:rsidRPr="00222859" w:rsidRDefault="00236E18" w:rsidP="00236E18">
      <w:pPr>
        <w:numPr>
          <w:ilvl w:val="0"/>
          <w:numId w:val="33"/>
        </w:numPr>
        <w:tabs>
          <w:tab w:val="left" w:pos="709"/>
        </w:tabs>
        <w:jc w:val="both"/>
        <w:rPr>
          <w:sz w:val="20"/>
        </w:rPr>
      </w:pPr>
      <w:r w:rsidRPr="00892A2A">
        <w:rPr>
          <w:sz w:val="20"/>
        </w:rPr>
        <w:t>En el bienio 2016/17, los recursos destinados a actividades relacionadas con la salud mundial se han vinculado al resultado previsto VIII.5 a fin de reflejar más adecuadamente la cooperación trilateral con la OMS y la OMC.  Esto se compensa mediante un trasvase de los recursos vinculados con el resultado previsto IV.2.</w:t>
      </w:r>
    </w:p>
    <w:p w:rsidR="00236E18" w:rsidRPr="00222859" w:rsidRDefault="00236E18" w:rsidP="00236E18">
      <w:pPr>
        <w:tabs>
          <w:tab w:val="left" w:pos="709"/>
          <w:tab w:val="left" w:pos="1985"/>
        </w:tabs>
        <w:jc w:val="both"/>
        <w:rPr>
          <w:sz w:val="20"/>
        </w:rPr>
      </w:pPr>
    </w:p>
    <w:p w:rsidR="00236E18" w:rsidRPr="00222859" w:rsidRDefault="00236E18" w:rsidP="00236E18">
      <w:pPr>
        <w:numPr>
          <w:ilvl w:val="0"/>
          <w:numId w:val="33"/>
        </w:numPr>
        <w:tabs>
          <w:tab w:val="left" w:pos="709"/>
        </w:tabs>
        <w:jc w:val="both"/>
        <w:rPr>
          <w:sz w:val="20"/>
        </w:rPr>
      </w:pPr>
      <w:r w:rsidRPr="00892A2A">
        <w:rPr>
          <w:sz w:val="20"/>
        </w:rPr>
        <w:t>En el marco de este programa, la dotación de recursos destinada a los resultados previstos I.1, VI.1, VI.2 y VIII.5 refleja los esfuerzos que dedica la Oficina del Subdirector General</w:t>
      </w:r>
      <w:r>
        <w:rPr>
          <w:sz w:val="20"/>
        </w:rPr>
        <w:t>, encargado</w:t>
      </w:r>
      <w:r w:rsidRPr="00892A2A">
        <w:rPr>
          <w:sz w:val="20"/>
        </w:rPr>
        <w:t xml:space="preserve"> del Sector de Cuestiones Mundiales</w:t>
      </w:r>
      <w:r>
        <w:rPr>
          <w:sz w:val="20"/>
        </w:rPr>
        <w:t>,</w:t>
      </w:r>
      <w:r w:rsidRPr="00892A2A">
        <w:rPr>
          <w:sz w:val="20"/>
        </w:rPr>
        <w:t xml:space="preserve"> a las actividades de los programas 4, 17 y 20, respectivamente.</w:t>
      </w:r>
    </w:p>
    <w:p w:rsidR="00236E18" w:rsidRPr="00222859" w:rsidRDefault="00236E18" w:rsidP="00236E18">
      <w:pPr>
        <w:rPr>
          <w:sz w:val="20"/>
          <w:szCs w:val="21"/>
        </w:rPr>
      </w:pPr>
    </w:p>
    <w:p w:rsidR="00236E18" w:rsidRPr="00222859" w:rsidRDefault="00236E18" w:rsidP="00236E18">
      <w:pPr>
        <w:shd w:val="clear" w:color="auto" w:fill="FFFFFF"/>
        <w:tabs>
          <w:tab w:val="left" w:pos="709"/>
        </w:tabs>
        <w:suppressAutoHyphens/>
        <w:jc w:val="both"/>
        <w:rPr>
          <w:sz w:val="20"/>
          <w:szCs w:val="21"/>
        </w:rPr>
      </w:pPr>
    </w:p>
    <w:p w:rsidR="00236E18" w:rsidRPr="00071638" w:rsidRDefault="00236E18" w:rsidP="00236E18">
      <w:pPr>
        <w:keepNext/>
        <w:keepLines/>
        <w:tabs>
          <w:tab w:val="left" w:pos="1427"/>
        </w:tabs>
        <w:jc w:val="center"/>
        <w:rPr>
          <w:color w:val="244061" w:themeColor="accent1" w:themeShade="80"/>
          <w:sz w:val="20"/>
          <w:lang w:val="es-ES_tradnl"/>
        </w:rPr>
      </w:pPr>
      <w:r w:rsidRPr="00071638">
        <w:rPr>
          <w:b/>
          <w:color w:val="244061" w:themeColor="accent1" w:themeShade="80"/>
          <w:sz w:val="20"/>
          <w:lang w:val="es-ES_tradnl"/>
        </w:rPr>
        <w:lastRenderedPageBreak/>
        <w:t>Programa 18</w:t>
      </w:r>
      <w:proofErr w:type="gramStart"/>
      <w:r w:rsidRPr="00071638">
        <w:rPr>
          <w:b/>
          <w:color w:val="244061" w:themeColor="accent1" w:themeShade="80"/>
          <w:sz w:val="20"/>
          <w:lang w:val="es-ES_tradnl"/>
        </w:rPr>
        <w:t>:  Recursos</w:t>
      </w:r>
      <w:proofErr w:type="gramEnd"/>
      <w:r w:rsidRPr="00071638">
        <w:rPr>
          <w:b/>
          <w:color w:val="244061" w:themeColor="accent1" w:themeShade="80"/>
          <w:sz w:val="20"/>
          <w:lang w:val="es-ES_tradnl"/>
        </w:rPr>
        <w:t xml:space="preserve"> por resultado</w:t>
      </w:r>
    </w:p>
    <w:p w:rsidR="00236E18" w:rsidRPr="00071638" w:rsidRDefault="00236E18" w:rsidP="00236E18">
      <w:pPr>
        <w:keepNext/>
        <w:keepLines/>
        <w:tabs>
          <w:tab w:val="left" w:pos="1427"/>
        </w:tabs>
        <w:jc w:val="center"/>
        <w:rPr>
          <w:i/>
          <w:color w:val="244061" w:themeColor="accent1" w:themeShade="80"/>
          <w:sz w:val="20"/>
          <w:szCs w:val="24"/>
          <w:lang w:val="es-ES_tradnl"/>
        </w:rPr>
      </w:pPr>
      <w:r w:rsidRPr="00071638">
        <w:rPr>
          <w:i/>
          <w:color w:val="244061" w:themeColor="accent1" w:themeShade="80"/>
          <w:sz w:val="20"/>
          <w:szCs w:val="24"/>
          <w:lang w:val="es-ES_tradnl"/>
        </w:rPr>
        <w:t>(</w:t>
      </w:r>
      <w:proofErr w:type="gramStart"/>
      <w:r w:rsidRPr="00071638">
        <w:rPr>
          <w:i/>
          <w:color w:val="244061" w:themeColor="accent1" w:themeShade="80"/>
          <w:sz w:val="20"/>
          <w:szCs w:val="24"/>
          <w:lang w:val="es-ES_tradnl"/>
        </w:rPr>
        <w:t>en</w:t>
      </w:r>
      <w:proofErr w:type="gramEnd"/>
      <w:r w:rsidRPr="00071638">
        <w:rPr>
          <w:i/>
          <w:color w:val="244061" w:themeColor="accent1" w:themeShade="80"/>
          <w:sz w:val="20"/>
          <w:szCs w:val="24"/>
          <w:lang w:val="es-ES_tradnl"/>
        </w:rPr>
        <w:t xml:space="preserve"> miles de francos suizos)</w:t>
      </w:r>
    </w:p>
    <w:p w:rsidR="00236E18" w:rsidRPr="00071638" w:rsidRDefault="00236E18" w:rsidP="00236E18">
      <w:pPr>
        <w:keepNext/>
        <w:keepLines/>
        <w:tabs>
          <w:tab w:val="left" w:pos="1427"/>
        </w:tabs>
        <w:jc w:val="center"/>
        <w:rPr>
          <w:i/>
          <w:color w:val="244061" w:themeColor="accent1" w:themeShade="80"/>
          <w:sz w:val="20"/>
          <w:szCs w:val="24"/>
          <w:lang w:val="es-ES_tradnl"/>
        </w:rPr>
      </w:pPr>
    </w:p>
    <w:p w:rsidR="00236E18" w:rsidRPr="00E53EEC" w:rsidRDefault="00236E18" w:rsidP="00236E18">
      <w:pPr>
        <w:keepNext/>
        <w:keepLines/>
        <w:tabs>
          <w:tab w:val="left" w:pos="567"/>
          <w:tab w:val="left" w:pos="1985"/>
          <w:tab w:val="left" w:pos="9072"/>
        </w:tabs>
        <w:jc w:val="center"/>
        <w:rPr>
          <w:bCs/>
          <w:sz w:val="18"/>
        </w:rPr>
      </w:pPr>
      <w:r w:rsidRPr="000C438B">
        <w:rPr>
          <w:noProof/>
          <w:lang w:val="en-US" w:eastAsia="en-US"/>
        </w:rPr>
        <w:drawing>
          <wp:inline distT="0" distB="0" distL="0" distR="0" wp14:anchorId="013D5FC2" wp14:editId="2A8F3C71">
            <wp:extent cx="5676900" cy="59251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676900" cy="5925185"/>
                    </a:xfrm>
                    <a:prstGeom prst="rect">
                      <a:avLst/>
                    </a:prstGeom>
                    <a:noFill/>
                    <a:ln>
                      <a:noFill/>
                    </a:ln>
                  </pic:spPr>
                </pic:pic>
              </a:graphicData>
            </a:graphic>
          </wp:inline>
        </w:drawing>
      </w:r>
    </w:p>
    <w:p w:rsidR="00236E18" w:rsidRDefault="00236E18" w:rsidP="00236E18">
      <w:pPr>
        <w:tabs>
          <w:tab w:val="left" w:pos="1427"/>
        </w:tabs>
        <w:jc w:val="center"/>
        <w:rPr>
          <w:b/>
          <w:sz w:val="20"/>
          <w:szCs w:val="24"/>
        </w:rPr>
      </w:pPr>
    </w:p>
    <w:p w:rsidR="00236E18" w:rsidRDefault="00236E18" w:rsidP="00236E18">
      <w:pPr>
        <w:tabs>
          <w:tab w:val="left" w:pos="1427"/>
        </w:tabs>
        <w:jc w:val="center"/>
        <w:rPr>
          <w:b/>
          <w:sz w:val="20"/>
          <w:szCs w:val="24"/>
        </w:rPr>
      </w:pPr>
    </w:p>
    <w:p w:rsidR="00236E18" w:rsidRDefault="00236E18" w:rsidP="00236E18">
      <w:pPr>
        <w:rPr>
          <w:b/>
          <w:sz w:val="20"/>
          <w:szCs w:val="24"/>
        </w:rPr>
      </w:pPr>
      <w:r>
        <w:rPr>
          <w:b/>
          <w:sz w:val="20"/>
          <w:szCs w:val="24"/>
        </w:rPr>
        <w:br w:type="page"/>
      </w:r>
    </w:p>
    <w:p w:rsidR="00236E18" w:rsidRPr="005012AC" w:rsidRDefault="00236E18" w:rsidP="00236E18">
      <w:pPr>
        <w:tabs>
          <w:tab w:val="left" w:pos="1427"/>
        </w:tabs>
        <w:jc w:val="center"/>
        <w:rPr>
          <w:sz w:val="20"/>
          <w:lang w:val="es-ES_tradnl"/>
        </w:rPr>
      </w:pPr>
      <w:r w:rsidRPr="005012AC">
        <w:rPr>
          <w:b/>
          <w:sz w:val="20"/>
          <w:lang w:val="es-ES_tradnl"/>
        </w:rPr>
        <w:lastRenderedPageBreak/>
        <w:t>Programa 18</w:t>
      </w:r>
      <w:proofErr w:type="gramStart"/>
      <w:r w:rsidRPr="005012AC">
        <w:rPr>
          <w:b/>
          <w:sz w:val="20"/>
          <w:lang w:val="es-ES_tradnl"/>
        </w:rPr>
        <w:t>:  Recursos</w:t>
      </w:r>
      <w:proofErr w:type="gramEnd"/>
      <w:r w:rsidRPr="005012AC">
        <w:rPr>
          <w:b/>
          <w:sz w:val="20"/>
          <w:lang w:val="es-ES_tradnl"/>
        </w:rPr>
        <w:t xml:space="preserve"> por objeto de gasto</w:t>
      </w:r>
    </w:p>
    <w:p w:rsidR="00236E18" w:rsidRPr="005012AC" w:rsidRDefault="00236E18" w:rsidP="00236E18">
      <w:pPr>
        <w:tabs>
          <w:tab w:val="left" w:pos="1427"/>
        </w:tabs>
        <w:jc w:val="center"/>
        <w:rPr>
          <w:i/>
          <w:sz w:val="20"/>
          <w:szCs w:val="24"/>
          <w:lang w:val="es-ES_tradnl"/>
        </w:rPr>
      </w:pPr>
      <w:r w:rsidRPr="005012AC">
        <w:rPr>
          <w:i/>
          <w:sz w:val="20"/>
          <w:szCs w:val="24"/>
          <w:lang w:val="es-ES_tradnl"/>
        </w:rPr>
        <w:t>(</w:t>
      </w:r>
      <w:proofErr w:type="gramStart"/>
      <w:r w:rsidRPr="005012AC">
        <w:rPr>
          <w:i/>
          <w:sz w:val="20"/>
          <w:szCs w:val="24"/>
          <w:lang w:val="es-ES_tradnl"/>
        </w:rPr>
        <w:t>en</w:t>
      </w:r>
      <w:proofErr w:type="gramEnd"/>
      <w:r w:rsidRPr="005012AC">
        <w:rPr>
          <w:i/>
          <w:sz w:val="20"/>
          <w:szCs w:val="24"/>
          <w:lang w:val="es-ES_tradnl"/>
        </w:rPr>
        <w:t xml:space="preserve"> miles de francos suizos)</w:t>
      </w:r>
    </w:p>
    <w:p w:rsidR="00236E18" w:rsidRPr="005012AC" w:rsidRDefault="00236E18" w:rsidP="00236E18">
      <w:pPr>
        <w:tabs>
          <w:tab w:val="left" w:pos="1427"/>
        </w:tabs>
        <w:jc w:val="center"/>
        <w:rPr>
          <w:i/>
          <w:sz w:val="20"/>
          <w:szCs w:val="24"/>
          <w:lang w:val="es-ES_tradnl"/>
        </w:rPr>
      </w:pPr>
    </w:p>
    <w:p w:rsidR="00236E18" w:rsidRPr="000E77D3" w:rsidRDefault="00236E18" w:rsidP="00236E18">
      <w:pPr>
        <w:tabs>
          <w:tab w:val="left" w:pos="567"/>
          <w:tab w:val="left" w:pos="1985"/>
        </w:tabs>
        <w:jc w:val="center"/>
        <w:rPr>
          <w:bCs/>
          <w:sz w:val="20"/>
        </w:rPr>
      </w:pPr>
      <w:r>
        <w:rPr>
          <w:noProof/>
          <w:lang w:val="en-US" w:eastAsia="en-US"/>
        </w:rPr>
        <w:drawing>
          <wp:inline distT="0" distB="0" distL="0" distR="0" wp14:anchorId="0D13F6CE" wp14:editId="51F00032">
            <wp:extent cx="5940425" cy="6166999"/>
            <wp:effectExtent l="0" t="0" r="3175" b="5715"/>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940425" cy="6166999"/>
                    </a:xfrm>
                    <a:prstGeom prst="rect">
                      <a:avLst/>
                    </a:prstGeom>
                    <a:noFill/>
                    <a:ln>
                      <a:noFill/>
                    </a:ln>
                  </pic:spPr>
                </pic:pic>
              </a:graphicData>
            </a:graphic>
          </wp:inline>
        </w:drawing>
      </w:r>
    </w:p>
    <w:p w:rsidR="00236E18" w:rsidRPr="000E77D3" w:rsidRDefault="00236E18" w:rsidP="00236E18">
      <w:pPr>
        <w:tabs>
          <w:tab w:val="left" w:pos="567"/>
          <w:tab w:val="left" w:pos="1985"/>
        </w:tabs>
        <w:jc w:val="both"/>
        <w:rPr>
          <w:bCs/>
          <w:sz w:val="20"/>
        </w:rPr>
      </w:pPr>
    </w:p>
    <w:p w:rsidR="00236E18" w:rsidRDefault="00236E18" w:rsidP="00236E18">
      <w:pPr>
        <w:rPr>
          <w:sz w:val="20"/>
          <w:szCs w:val="21"/>
          <w:lang w:val="en-US"/>
        </w:rPr>
      </w:pPr>
      <w:r>
        <w:rPr>
          <w:sz w:val="20"/>
          <w:szCs w:val="21"/>
          <w:lang w:val="en-US"/>
        </w:rPr>
        <w:br w:type="page"/>
      </w:r>
    </w:p>
    <w:p w:rsidR="00236E18" w:rsidRPr="000278D6" w:rsidRDefault="00236E18" w:rsidP="00236E18">
      <w:pPr>
        <w:pStyle w:val="StyleStyleHeading3ComplexItalicLatin12pt"/>
        <w:ind w:left="3402" w:hanging="3402"/>
        <w:rPr>
          <w:rStyle w:val="StyleStyleHeading3ComplexItalicLatin12ptChar"/>
          <w:rFonts w:eastAsia="SimSun"/>
          <w:b/>
          <w:lang w:val="es-ES_tradnl"/>
        </w:rPr>
      </w:pPr>
      <w:bookmarkStart w:id="103" w:name="_Toc367350598"/>
      <w:bookmarkStart w:id="104" w:name="_Toc419283267"/>
      <w:bookmarkStart w:id="105" w:name="_Toc431573566"/>
      <w:bookmarkStart w:id="106" w:name="_Toc431573967"/>
      <w:r w:rsidRPr="000278D6">
        <w:rPr>
          <w:rStyle w:val="StyleStyleHeading3ComplexItalicLatin12ptChar"/>
          <w:rFonts w:eastAsia="SimSun"/>
          <w:b/>
          <w:lang w:val="es-ES_tradnl"/>
        </w:rPr>
        <w:lastRenderedPageBreak/>
        <w:t>META ESTRATÉGICA VIII</w:t>
      </w:r>
      <w:r w:rsidRPr="000278D6">
        <w:rPr>
          <w:rStyle w:val="StyleStyleHeading3ComplexItalicLatin12ptChar"/>
          <w:rFonts w:eastAsia="SimSun"/>
          <w:b/>
          <w:lang w:val="es-ES_tradnl"/>
        </w:rPr>
        <w:tab/>
      </w:r>
      <w:bookmarkEnd w:id="103"/>
      <w:bookmarkEnd w:id="104"/>
      <w:r w:rsidRPr="000278D6">
        <w:rPr>
          <w:rStyle w:val="StyleStyleHeading3ComplexItalicLatin12ptChar"/>
          <w:rFonts w:eastAsia="SimSun"/>
          <w:b/>
          <w:lang w:val="es-ES_tradnl"/>
        </w:rPr>
        <w:t>COMUNICACIÓN EFICAZ ENTRE LA OMPI, SUS ESTADOS MIEMBROS Y TODAS LAS PARTES INTERESADAS</w:t>
      </w:r>
      <w:bookmarkEnd w:id="105"/>
      <w:bookmarkEnd w:id="106"/>
      <w:r w:rsidRPr="000278D6">
        <w:rPr>
          <w:rStyle w:val="StyleStyleHeading3ComplexItalicLatin12ptChar"/>
          <w:rFonts w:eastAsia="SimSun"/>
          <w:b/>
          <w:lang w:val="es-ES_tradnl"/>
        </w:rPr>
        <w:t xml:space="preserve"> </w:t>
      </w:r>
    </w:p>
    <w:p w:rsidR="00236E18" w:rsidRPr="00FE556D" w:rsidRDefault="00236E18" w:rsidP="00236E18">
      <w:pPr>
        <w:tabs>
          <w:tab w:val="left" w:pos="1701"/>
        </w:tabs>
        <w:ind w:left="1701" w:hanging="1701"/>
        <w:rPr>
          <w:b/>
          <w:bCs/>
          <w:caps/>
          <w:szCs w:val="22"/>
          <w:lang w:val="es-ES_tradnl"/>
        </w:rPr>
      </w:pPr>
    </w:p>
    <w:p w:rsidR="00236E18" w:rsidRPr="00C644DC" w:rsidRDefault="00236E18" w:rsidP="00236E18">
      <w:pPr>
        <w:tabs>
          <w:tab w:val="left" w:pos="1701"/>
        </w:tabs>
        <w:ind w:left="1701" w:hanging="1701"/>
        <w:rPr>
          <w:b/>
          <w:bCs/>
          <w:caps/>
          <w:sz w:val="20"/>
          <w:lang w:val="es-ES_tradnl"/>
        </w:rPr>
      </w:pPr>
    </w:p>
    <w:p w:rsidR="00236E18" w:rsidRPr="00C644DC" w:rsidRDefault="00236E18" w:rsidP="00236E18">
      <w:pPr>
        <w:autoSpaceDE w:val="0"/>
        <w:autoSpaceDN w:val="0"/>
        <w:adjustRightInd w:val="0"/>
        <w:spacing w:before="120"/>
        <w:jc w:val="both"/>
        <w:rPr>
          <w:color w:val="808080"/>
          <w:sz w:val="20"/>
          <w:lang w:val="es-ES_tradnl"/>
        </w:rPr>
      </w:pPr>
      <w:r w:rsidRPr="00245E53">
        <w:rPr>
          <w:sz w:val="20"/>
          <w:lang w:val="es-ES_tradnl"/>
        </w:rPr>
        <w:t>Con esta meta estratégica se deja constancia de la gran prioridad que concede la Secretaría de la OMPI al fomento de una comunicación eficaz, en tanto que elemento esencial en el que reside el éxito de cada aspecto de su labor, así como para la prestación de servicios en tanto que prioridad central e institucional.  La OMPI presta servicios de muy distinta naturaleza a una amplia gama de partes interesadas y ante todo, en tanto que organismo especializado de las Naciones Unidas, a sus Estados miembros.  Entre dichos servicios están el apoyo a los comités en las actividades normativas que realizan, servicios de fortalecimiento de capacidades en los países en desarrollo, servicios de información y servicios técnicos así como servicios mundiales de registro, de presentación de solicitudes y de solución de controversias en el ámbito de la P.I.</w:t>
      </w:r>
    </w:p>
    <w:p w:rsidR="00236E18" w:rsidRPr="00C644DC" w:rsidRDefault="00236E18" w:rsidP="00236E18">
      <w:pPr>
        <w:tabs>
          <w:tab w:val="left" w:pos="1701"/>
        </w:tabs>
        <w:ind w:left="1701" w:hanging="1701"/>
        <w:rPr>
          <w:bCs/>
          <w:iCs/>
          <w:caps/>
          <w:color w:val="808080"/>
          <w:sz w:val="20"/>
          <w:lang w:val="es-ES_tradnl"/>
        </w:rPr>
      </w:pPr>
    </w:p>
    <w:p w:rsidR="00236E18" w:rsidRPr="00C644DC" w:rsidRDefault="00236E18" w:rsidP="00236E18">
      <w:pPr>
        <w:rPr>
          <w:bCs/>
          <w:sz w:val="20"/>
          <w:lang w:val="es-ES_tradnl"/>
        </w:rPr>
      </w:pPr>
    </w:p>
    <w:tbl>
      <w:tblPr>
        <w:tblW w:w="4797"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02"/>
        <w:gridCol w:w="2834"/>
        <w:gridCol w:w="2946"/>
      </w:tblGrid>
      <w:tr w:rsidR="00236E18" w:rsidRPr="00245E53" w:rsidTr="00294272">
        <w:trPr>
          <w:cantSplit/>
          <w:trHeight w:val="383"/>
          <w:tblHeader/>
        </w:trPr>
        <w:tc>
          <w:tcPr>
            <w:tcW w:w="1853" w:type="pct"/>
            <w:tcBorders>
              <w:top w:val="single" w:sz="4" w:space="0" w:color="auto"/>
              <w:bottom w:val="single" w:sz="4" w:space="0" w:color="auto"/>
            </w:tcBorders>
            <w:shd w:val="clear" w:color="auto" w:fill="C6D9F1" w:themeFill="text2" w:themeFillTint="33"/>
            <w:tcMar>
              <w:top w:w="85" w:type="dxa"/>
              <w:bottom w:w="85" w:type="dxa"/>
            </w:tcMar>
            <w:vAlign w:val="center"/>
          </w:tcPr>
          <w:p w:rsidR="00236E18" w:rsidRPr="00245E53" w:rsidRDefault="00236E18" w:rsidP="00294272">
            <w:pPr>
              <w:spacing w:after="120"/>
              <w:jc w:val="center"/>
              <w:rPr>
                <w:b/>
                <w:bCs/>
                <w:sz w:val="18"/>
                <w:szCs w:val="18"/>
              </w:rPr>
            </w:pPr>
            <w:r w:rsidRPr="00245E53">
              <w:rPr>
                <w:b/>
                <w:bCs/>
                <w:sz w:val="18"/>
                <w:szCs w:val="18"/>
                <w:lang w:val="es-ES_tradnl"/>
              </w:rPr>
              <w:t>Resultados previstos</w:t>
            </w:r>
          </w:p>
        </w:tc>
        <w:tc>
          <w:tcPr>
            <w:tcW w:w="1543" w:type="pct"/>
            <w:tcBorders>
              <w:top w:val="single" w:sz="4" w:space="0" w:color="auto"/>
              <w:bottom w:val="single" w:sz="4" w:space="0" w:color="auto"/>
            </w:tcBorders>
            <w:shd w:val="clear" w:color="auto" w:fill="C6D9F1" w:themeFill="text2" w:themeFillTint="33"/>
            <w:tcMar>
              <w:top w:w="85" w:type="dxa"/>
              <w:bottom w:w="85" w:type="dxa"/>
            </w:tcMar>
            <w:vAlign w:val="center"/>
          </w:tcPr>
          <w:p w:rsidR="00236E18" w:rsidRPr="00245E53" w:rsidRDefault="00236E18" w:rsidP="00294272">
            <w:pPr>
              <w:spacing w:after="120"/>
              <w:jc w:val="center"/>
              <w:rPr>
                <w:b/>
                <w:sz w:val="18"/>
                <w:szCs w:val="18"/>
              </w:rPr>
            </w:pPr>
            <w:r w:rsidRPr="00245E53">
              <w:rPr>
                <w:b/>
                <w:sz w:val="18"/>
                <w:szCs w:val="18"/>
                <w:lang w:val="es-ES_tradnl"/>
              </w:rPr>
              <w:t>Indicadores de rendimiento</w:t>
            </w:r>
          </w:p>
        </w:tc>
        <w:tc>
          <w:tcPr>
            <w:tcW w:w="1604" w:type="pct"/>
            <w:tcBorders>
              <w:top w:val="single" w:sz="4" w:space="0" w:color="auto"/>
              <w:bottom w:val="single" w:sz="4" w:space="0" w:color="auto"/>
            </w:tcBorders>
            <w:shd w:val="clear" w:color="auto" w:fill="C6D9F1" w:themeFill="text2" w:themeFillTint="33"/>
            <w:tcMar>
              <w:top w:w="85" w:type="dxa"/>
              <w:bottom w:w="85" w:type="dxa"/>
            </w:tcMar>
            <w:vAlign w:val="center"/>
          </w:tcPr>
          <w:p w:rsidR="00236E18" w:rsidRPr="00245E53" w:rsidRDefault="00236E18" w:rsidP="00294272">
            <w:pPr>
              <w:spacing w:after="120"/>
              <w:ind w:left="85"/>
              <w:jc w:val="center"/>
              <w:rPr>
                <w:sz w:val="18"/>
                <w:szCs w:val="18"/>
              </w:rPr>
            </w:pPr>
            <w:r w:rsidRPr="00245E53">
              <w:rPr>
                <w:b/>
                <w:sz w:val="18"/>
                <w:szCs w:val="18"/>
                <w:lang w:val="es-ES_tradnl"/>
              </w:rPr>
              <w:t>Programas responsables</w:t>
            </w:r>
          </w:p>
        </w:tc>
      </w:tr>
      <w:tr w:rsidR="00236E18" w:rsidRPr="00245E53" w:rsidTr="00294272">
        <w:trPr>
          <w:cantSplit/>
          <w:trHeight w:val="593"/>
        </w:trPr>
        <w:tc>
          <w:tcPr>
            <w:tcW w:w="1853" w:type="pct"/>
            <w:tcBorders>
              <w:top w:val="single" w:sz="4" w:space="0" w:color="auto"/>
              <w:left w:val="single" w:sz="4" w:space="0" w:color="auto"/>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rPr>
              <w:t xml:space="preserve">VIII.1  </w:t>
            </w:r>
            <w:r w:rsidRPr="000C438B">
              <w:rPr>
                <w:sz w:val="16"/>
                <w:szCs w:val="16"/>
                <w:lang w:val="es-ES_tradnl"/>
              </w:rPr>
              <w:t>Comunicación más eficaz con el público en general acerca de la P.I. y la función de la OMPI</w:t>
            </w:r>
          </w:p>
        </w:tc>
        <w:tc>
          <w:tcPr>
            <w:tcW w:w="1543" w:type="pct"/>
            <w:tcBorders>
              <w:top w:val="single" w:sz="4" w:space="0" w:color="auto"/>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rPr>
              <w:t>N</w:t>
            </w:r>
            <w:r>
              <w:rPr>
                <w:sz w:val="16"/>
                <w:szCs w:val="16"/>
              </w:rPr>
              <w:t>º</w:t>
            </w:r>
            <w:r w:rsidRPr="00245E53">
              <w:rPr>
                <w:sz w:val="16"/>
                <w:szCs w:val="16"/>
              </w:rPr>
              <w:t xml:space="preserve"> de Estados miembros participantes en el programa de Premios de la OMPI</w:t>
            </w:r>
          </w:p>
        </w:tc>
        <w:tc>
          <w:tcPr>
            <w:tcW w:w="1604" w:type="pct"/>
            <w:tcBorders>
              <w:top w:val="single" w:sz="4" w:space="0" w:color="auto"/>
              <w:bottom w:val="nil"/>
              <w:right w:val="single" w:sz="4" w:space="0" w:color="auto"/>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17</w:t>
            </w:r>
          </w:p>
          <w:p w:rsidR="00236E18" w:rsidRPr="00245E53" w:rsidRDefault="00236E18" w:rsidP="00294272">
            <w:pPr>
              <w:ind w:left="768"/>
              <w:rPr>
                <w:sz w:val="16"/>
                <w:szCs w:val="16"/>
              </w:rPr>
            </w:pPr>
          </w:p>
        </w:tc>
      </w:tr>
      <w:tr w:rsidR="00236E18" w:rsidRPr="00245E53" w:rsidTr="00294272">
        <w:trPr>
          <w:cantSplit/>
          <w:trHeight w:val="501"/>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rPr>
              <w:t>Sectores interesados con una percepción positiva de la reputación de la OMPI;  aumento de la valoración de la marca de la OMPI.</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19</w:t>
            </w:r>
          </w:p>
          <w:p w:rsidR="00236E18" w:rsidRPr="00245E53" w:rsidRDefault="00236E18" w:rsidP="00294272">
            <w:pPr>
              <w:ind w:left="768"/>
              <w:rPr>
                <w:sz w:val="16"/>
                <w:szCs w:val="16"/>
                <w:lang w:bidi="th-TH"/>
              </w:rPr>
            </w:pPr>
          </w:p>
        </w:tc>
      </w:tr>
      <w:tr w:rsidR="00236E18" w:rsidRPr="00245E53" w:rsidTr="00294272">
        <w:trPr>
          <w:cantSplit/>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rPr>
              <w:t>N</w:t>
            </w:r>
            <w:r>
              <w:rPr>
                <w:sz w:val="16"/>
                <w:szCs w:val="16"/>
              </w:rPr>
              <w:t>º</w:t>
            </w:r>
            <w:r w:rsidRPr="00245E53">
              <w:rPr>
                <w:sz w:val="16"/>
                <w:szCs w:val="16"/>
              </w:rPr>
              <w:t xml:space="preserve"> de personas que consultan los contenidos sobre los principales eventos, logros y actividades de la OMPI.</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 xml:space="preserve">Programa 19 </w:t>
            </w:r>
          </w:p>
          <w:p w:rsidR="00236E18" w:rsidRPr="00245E53" w:rsidRDefault="00236E18" w:rsidP="00294272">
            <w:pPr>
              <w:ind w:left="768"/>
              <w:rPr>
                <w:sz w:val="16"/>
                <w:szCs w:val="16"/>
              </w:rPr>
            </w:pPr>
          </w:p>
        </w:tc>
      </w:tr>
      <w:tr w:rsidR="00236E18" w:rsidRPr="00245E53" w:rsidTr="00294272">
        <w:trPr>
          <w:cantSplit/>
          <w:trHeight w:val="472"/>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rPr>
              <w:t>Participación mundial en la campaña del Día Mundial de la P.I.</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rPr>
            </w:pPr>
            <w:r w:rsidRPr="00245E53">
              <w:rPr>
                <w:sz w:val="16"/>
                <w:szCs w:val="16"/>
                <w:lang w:bidi="th-TH"/>
              </w:rPr>
              <w:t>Programa 19</w:t>
            </w:r>
          </w:p>
        </w:tc>
      </w:tr>
      <w:tr w:rsidR="00236E18" w:rsidRPr="00245E53" w:rsidTr="00294272">
        <w:trPr>
          <w:cantSplit/>
          <w:trHeight w:val="429"/>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rPr>
              <w:t>Afluencia de visitas en Internet al sitio de publicaciones y el sitio de la revista de la OMPI.</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rPr>
            </w:pPr>
            <w:r w:rsidRPr="00245E53">
              <w:rPr>
                <w:sz w:val="16"/>
                <w:szCs w:val="16"/>
                <w:lang w:bidi="th-TH"/>
              </w:rPr>
              <w:t>Programa 19</w:t>
            </w:r>
          </w:p>
        </w:tc>
      </w:tr>
      <w:tr w:rsidR="00236E18" w:rsidRPr="00245E53" w:rsidTr="00294272">
        <w:trPr>
          <w:cantSplit/>
          <w:trHeight w:val="353"/>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rPr>
              <w:t>Visitas de los contenidos fotográficos, de video y de prensa de la OMPI.</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19</w:t>
            </w:r>
          </w:p>
        </w:tc>
      </w:tr>
      <w:tr w:rsidR="00236E18" w:rsidRPr="00245E53" w:rsidTr="00294272">
        <w:trPr>
          <w:cantSplit/>
          <w:trHeight w:val="330"/>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rPr>
              <w:t>Menos usuarios que dejan el sitio web de la OMPI directamente desde el portal y las principales páginas de acceso.</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19</w:t>
            </w:r>
          </w:p>
        </w:tc>
      </w:tr>
      <w:tr w:rsidR="00236E18" w:rsidRPr="00245E53" w:rsidTr="00294272">
        <w:trPr>
          <w:cantSplit/>
          <w:trHeight w:val="336"/>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rPr>
              <w:t>Influencia de la OMPI y participación de los sectores interesados en las redes sociales.</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19</w:t>
            </w:r>
          </w:p>
        </w:tc>
      </w:tr>
      <w:tr w:rsidR="00236E18" w:rsidRPr="00245E53" w:rsidTr="00294272">
        <w:trPr>
          <w:cantSplit/>
          <w:trHeight w:val="335"/>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lang w:val="es-ES_tradnl"/>
              </w:rPr>
            </w:pPr>
            <w:r w:rsidRPr="00245E53">
              <w:rPr>
                <w:sz w:val="16"/>
                <w:szCs w:val="16"/>
                <w:lang w:val="es-ES_tradnl"/>
              </w:rPr>
              <w:t>Aumento de la afluencia de visitas al sitio web de las Oficinas de la OMPI en el exterior</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20</w:t>
            </w:r>
          </w:p>
        </w:tc>
      </w:tr>
      <w:tr w:rsidR="00236E18" w:rsidRPr="00245E53" w:rsidTr="00294272">
        <w:trPr>
          <w:cantSplit/>
          <w:trHeight w:val="385"/>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rPr>
              <w:t xml:space="preserve">VIII.2  </w:t>
            </w:r>
            <w:r w:rsidRPr="000C438B">
              <w:rPr>
                <w:sz w:val="16"/>
                <w:szCs w:val="16"/>
                <w:lang w:val="es-ES_tradnl"/>
              </w:rPr>
              <w:t>Mejora en la prestación de servicios y la atención de consultas</w:t>
            </w: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rPr>
              <w:t>Satisfacción de los usuarios con los servicios de biblioteca.</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19</w:t>
            </w:r>
          </w:p>
        </w:tc>
      </w:tr>
      <w:tr w:rsidR="00236E18" w:rsidRPr="00245E53" w:rsidTr="00294272">
        <w:trPr>
          <w:cantSplit/>
          <w:trHeight w:val="337"/>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lang w:val="es-ES_tradnl"/>
              </w:rPr>
              <w:t>Índice de satisfacción de los clientes/partes interesadas</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19</w:t>
            </w:r>
          </w:p>
          <w:p w:rsidR="00236E18" w:rsidRPr="00245E53" w:rsidRDefault="00236E18" w:rsidP="00294272">
            <w:pPr>
              <w:ind w:left="768"/>
              <w:rPr>
                <w:sz w:val="16"/>
                <w:szCs w:val="16"/>
                <w:lang w:bidi="th-TH"/>
              </w:rPr>
            </w:pPr>
          </w:p>
        </w:tc>
      </w:tr>
      <w:tr w:rsidR="00236E18" w:rsidRPr="00245E53" w:rsidTr="00294272">
        <w:trPr>
          <w:cantSplit/>
          <w:trHeight w:val="317"/>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rPr>
              <w:t>Normas de servicio del servicio de la OMPI de atención al cliente</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19</w:t>
            </w:r>
          </w:p>
        </w:tc>
      </w:tr>
      <w:tr w:rsidR="00236E18" w:rsidRPr="00245E53" w:rsidTr="00294272">
        <w:trPr>
          <w:cantSplit/>
          <w:trHeight w:val="297"/>
        </w:trPr>
        <w:tc>
          <w:tcPr>
            <w:tcW w:w="1853" w:type="pct"/>
            <w:tcBorders>
              <w:top w:val="nil"/>
              <w:left w:val="single" w:sz="4" w:space="0" w:color="auto"/>
              <w:bottom w:val="single" w:sz="4" w:space="0" w:color="auto"/>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single" w:sz="4" w:space="0" w:color="auto"/>
            </w:tcBorders>
            <w:shd w:val="clear" w:color="auto" w:fill="auto"/>
            <w:tcMar>
              <w:top w:w="85" w:type="dxa"/>
              <w:bottom w:w="85" w:type="dxa"/>
            </w:tcMar>
          </w:tcPr>
          <w:p w:rsidR="00236E18" w:rsidRPr="00245E53" w:rsidRDefault="00236E18" w:rsidP="00294272">
            <w:pPr>
              <w:rPr>
                <w:sz w:val="16"/>
                <w:szCs w:val="16"/>
              </w:rPr>
            </w:pPr>
            <w:r w:rsidRPr="00245E53">
              <w:rPr>
                <w:sz w:val="16"/>
                <w:szCs w:val="16"/>
              </w:rPr>
              <w:t>Tiempo de tramitación de las consultas.</w:t>
            </w:r>
          </w:p>
        </w:tc>
        <w:tc>
          <w:tcPr>
            <w:tcW w:w="1604" w:type="pct"/>
            <w:tcBorders>
              <w:top w:val="nil"/>
              <w:bottom w:val="single" w:sz="4" w:space="0" w:color="auto"/>
              <w:right w:val="single" w:sz="4" w:space="0" w:color="auto"/>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20</w:t>
            </w:r>
          </w:p>
        </w:tc>
      </w:tr>
      <w:tr w:rsidR="00236E18" w:rsidRPr="00245E53" w:rsidTr="00294272">
        <w:trPr>
          <w:cantSplit/>
          <w:trHeight w:val="622"/>
        </w:trPr>
        <w:tc>
          <w:tcPr>
            <w:tcW w:w="1853" w:type="pct"/>
            <w:tcBorders>
              <w:top w:val="single" w:sz="4" w:space="0" w:color="auto"/>
              <w:left w:val="single" w:sz="4" w:space="0" w:color="auto"/>
              <w:bottom w:val="nil"/>
            </w:tcBorders>
            <w:shd w:val="clear" w:color="auto" w:fill="auto"/>
            <w:tcMar>
              <w:top w:w="85" w:type="dxa"/>
              <w:bottom w:w="85" w:type="dxa"/>
            </w:tcMar>
          </w:tcPr>
          <w:p w:rsidR="00236E18" w:rsidRPr="00245E53" w:rsidRDefault="00236E18" w:rsidP="00294272">
            <w:pPr>
              <w:keepNext/>
              <w:rPr>
                <w:sz w:val="16"/>
                <w:szCs w:val="16"/>
              </w:rPr>
            </w:pPr>
            <w:r w:rsidRPr="00245E53">
              <w:rPr>
                <w:sz w:val="16"/>
                <w:szCs w:val="16"/>
              </w:rPr>
              <w:lastRenderedPageBreak/>
              <w:t xml:space="preserve">VIII.3 </w:t>
            </w:r>
            <w:r>
              <w:rPr>
                <w:sz w:val="16"/>
                <w:szCs w:val="16"/>
              </w:rPr>
              <w:t xml:space="preserve"> </w:t>
            </w:r>
            <w:r w:rsidRPr="000C438B">
              <w:rPr>
                <w:sz w:val="16"/>
                <w:szCs w:val="16"/>
                <w:lang w:val="es-ES_tradnl"/>
              </w:rPr>
              <w:t>Atención eficaz a los Estados miembros</w:t>
            </w:r>
          </w:p>
        </w:tc>
        <w:tc>
          <w:tcPr>
            <w:tcW w:w="1543" w:type="pct"/>
            <w:tcBorders>
              <w:top w:val="single" w:sz="4" w:space="0" w:color="auto"/>
              <w:bottom w:val="nil"/>
            </w:tcBorders>
            <w:shd w:val="clear" w:color="auto" w:fill="auto"/>
            <w:tcMar>
              <w:top w:w="85" w:type="dxa"/>
              <w:bottom w:w="85" w:type="dxa"/>
            </w:tcMar>
          </w:tcPr>
          <w:p w:rsidR="00236E18" w:rsidRPr="00245E53" w:rsidRDefault="00236E18" w:rsidP="00294272">
            <w:pPr>
              <w:keepNext/>
              <w:rPr>
                <w:sz w:val="16"/>
                <w:szCs w:val="16"/>
                <w:lang w:val="es-ES_tradnl"/>
              </w:rPr>
            </w:pPr>
            <w:r w:rsidRPr="00245E53">
              <w:rPr>
                <w:sz w:val="16"/>
                <w:szCs w:val="16"/>
                <w:lang w:val="es-ES_tradnl"/>
              </w:rPr>
              <w:t>Porcentaje de sesiones de Comités precedidas de reuniones informativas para los Estados miembros</w:t>
            </w:r>
          </w:p>
        </w:tc>
        <w:tc>
          <w:tcPr>
            <w:tcW w:w="1604" w:type="pct"/>
            <w:tcBorders>
              <w:top w:val="single" w:sz="4" w:space="0" w:color="auto"/>
              <w:bottom w:val="nil"/>
              <w:right w:val="single" w:sz="4" w:space="0" w:color="auto"/>
            </w:tcBorders>
            <w:shd w:val="clear" w:color="auto" w:fill="FFFFFF"/>
            <w:tcMar>
              <w:top w:w="85" w:type="dxa"/>
              <w:bottom w:w="85" w:type="dxa"/>
            </w:tcMar>
          </w:tcPr>
          <w:p w:rsidR="00236E18" w:rsidRPr="00245E53" w:rsidRDefault="00236E18" w:rsidP="00294272">
            <w:pPr>
              <w:keepNext/>
              <w:ind w:left="768"/>
              <w:rPr>
                <w:sz w:val="16"/>
                <w:szCs w:val="16"/>
                <w:lang w:bidi="th-TH"/>
              </w:rPr>
            </w:pPr>
            <w:r w:rsidRPr="00245E53">
              <w:rPr>
                <w:sz w:val="16"/>
                <w:szCs w:val="16"/>
                <w:lang w:bidi="th-TH"/>
              </w:rPr>
              <w:t>Programa 21</w:t>
            </w:r>
          </w:p>
        </w:tc>
      </w:tr>
      <w:tr w:rsidR="00236E18" w:rsidRPr="00245E53" w:rsidTr="00294272">
        <w:trPr>
          <w:cantSplit/>
          <w:trHeight w:val="584"/>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lang w:val="es-ES_tradnl"/>
              </w:rPr>
            </w:pPr>
            <w:r w:rsidRPr="00245E53">
              <w:rPr>
                <w:sz w:val="16"/>
                <w:szCs w:val="16"/>
                <w:lang w:val="es-ES_tradnl"/>
              </w:rPr>
              <w:t>Porcentaje de notificaciones de adhesión y otras medidas relacionadas con los tratados tramitadas de manera puntual</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21</w:t>
            </w:r>
          </w:p>
        </w:tc>
      </w:tr>
      <w:tr w:rsidR="00236E18" w:rsidRPr="00245E53" w:rsidTr="00294272">
        <w:trPr>
          <w:cantSplit/>
          <w:trHeight w:val="490"/>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lang w:val="es-ES_tradnl"/>
              </w:rPr>
            </w:pPr>
            <w:r w:rsidRPr="00245E53">
              <w:rPr>
                <w:sz w:val="16"/>
                <w:szCs w:val="16"/>
                <w:lang w:val="es-ES_tradnl"/>
              </w:rPr>
              <w:t>Publicación puntual de los documentos de las Asambleas</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21</w:t>
            </w:r>
          </w:p>
        </w:tc>
      </w:tr>
      <w:tr w:rsidR="00236E18" w:rsidRPr="00245E53" w:rsidTr="00294272">
        <w:trPr>
          <w:cantSplit/>
          <w:trHeight w:val="524"/>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rPr>
              <w:t>Índice de satisfacción de los Estados miembros y otras partes interesadas con la organización de reuniones</w:t>
            </w:r>
            <w:r w:rsidRPr="00245E53">
              <w:rPr>
                <w:sz w:val="16"/>
                <w:szCs w:val="16"/>
                <w:lang w:val="es-ES_tradnl"/>
              </w:rPr>
              <w:t xml:space="preserve"> </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21</w:t>
            </w:r>
          </w:p>
        </w:tc>
      </w:tr>
      <w:tr w:rsidR="00236E18" w:rsidRPr="00245E53" w:rsidTr="00294272">
        <w:trPr>
          <w:cantSplit/>
          <w:trHeight w:val="503"/>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lang w:val="es-ES_tradnl"/>
              </w:rPr>
              <w:t>Nivel de satisfacción de los delegados con la organización de las Asambleas</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21</w:t>
            </w:r>
          </w:p>
        </w:tc>
      </w:tr>
      <w:tr w:rsidR="00236E18" w:rsidRPr="00245E53" w:rsidTr="00294272">
        <w:trPr>
          <w:cantSplit/>
          <w:trHeight w:val="522"/>
        </w:trPr>
        <w:tc>
          <w:tcPr>
            <w:tcW w:w="1853" w:type="pct"/>
            <w:tcBorders>
              <w:top w:val="nil"/>
              <w:bottom w:val="nil"/>
            </w:tcBorders>
            <w:shd w:val="clear" w:color="auto" w:fill="auto"/>
            <w:tcMar>
              <w:top w:w="85" w:type="dxa"/>
              <w:bottom w:w="85" w:type="dxa"/>
            </w:tcMar>
          </w:tcPr>
          <w:p w:rsidR="00236E18" w:rsidRPr="000C438B" w:rsidRDefault="00236E18" w:rsidP="00294272">
            <w:pPr>
              <w:rPr>
                <w:sz w:val="16"/>
                <w:szCs w:val="16"/>
              </w:rPr>
            </w:pPr>
            <w:r w:rsidRPr="000C438B">
              <w:rPr>
                <w:sz w:val="16"/>
                <w:szCs w:val="16"/>
                <w:shd w:val="clear" w:color="auto" w:fill="FFFFFF" w:themeFill="background1"/>
              </w:rPr>
              <w:t xml:space="preserve">VIII.4  </w:t>
            </w:r>
            <w:r w:rsidRPr="000C438B">
              <w:rPr>
                <w:sz w:val="16"/>
                <w:szCs w:val="16"/>
                <w:lang w:val="es-ES_tradnl"/>
              </w:rPr>
              <w:t>Intercambios abiertos, transparentes y dinámicos con las partes interesadas no gubernamentales</w:t>
            </w:r>
          </w:p>
        </w:tc>
        <w:tc>
          <w:tcPr>
            <w:tcW w:w="1543" w:type="pct"/>
            <w:tcBorders>
              <w:top w:val="nil"/>
              <w:bottom w:val="nil"/>
            </w:tcBorders>
            <w:shd w:val="clear" w:color="auto" w:fill="FFFFFF" w:themeFill="background1"/>
            <w:tcMar>
              <w:top w:w="85" w:type="dxa"/>
              <w:bottom w:w="85" w:type="dxa"/>
            </w:tcMar>
          </w:tcPr>
          <w:p w:rsidR="00236E18" w:rsidRPr="00245E53" w:rsidRDefault="00236E18" w:rsidP="00294272">
            <w:pPr>
              <w:rPr>
                <w:sz w:val="16"/>
                <w:szCs w:val="16"/>
              </w:rPr>
            </w:pPr>
            <w:r w:rsidRPr="00245E53">
              <w:rPr>
                <w:sz w:val="16"/>
                <w:szCs w:val="16"/>
              </w:rPr>
              <w:t>N</w:t>
            </w:r>
            <w:r>
              <w:rPr>
                <w:sz w:val="16"/>
                <w:szCs w:val="16"/>
              </w:rPr>
              <w:t>º</w:t>
            </w:r>
            <w:r w:rsidRPr="00245E53">
              <w:rPr>
                <w:sz w:val="16"/>
                <w:szCs w:val="16"/>
              </w:rPr>
              <w:t xml:space="preserve"> de ONG con calidad de observador permanente que participan en las actividades de la OMPI y viceversa </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21</w:t>
            </w:r>
          </w:p>
        </w:tc>
      </w:tr>
      <w:tr w:rsidR="00236E18" w:rsidRPr="00245E53" w:rsidTr="00294272">
        <w:trPr>
          <w:cantSplit/>
          <w:trHeight w:val="537"/>
        </w:trPr>
        <w:tc>
          <w:tcPr>
            <w:tcW w:w="1853" w:type="pct"/>
            <w:tcBorders>
              <w:top w:val="nil"/>
              <w:bottom w:val="nil"/>
            </w:tcBorders>
            <w:shd w:val="clear" w:color="auto" w:fill="auto"/>
            <w:tcMar>
              <w:top w:w="85" w:type="dxa"/>
              <w:bottom w:w="85" w:type="dxa"/>
            </w:tcMar>
          </w:tcPr>
          <w:p w:rsidR="00236E18" w:rsidRPr="000C438B" w:rsidRDefault="00236E18" w:rsidP="00294272">
            <w:pPr>
              <w:rPr>
                <w:sz w:val="16"/>
                <w:szCs w:val="16"/>
              </w:rPr>
            </w:pPr>
            <w:r w:rsidRPr="000C438B">
              <w:rPr>
                <w:sz w:val="16"/>
                <w:szCs w:val="16"/>
              </w:rPr>
              <w:t xml:space="preserve">VIII.5  </w:t>
            </w:r>
            <w:r w:rsidRPr="000C438B">
              <w:rPr>
                <w:sz w:val="16"/>
                <w:szCs w:val="16"/>
                <w:lang w:val="es-ES_tradnl"/>
              </w:rPr>
              <w:t>La OMPI participa y colabora eficazmente en los procesos y negociaciones de las NN.UU. y otras OIG</w:t>
            </w: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lang w:val="es-ES_tradnl"/>
              </w:rPr>
              <w:t>Las contribuciones de la OMPI quedan reflejadas en informes, resoluciones y documentos de procesos relevantes de las NN.UU. y otras OIG.</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20</w:t>
            </w:r>
          </w:p>
        </w:tc>
      </w:tr>
      <w:tr w:rsidR="00236E18" w:rsidRPr="00245E53" w:rsidTr="00294272">
        <w:trPr>
          <w:cantSplit/>
          <w:trHeight w:val="514"/>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lang w:val="es-ES_tradnl"/>
              </w:rPr>
              <w:t>N</w:t>
            </w:r>
            <w:r>
              <w:rPr>
                <w:sz w:val="16"/>
                <w:szCs w:val="16"/>
                <w:lang w:val="es-ES_tradnl"/>
              </w:rPr>
              <w:t>º</w:t>
            </w:r>
            <w:r w:rsidRPr="00245E53">
              <w:rPr>
                <w:sz w:val="16"/>
                <w:szCs w:val="16"/>
                <w:lang w:val="es-ES_tradnl"/>
              </w:rPr>
              <w:t xml:space="preserve"> de iniciativas de la OMPI en colaboración con las NN.UU. y otras OIG para conseguir los ODS.</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20</w:t>
            </w:r>
          </w:p>
        </w:tc>
      </w:tr>
      <w:tr w:rsidR="00236E18" w:rsidRPr="00245E53" w:rsidTr="00294272">
        <w:trPr>
          <w:cantSplit/>
          <w:trHeight w:val="514"/>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sz w:val="16"/>
                <w:szCs w:val="16"/>
              </w:rPr>
            </w:pPr>
            <w:r w:rsidRPr="00245E53">
              <w:rPr>
                <w:sz w:val="16"/>
                <w:szCs w:val="16"/>
              </w:rPr>
              <w:t>N</w:t>
            </w:r>
            <w:r>
              <w:rPr>
                <w:sz w:val="16"/>
                <w:szCs w:val="16"/>
              </w:rPr>
              <w:t>º</w:t>
            </w:r>
            <w:r w:rsidRPr="00245E53">
              <w:rPr>
                <w:sz w:val="16"/>
                <w:szCs w:val="16"/>
              </w:rPr>
              <w:t xml:space="preserve"> de actividades comunes con la Secretaría de la ASEAN, ECAP/OAIM, Fundación Asia/Europa, AANZFTA.</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 xml:space="preserve">Programa 20 </w:t>
            </w:r>
          </w:p>
        </w:tc>
      </w:tr>
      <w:tr w:rsidR="00236E18" w:rsidRPr="00245E53" w:rsidTr="00294272">
        <w:trPr>
          <w:cantSplit/>
          <w:trHeight w:val="356"/>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FFFFFF" w:themeFill="background1"/>
            <w:tcMar>
              <w:top w:w="85" w:type="dxa"/>
              <w:bottom w:w="85" w:type="dxa"/>
            </w:tcMar>
          </w:tcPr>
          <w:p w:rsidR="00236E18" w:rsidRPr="00245E53" w:rsidRDefault="00236E18" w:rsidP="00294272">
            <w:pPr>
              <w:rPr>
                <w:sz w:val="16"/>
                <w:szCs w:val="16"/>
              </w:rPr>
            </w:pPr>
            <w:r w:rsidRPr="00245E53">
              <w:rPr>
                <w:sz w:val="16"/>
                <w:szCs w:val="16"/>
                <w:lang w:val="es-ES_tradnl"/>
              </w:rPr>
              <w:t>Nuevas iniciativas conjuntas llevadas a cabo con otros organismos de las NN.UU./OIG.</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21</w:t>
            </w:r>
          </w:p>
        </w:tc>
      </w:tr>
      <w:tr w:rsidR="00236E18" w:rsidRPr="00245E53" w:rsidTr="00294272">
        <w:trPr>
          <w:cantSplit/>
          <w:trHeight w:val="383"/>
        </w:trPr>
        <w:tc>
          <w:tcPr>
            <w:tcW w:w="1853" w:type="pct"/>
            <w:tcBorders>
              <w:top w:val="nil"/>
              <w:bottom w:val="nil"/>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nil"/>
            </w:tcBorders>
            <w:shd w:val="clear" w:color="auto" w:fill="auto"/>
            <w:tcMar>
              <w:top w:w="85" w:type="dxa"/>
              <w:bottom w:w="85" w:type="dxa"/>
            </w:tcMar>
          </w:tcPr>
          <w:p w:rsidR="00236E18" w:rsidRPr="00245E53" w:rsidRDefault="00236E18" w:rsidP="00294272">
            <w:pPr>
              <w:rPr>
                <w:bCs/>
                <w:sz w:val="16"/>
                <w:szCs w:val="16"/>
                <w:lang w:val="es-ES_tradnl"/>
              </w:rPr>
            </w:pPr>
            <w:r w:rsidRPr="00245E53">
              <w:rPr>
                <w:bCs/>
                <w:sz w:val="16"/>
                <w:szCs w:val="16"/>
                <w:lang w:val="es-ES_tradnl"/>
              </w:rPr>
              <w:t>Porcentaje de productos y servicios contratados y adquiridos a nivel local en comparación con el importe total de los adquiridos para actividades de desarrollo</w:t>
            </w:r>
          </w:p>
        </w:tc>
        <w:tc>
          <w:tcPr>
            <w:tcW w:w="1604" w:type="pct"/>
            <w:tcBorders>
              <w:top w:val="nil"/>
              <w:bottom w:val="nil"/>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24</w:t>
            </w:r>
          </w:p>
        </w:tc>
      </w:tr>
      <w:tr w:rsidR="00236E18" w:rsidRPr="00245E53" w:rsidTr="00294272">
        <w:trPr>
          <w:cantSplit/>
          <w:trHeight w:val="515"/>
        </w:trPr>
        <w:tc>
          <w:tcPr>
            <w:tcW w:w="1853" w:type="pct"/>
            <w:tcBorders>
              <w:top w:val="nil"/>
              <w:bottom w:val="single" w:sz="4" w:space="0" w:color="auto"/>
            </w:tcBorders>
            <w:shd w:val="clear" w:color="auto" w:fill="auto"/>
            <w:tcMar>
              <w:top w:w="85" w:type="dxa"/>
              <w:bottom w:w="85" w:type="dxa"/>
            </w:tcMar>
          </w:tcPr>
          <w:p w:rsidR="00236E18" w:rsidRPr="00245E53" w:rsidRDefault="00236E18" w:rsidP="00294272">
            <w:pPr>
              <w:rPr>
                <w:sz w:val="16"/>
                <w:szCs w:val="16"/>
              </w:rPr>
            </w:pPr>
          </w:p>
        </w:tc>
        <w:tc>
          <w:tcPr>
            <w:tcW w:w="1543" w:type="pct"/>
            <w:tcBorders>
              <w:top w:val="nil"/>
              <w:bottom w:val="single" w:sz="4" w:space="0" w:color="auto"/>
            </w:tcBorders>
            <w:shd w:val="clear" w:color="auto" w:fill="auto"/>
            <w:tcMar>
              <w:top w:w="85" w:type="dxa"/>
              <w:bottom w:w="85" w:type="dxa"/>
            </w:tcMar>
          </w:tcPr>
          <w:p w:rsidR="00236E18" w:rsidRPr="00245E53" w:rsidRDefault="00236E18" w:rsidP="00294272">
            <w:pPr>
              <w:rPr>
                <w:sz w:val="16"/>
                <w:szCs w:val="16"/>
                <w:lang w:val="es-ES_tradnl"/>
              </w:rPr>
            </w:pPr>
            <w:r w:rsidRPr="00245E53">
              <w:rPr>
                <w:sz w:val="16"/>
                <w:szCs w:val="16"/>
                <w:lang w:val="es-ES_tradnl"/>
              </w:rPr>
              <w:t>Porcentaje de gastos efectuados con arreglo a las prácticas vigentes en NN.UU. (licitaciones comunes o aprovechamiento de los contratos)</w:t>
            </w:r>
            <w:r>
              <w:rPr>
                <w:sz w:val="16"/>
                <w:szCs w:val="16"/>
                <w:lang w:val="es-ES_tradnl"/>
              </w:rPr>
              <w:t>.</w:t>
            </w:r>
            <w:r>
              <w:rPr>
                <w:sz w:val="16"/>
                <w:szCs w:val="16"/>
                <w:lang w:val="es-ES_tradnl"/>
              </w:rPr>
              <w:br/>
            </w:r>
          </w:p>
        </w:tc>
        <w:tc>
          <w:tcPr>
            <w:tcW w:w="1604" w:type="pct"/>
            <w:tcBorders>
              <w:top w:val="nil"/>
              <w:bottom w:val="single" w:sz="4" w:space="0" w:color="auto"/>
            </w:tcBorders>
            <w:shd w:val="clear" w:color="auto" w:fill="FFFFFF"/>
            <w:tcMar>
              <w:top w:w="85" w:type="dxa"/>
              <w:bottom w:w="85" w:type="dxa"/>
            </w:tcMar>
          </w:tcPr>
          <w:p w:rsidR="00236E18" w:rsidRPr="00245E53" w:rsidRDefault="00236E18" w:rsidP="00294272">
            <w:pPr>
              <w:ind w:left="768"/>
              <w:rPr>
                <w:sz w:val="16"/>
                <w:szCs w:val="16"/>
                <w:lang w:bidi="th-TH"/>
              </w:rPr>
            </w:pPr>
            <w:r w:rsidRPr="00245E53">
              <w:rPr>
                <w:sz w:val="16"/>
                <w:szCs w:val="16"/>
                <w:lang w:bidi="th-TH"/>
              </w:rPr>
              <w:t>Programa 24</w:t>
            </w:r>
          </w:p>
        </w:tc>
      </w:tr>
    </w:tbl>
    <w:p w:rsidR="00236E18" w:rsidRPr="00245E53" w:rsidRDefault="00236E18" w:rsidP="00236E18">
      <w:pPr>
        <w:rPr>
          <w:bCs/>
          <w:sz w:val="20"/>
        </w:rPr>
      </w:pPr>
    </w:p>
    <w:p w:rsidR="00236E18" w:rsidRDefault="00236E18" w:rsidP="00236E18">
      <w:pPr>
        <w:rPr>
          <w:sz w:val="20"/>
          <w:szCs w:val="21"/>
          <w:lang w:val="en-US"/>
        </w:rPr>
      </w:pPr>
      <w:r>
        <w:rPr>
          <w:sz w:val="20"/>
          <w:szCs w:val="21"/>
          <w:lang w:val="en-US"/>
        </w:rPr>
        <w:br w:type="page"/>
      </w:r>
    </w:p>
    <w:p w:rsidR="00236E18" w:rsidRPr="005B3FF4" w:rsidRDefault="00236E18" w:rsidP="00236E18">
      <w:pPr>
        <w:pStyle w:val="StyleStyleHeading3ComplexItalicLatin12pt"/>
        <w:rPr>
          <w:lang w:val="es-ES"/>
        </w:rPr>
      </w:pPr>
      <w:bookmarkStart w:id="107" w:name="_Toc431573567"/>
      <w:bookmarkStart w:id="108" w:name="_Toc431573968"/>
      <w:r w:rsidRPr="005B3FF4">
        <w:rPr>
          <w:caps w:val="0"/>
          <w:lang w:val="es-ES"/>
        </w:rPr>
        <w:lastRenderedPageBreak/>
        <w:t>PROGRAMA 19</w:t>
      </w:r>
      <w:r w:rsidRPr="005B3FF4">
        <w:rPr>
          <w:caps w:val="0"/>
          <w:lang w:val="es-ES"/>
        </w:rPr>
        <w:tab/>
        <w:t>COMUNICACIONES</w:t>
      </w:r>
      <w:bookmarkEnd w:id="107"/>
      <w:bookmarkEnd w:id="108"/>
    </w:p>
    <w:p w:rsidR="00236E18" w:rsidRPr="005966CA" w:rsidRDefault="00236E18" w:rsidP="00236E18">
      <w:pPr>
        <w:widowControl w:val="0"/>
        <w:rPr>
          <w:rFonts w:eastAsia="MS Mincho"/>
          <w:bCs/>
          <w:i/>
          <w:szCs w:val="22"/>
          <w:lang w:eastAsia="ja-JP"/>
        </w:rPr>
      </w:pPr>
    </w:p>
    <w:p w:rsidR="00236E18" w:rsidRPr="005966CA" w:rsidRDefault="00236E18" w:rsidP="00236E18">
      <w:pPr>
        <w:widowControl w:val="0"/>
        <w:rPr>
          <w:rFonts w:eastAsia="MS Mincho"/>
          <w:szCs w:val="22"/>
          <w:lang w:eastAsia="ja-JP"/>
        </w:rPr>
      </w:pPr>
    </w:p>
    <w:p w:rsidR="00236E18" w:rsidRPr="005966CA" w:rsidRDefault="00236E18" w:rsidP="00236E18">
      <w:pPr>
        <w:widowControl w:val="0"/>
        <w:rPr>
          <w:rFonts w:eastAsia="MS Mincho"/>
          <w:szCs w:val="22"/>
          <w:lang w:eastAsia="ja-JP"/>
        </w:rPr>
      </w:pPr>
      <w:r w:rsidRPr="005966CA">
        <w:rPr>
          <w:rFonts w:eastAsia="MS Mincho"/>
          <w:szCs w:val="22"/>
          <w:lang w:eastAsia="ja-JP"/>
        </w:rPr>
        <w:t>CONTEXTO DE PLANIFICACIÓN</w:t>
      </w:r>
    </w:p>
    <w:p w:rsidR="00236E18" w:rsidRPr="005966CA" w:rsidRDefault="00236E18" w:rsidP="00236E18">
      <w:pPr>
        <w:widowControl w:val="0"/>
        <w:tabs>
          <w:tab w:val="num" w:pos="709"/>
        </w:tabs>
        <w:ind w:left="1140" w:hanging="1140"/>
        <w:jc w:val="both"/>
        <w:rPr>
          <w:rFonts w:eastAsia="MS Mincho"/>
          <w:bCs/>
          <w:szCs w:val="22"/>
          <w:lang w:eastAsia="ja-JP"/>
        </w:rPr>
      </w:pPr>
    </w:p>
    <w:p w:rsidR="00236E18" w:rsidRPr="005966CA" w:rsidRDefault="00236E18" w:rsidP="00236E18">
      <w:pPr>
        <w:widowControl w:val="0"/>
        <w:numPr>
          <w:ilvl w:val="0"/>
          <w:numId w:val="34"/>
        </w:numPr>
        <w:jc w:val="both"/>
        <w:rPr>
          <w:rFonts w:eastAsia="MS Mincho"/>
          <w:sz w:val="20"/>
          <w:lang w:eastAsia="ja-JP"/>
        </w:rPr>
      </w:pPr>
      <w:r w:rsidRPr="005966CA">
        <w:rPr>
          <w:rFonts w:eastAsia="MS Mincho"/>
          <w:sz w:val="20"/>
          <w:lang w:eastAsia="ja-JP"/>
        </w:rPr>
        <w:t>La OMPI es una organización polifacética que se ocupa de temas y actividades muy complejos.  En el ámbito de las comunicaciones, el reto que se plantea es simplificar la complejidad y conectar con distintos tipos de públicos en todo el mundo.  Para forjar el entendimiento, el compromiso y la confianza necesarios para cumplir su mandato, la OMPI debe comunicar con claridad sus objetivos y valores, así como la labor que lleva a cabo para que la P.I. fomente la innovación y la creatividad.  Además, debe impulsar el reconocimiento de su posición única en cuanto que foro mundial de P.I. y fomentar la demanda de sus i</w:t>
      </w:r>
      <w:r>
        <w:rPr>
          <w:rFonts w:eastAsia="MS Mincho"/>
          <w:sz w:val="20"/>
          <w:lang w:eastAsia="ja-JP"/>
        </w:rPr>
        <w:t>nstrumentos y servicios de P.I.</w:t>
      </w:r>
    </w:p>
    <w:p w:rsidR="00236E18" w:rsidRPr="005966CA" w:rsidRDefault="00236E18" w:rsidP="00236E18">
      <w:pPr>
        <w:widowControl w:val="0"/>
        <w:jc w:val="both"/>
        <w:rPr>
          <w:rFonts w:eastAsia="MS Mincho"/>
          <w:sz w:val="20"/>
          <w:lang w:eastAsia="ja-JP"/>
        </w:rPr>
      </w:pPr>
    </w:p>
    <w:p w:rsidR="00236E18" w:rsidRPr="005966CA" w:rsidRDefault="00236E18" w:rsidP="00236E18">
      <w:pPr>
        <w:widowControl w:val="0"/>
        <w:numPr>
          <w:ilvl w:val="0"/>
          <w:numId w:val="34"/>
        </w:numPr>
        <w:jc w:val="both"/>
        <w:rPr>
          <w:rFonts w:eastAsia="MS Mincho"/>
          <w:sz w:val="20"/>
          <w:lang w:eastAsia="ja-JP"/>
        </w:rPr>
      </w:pPr>
      <w:r w:rsidRPr="005966CA">
        <w:rPr>
          <w:rFonts w:eastAsia="MS Mincho"/>
          <w:sz w:val="20"/>
          <w:lang w:eastAsia="ja-JP"/>
        </w:rPr>
        <w:t xml:space="preserve">La P.I. es un ámbito muy complejo en el que el </w:t>
      </w:r>
      <w:r w:rsidRPr="005966CA">
        <w:rPr>
          <w:rFonts w:eastAsia="MS Mincho"/>
          <w:i/>
          <w:sz w:val="20"/>
          <w:lang w:eastAsia="ja-JP"/>
        </w:rPr>
        <w:t>marketing</w:t>
      </w:r>
      <w:r w:rsidRPr="005966CA">
        <w:rPr>
          <w:rFonts w:eastAsia="MS Mincho"/>
          <w:sz w:val="20"/>
          <w:lang w:eastAsia="ja-JP"/>
        </w:rPr>
        <w:t xml:space="preserve"> y las comunicaciones promocionales de la OMPI en relación con sus servicios, productos, actividades y logros compiten por atraer la atención de los sectores interesados.  Para aumentar al máximo su incidencia, será necesario intensificar la coordinación interna y explotar de manera más sistemática las alianzas externas;  las comunicaciones de la OMPI deben ser innovadoras y accesibles, deben lograr despertar interés y estar orientadas a los usuarios, prestando especial atención a la importancia de la P.I. para las personas y las economías de todo el mundo.  A fin de adaptarse a la rápida evolución del entorno mundial de las comunicaciones digitales y de explotar las oportunidades que ofrecen las nuevas tecnologías, se seguirá haciendo hincapié en el desarrollo de capacidades multimedia en la creación y la gestión de contenidos digitales y en acelerar la transición de la publicación tradicional a la publicación digital.</w:t>
      </w:r>
    </w:p>
    <w:p w:rsidR="00236E18" w:rsidRPr="005966CA" w:rsidRDefault="00236E18" w:rsidP="00236E18">
      <w:pPr>
        <w:widowControl w:val="0"/>
        <w:jc w:val="both"/>
        <w:rPr>
          <w:rFonts w:eastAsia="MS Mincho"/>
          <w:sz w:val="20"/>
          <w:lang w:eastAsia="ja-JP"/>
        </w:rPr>
      </w:pPr>
    </w:p>
    <w:p w:rsidR="00236E18" w:rsidRPr="005966CA" w:rsidRDefault="00236E18" w:rsidP="00236E18">
      <w:pPr>
        <w:widowControl w:val="0"/>
        <w:numPr>
          <w:ilvl w:val="0"/>
          <w:numId w:val="34"/>
        </w:numPr>
        <w:jc w:val="both"/>
        <w:rPr>
          <w:rFonts w:eastAsia="MS Mincho"/>
          <w:sz w:val="20"/>
          <w:lang w:eastAsia="ja-JP"/>
        </w:rPr>
      </w:pPr>
      <w:r w:rsidRPr="005966CA">
        <w:rPr>
          <w:rFonts w:eastAsia="MS Mincho"/>
          <w:sz w:val="20"/>
          <w:lang w:eastAsia="ja-JP"/>
        </w:rPr>
        <w:t>La buena comunicación y la capacidad de respuesta constituyen un elemento esencial en la prestación de servicios, tanto internos como externos.  La OMPI debe seguir esforzándose por comprender mejor las necesidades y las expectativas de sus muy diferentes sectores interesados e impulsar en toda la Organización una cultura orientada a la prestación de servicios, con el apoyo de instrumentos y funciones técnicas mejorados.</w:t>
      </w:r>
    </w:p>
    <w:p w:rsidR="00236E18" w:rsidRPr="005966CA" w:rsidRDefault="00236E18" w:rsidP="00236E18">
      <w:pPr>
        <w:widowControl w:val="0"/>
        <w:tabs>
          <w:tab w:val="num" w:pos="709"/>
        </w:tabs>
        <w:ind w:left="1140" w:hanging="1140"/>
        <w:jc w:val="both"/>
        <w:rPr>
          <w:rFonts w:eastAsia="MS Mincho"/>
          <w:szCs w:val="22"/>
          <w:lang w:eastAsia="ja-JP"/>
        </w:rPr>
      </w:pPr>
    </w:p>
    <w:p w:rsidR="00236E18" w:rsidRPr="005966CA" w:rsidRDefault="00236E18" w:rsidP="00236E18">
      <w:pPr>
        <w:widowControl w:val="0"/>
        <w:jc w:val="both"/>
        <w:rPr>
          <w:rFonts w:eastAsia="MS Mincho"/>
          <w:szCs w:val="22"/>
          <w:lang w:eastAsia="ja-JP"/>
        </w:rPr>
      </w:pPr>
    </w:p>
    <w:p w:rsidR="00236E18" w:rsidRPr="005966CA" w:rsidRDefault="00236E18" w:rsidP="00236E18">
      <w:pPr>
        <w:widowControl w:val="0"/>
        <w:jc w:val="both"/>
        <w:rPr>
          <w:rFonts w:eastAsia="MS Mincho"/>
          <w:szCs w:val="22"/>
          <w:lang w:eastAsia="ja-JP"/>
        </w:rPr>
      </w:pPr>
      <w:r w:rsidRPr="005966CA">
        <w:rPr>
          <w:rFonts w:eastAsia="MS Mincho"/>
          <w:szCs w:val="22"/>
          <w:lang w:eastAsia="ja-JP"/>
        </w:rPr>
        <w:t>ESTRATEGIAS DE EJECUCIÓN</w:t>
      </w:r>
    </w:p>
    <w:p w:rsidR="00236E18" w:rsidRPr="005966CA" w:rsidRDefault="00236E18" w:rsidP="00236E18">
      <w:pPr>
        <w:widowControl w:val="0"/>
        <w:tabs>
          <w:tab w:val="num" w:pos="709"/>
        </w:tabs>
        <w:jc w:val="both"/>
        <w:rPr>
          <w:rFonts w:eastAsia="MS Mincho"/>
          <w:szCs w:val="22"/>
          <w:lang w:eastAsia="ja-JP"/>
        </w:rPr>
      </w:pPr>
    </w:p>
    <w:p w:rsidR="00236E18" w:rsidRPr="005966CA" w:rsidRDefault="00236E18" w:rsidP="00236E18">
      <w:pPr>
        <w:widowControl w:val="0"/>
        <w:numPr>
          <w:ilvl w:val="0"/>
          <w:numId w:val="34"/>
        </w:numPr>
        <w:jc w:val="both"/>
        <w:rPr>
          <w:rFonts w:eastAsia="MS Mincho"/>
          <w:sz w:val="20"/>
          <w:lang w:eastAsia="ja-JP"/>
        </w:rPr>
      </w:pPr>
      <w:r w:rsidRPr="005966CA">
        <w:rPr>
          <w:rFonts w:eastAsia="MS Mincho"/>
          <w:sz w:val="20"/>
          <w:lang w:eastAsia="ja-JP"/>
        </w:rPr>
        <w:t xml:space="preserve">En el bienio 2016/17, la labor del programa 19 debería tener por resultado una comunicación eficaz acerca de la P.I. y la OMPI.  Para evaluar el éxito de la contribución del programa se tendrá en cuenta el grado en que haya aumentado el alcance de los contenidos públicos de información, como puedan ser publicaciones, vídeos, imágenes, materiales relacionados con los medios de comunicación y recursos de Internet así como la mayor participación de los sectores interesados en las plataformas de medios sociales y en actividades.  La buena comunicación de actividades y logros fundamentales tendrá como consecuencia el aumento de la visibilidad en los medios </w:t>
      </w:r>
      <w:r>
        <w:rPr>
          <w:rFonts w:eastAsia="MS Mincho"/>
          <w:sz w:val="20"/>
          <w:lang w:eastAsia="ja-JP"/>
        </w:rPr>
        <w:t>internacionales de comunicación</w:t>
      </w:r>
      <w:r w:rsidRPr="005966CA">
        <w:rPr>
          <w:rFonts w:eastAsia="MS Mincho"/>
          <w:sz w:val="20"/>
          <w:lang w:eastAsia="ja-JP"/>
        </w:rPr>
        <w:t xml:space="preserve"> y el reconocimiento positivo de la función y el prestigio de la OMPI entre los sectores interesados.  Por otra parte, la mejora de la capacidad de respuesta en la gestión de las demandas externas aumentará el índice de satisfacción de los sectores interesados.  Las estrategias para lograr dichos resultados comprenderán lo siguiente:</w:t>
      </w:r>
    </w:p>
    <w:p w:rsidR="00236E18" w:rsidRPr="005966CA" w:rsidRDefault="00236E18" w:rsidP="00236E18">
      <w:pPr>
        <w:widowControl w:val="0"/>
        <w:jc w:val="both"/>
        <w:rPr>
          <w:rFonts w:eastAsia="MS Mincho"/>
          <w:sz w:val="20"/>
          <w:lang w:eastAsia="ja-JP"/>
        </w:rPr>
      </w:pPr>
    </w:p>
    <w:p w:rsidR="00236E18" w:rsidRPr="005966CA" w:rsidRDefault="00236E18" w:rsidP="00236E18">
      <w:pPr>
        <w:widowControl w:val="0"/>
        <w:tabs>
          <w:tab w:val="left" w:pos="1100"/>
        </w:tabs>
        <w:ind w:left="567"/>
        <w:jc w:val="both"/>
        <w:rPr>
          <w:rFonts w:eastAsia="MS Mincho"/>
          <w:sz w:val="20"/>
          <w:lang w:eastAsia="ja-JP"/>
        </w:rPr>
      </w:pPr>
      <w:r w:rsidRPr="005966CA">
        <w:rPr>
          <w:rFonts w:eastAsia="MS Mincho"/>
          <w:i/>
          <w:iCs/>
          <w:sz w:val="20"/>
          <w:lang w:eastAsia="ja-JP"/>
        </w:rPr>
        <w:t>i)</w:t>
      </w:r>
      <w:r w:rsidRPr="005966CA">
        <w:rPr>
          <w:rFonts w:eastAsia="MS Mincho"/>
          <w:i/>
          <w:iCs/>
          <w:sz w:val="20"/>
          <w:lang w:eastAsia="ja-JP"/>
        </w:rPr>
        <w:tab/>
        <w:t xml:space="preserve">Priorizar.  </w:t>
      </w:r>
      <w:r w:rsidRPr="005966CA">
        <w:rPr>
          <w:rFonts w:eastAsia="MS Mincho"/>
          <w:sz w:val="20"/>
          <w:lang w:eastAsia="ja-JP"/>
        </w:rPr>
        <w:t xml:space="preserve">Se prestará especial atención a la producción de contenidos en apoyo de los principales objetivos institucionales.  Cada año se señalará, de entre los más importantes, un número limitado de actividades, productos y logros de la OMPI como prioridades estratégicas en las comunicaciones y el </w:t>
      </w:r>
      <w:r w:rsidRPr="005966CA">
        <w:rPr>
          <w:rFonts w:eastAsia="MS Mincho"/>
          <w:i/>
          <w:sz w:val="20"/>
          <w:lang w:eastAsia="ja-JP"/>
        </w:rPr>
        <w:t>marketing.</w:t>
      </w:r>
      <w:r w:rsidRPr="005966CA">
        <w:rPr>
          <w:rFonts w:eastAsia="MS Mincho"/>
          <w:sz w:val="20"/>
          <w:lang w:eastAsia="ja-JP"/>
        </w:rPr>
        <w:t xml:space="preserve">  Se les concederá alta visibilidad en los medios de comunicación y se elaborarán planes de comunicación adaptados a cada caso para movilizar los recursos disponibles, en aras de incrementar su incidencia y alcance.  Se establecerán alianzas estratégicas con los medios de comunicación para aumentar la visibilidad y el alcance de las actividades más destacadas.  Las herramientas de </w:t>
      </w:r>
      <w:r w:rsidRPr="005966CA">
        <w:rPr>
          <w:rFonts w:eastAsia="MS Mincho"/>
          <w:i/>
          <w:sz w:val="20"/>
          <w:lang w:eastAsia="ja-JP"/>
        </w:rPr>
        <w:t xml:space="preserve">marketing </w:t>
      </w:r>
      <w:r w:rsidRPr="005966CA">
        <w:rPr>
          <w:rFonts w:eastAsia="MS Mincho"/>
          <w:sz w:val="20"/>
          <w:lang w:eastAsia="ja-JP"/>
        </w:rPr>
        <w:t>de reciente creación, como la base de datos central de contacto y la plataforma de boletines por correo electrónico, contribuirán a asegurar que las comunicaciones promocionales alcancen a los públicos destinatarios.</w:t>
      </w:r>
    </w:p>
    <w:p w:rsidR="00236E18" w:rsidRPr="005966CA" w:rsidRDefault="00236E18" w:rsidP="00236E18">
      <w:pPr>
        <w:widowControl w:val="0"/>
        <w:tabs>
          <w:tab w:val="left" w:pos="1100"/>
        </w:tabs>
        <w:ind w:left="567"/>
        <w:jc w:val="both"/>
        <w:rPr>
          <w:rFonts w:eastAsia="MS Mincho"/>
          <w:sz w:val="20"/>
          <w:lang w:eastAsia="ja-JP"/>
        </w:rPr>
      </w:pPr>
    </w:p>
    <w:p w:rsidR="00236E18" w:rsidRPr="005966CA" w:rsidRDefault="00236E18" w:rsidP="00236E18">
      <w:pPr>
        <w:widowControl w:val="0"/>
        <w:tabs>
          <w:tab w:val="left" w:pos="1100"/>
        </w:tabs>
        <w:ind w:left="567"/>
        <w:jc w:val="both"/>
        <w:rPr>
          <w:rFonts w:eastAsia="MS Mincho"/>
          <w:iCs/>
          <w:sz w:val="20"/>
          <w:lang w:eastAsia="ja-JP"/>
        </w:rPr>
      </w:pPr>
      <w:r w:rsidRPr="005966CA">
        <w:rPr>
          <w:rFonts w:eastAsia="MS Mincho"/>
          <w:i/>
          <w:sz w:val="20"/>
          <w:lang w:eastAsia="ja-JP"/>
        </w:rPr>
        <w:t>ii)</w:t>
      </w:r>
      <w:r w:rsidRPr="005966CA">
        <w:rPr>
          <w:rFonts w:eastAsia="MS Mincho"/>
          <w:i/>
          <w:sz w:val="20"/>
          <w:lang w:eastAsia="ja-JP"/>
        </w:rPr>
        <w:tab/>
        <w:t>Contenidos y difusión centrados en los usuarios</w:t>
      </w:r>
      <w:r w:rsidRPr="005966CA">
        <w:rPr>
          <w:rFonts w:eastAsia="MS Mincho"/>
          <w:sz w:val="20"/>
          <w:lang w:eastAsia="ja-JP"/>
        </w:rPr>
        <w:t xml:space="preserve">.  </w:t>
      </w:r>
      <w:r w:rsidRPr="005966CA">
        <w:rPr>
          <w:rFonts w:eastAsia="MS Mincho"/>
          <w:iCs/>
          <w:sz w:val="20"/>
          <w:lang w:eastAsia="ja-JP"/>
        </w:rPr>
        <w:t xml:space="preserve">Se crearán, adaptarán y difundirán contenidos de alta calidad, desde material de información basado en datos hasta historias relacionadas con la P.I., por medio de diversos canales a fin de satisfacer los intereses y las necesidades de diferentes públicos con diferentes niveles de conocimiento de la P.I.  Se seguirá prestando atención a las consideraciones geográficas y al equilibrio de género, y a contar las </w:t>
      </w:r>
      <w:r w:rsidRPr="005966CA">
        <w:rPr>
          <w:rFonts w:eastAsia="MS Mincho"/>
          <w:iCs/>
          <w:sz w:val="20"/>
          <w:lang w:eastAsia="ja-JP"/>
        </w:rPr>
        <w:lastRenderedPageBreak/>
        <w:t xml:space="preserve">historias sobre el modo en que los innovadores del todo el mundo están utilizando la P.I. para mejorar sus vidas.  El nuevo boletín de noticias quincenal, </w:t>
      </w:r>
      <w:r w:rsidRPr="005966CA">
        <w:rPr>
          <w:rFonts w:eastAsia="MS Mincho"/>
          <w:i/>
          <w:iCs/>
          <w:sz w:val="20"/>
          <w:lang w:eastAsia="ja-JP"/>
        </w:rPr>
        <w:t>WIPO </w:t>
      </w:r>
      <w:proofErr w:type="spellStart"/>
      <w:r w:rsidRPr="005966CA">
        <w:rPr>
          <w:rFonts w:eastAsia="MS Mincho"/>
          <w:i/>
          <w:iCs/>
          <w:sz w:val="20"/>
          <w:lang w:eastAsia="ja-JP"/>
        </w:rPr>
        <w:t>Wire</w:t>
      </w:r>
      <w:proofErr w:type="spellEnd"/>
      <w:r w:rsidRPr="005966CA">
        <w:rPr>
          <w:rFonts w:eastAsia="MS Mincho"/>
          <w:i/>
          <w:iCs/>
          <w:sz w:val="20"/>
          <w:lang w:eastAsia="ja-JP"/>
        </w:rPr>
        <w:t>,</w:t>
      </w:r>
      <w:r w:rsidRPr="005966CA">
        <w:rPr>
          <w:rFonts w:eastAsia="MS Mincho"/>
          <w:iCs/>
          <w:sz w:val="20"/>
          <w:lang w:eastAsia="ja-JP"/>
        </w:rPr>
        <w:t xml:space="preserve"> ayudará a los sectores interesados a estar informados de las noticias y recursos de la OMPI, y la nueva plataforma de correo facilitará la utilización de los boletines y avisos electrónicos de la OMPI.  Las mejoras que se seguirán introduciendo en la arquitectura, la presentación y el contenido de la información del sitio web de la OMPI ayudarán a los distintos usuarios a encontrar lo que necesitan con mayor facilidad.  Las herramientas analíticas aportarán información que ayudará a evaluar la eficacia de las comunicaciones y a satisfacer los intereses de los usuarios.</w:t>
      </w:r>
    </w:p>
    <w:p w:rsidR="00236E18" w:rsidRPr="005966CA" w:rsidRDefault="00236E18" w:rsidP="00236E18">
      <w:pPr>
        <w:widowControl w:val="0"/>
        <w:tabs>
          <w:tab w:val="left" w:pos="1100"/>
        </w:tabs>
        <w:ind w:left="567"/>
        <w:jc w:val="both"/>
        <w:rPr>
          <w:rFonts w:eastAsia="MS Mincho"/>
          <w:sz w:val="20"/>
          <w:lang w:eastAsia="ja-JP"/>
        </w:rPr>
      </w:pPr>
    </w:p>
    <w:p w:rsidR="00236E18" w:rsidRPr="005966CA" w:rsidRDefault="00236E18" w:rsidP="00236E18">
      <w:pPr>
        <w:widowControl w:val="0"/>
        <w:tabs>
          <w:tab w:val="left" w:pos="1100"/>
        </w:tabs>
        <w:ind w:left="567"/>
        <w:jc w:val="both"/>
        <w:rPr>
          <w:rFonts w:eastAsia="MS Mincho"/>
          <w:sz w:val="20"/>
          <w:lang w:eastAsia="ja-JP"/>
        </w:rPr>
      </w:pPr>
      <w:r w:rsidRPr="005966CA">
        <w:rPr>
          <w:rFonts w:eastAsia="MS Mincho"/>
          <w:i/>
          <w:iCs/>
          <w:sz w:val="20"/>
          <w:lang w:eastAsia="ja-JP"/>
        </w:rPr>
        <w:t>iii)</w:t>
      </w:r>
      <w:r w:rsidRPr="005966CA">
        <w:rPr>
          <w:rFonts w:eastAsia="MS Mincho"/>
          <w:i/>
          <w:iCs/>
          <w:sz w:val="20"/>
          <w:lang w:eastAsia="ja-JP"/>
        </w:rPr>
        <w:tab/>
        <w:t xml:space="preserve">Ampliar el acceso.  </w:t>
      </w:r>
      <w:r w:rsidRPr="005966CA">
        <w:rPr>
          <w:rFonts w:eastAsia="MS Mincho"/>
          <w:sz w:val="20"/>
          <w:lang w:eastAsia="ja-JP"/>
        </w:rPr>
        <w:t xml:space="preserve">En el sitio web de la OMPI se empezará a aplicar la política de la OMPI relativa al acceso libre, con el apoyo de sistemas de licencias como </w:t>
      </w:r>
      <w:proofErr w:type="spellStart"/>
      <w:r w:rsidRPr="005966CA">
        <w:rPr>
          <w:rFonts w:eastAsia="MS Mincho"/>
          <w:i/>
          <w:sz w:val="20"/>
          <w:lang w:eastAsia="ja-JP"/>
        </w:rPr>
        <w:t>Creative</w:t>
      </w:r>
      <w:proofErr w:type="spellEnd"/>
      <w:r w:rsidRPr="005966CA">
        <w:rPr>
          <w:rFonts w:eastAsia="MS Mincho"/>
          <w:i/>
          <w:sz w:val="20"/>
          <w:lang w:eastAsia="ja-JP"/>
        </w:rPr>
        <w:t xml:space="preserve"> </w:t>
      </w:r>
      <w:proofErr w:type="spellStart"/>
      <w:r w:rsidRPr="005966CA">
        <w:rPr>
          <w:rFonts w:eastAsia="MS Mincho"/>
          <w:i/>
          <w:sz w:val="20"/>
          <w:lang w:eastAsia="ja-JP"/>
        </w:rPr>
        <w:t>Commons</w:t>
      </w:r>
      <w:proofErr w:type="spellEnd"/>
      <w:r w:rsidRPr="005966CA">
        <w:rPr>
          <w:rFonts w:eastAsia="MS Mincho"/>
          <w:i/>
          <w:sz w:val="20"/>
          <w:lang w:eastAsia="ja-JP"/>
        </w:rPr>
        <w:t xml:space="preserve">.  </w:t>
      </w:r>
      <w:r w:rsidRPr="005966CA">
        <w:rPr>
          <w:rFonts w:eastAsia="MS Mincho"/>
          <w:sz w:val="20"/>
          <w:lang w:eastAsia="ja-JP"/>
        </w:rPr>
        <w:t>La nueva plataforma de publicación en Internet, de carácter global y que permite la búsqueda de textos (puesta en marcha en 2015 junto con el sistema de impresión por encargo) permitirá el acceso fácil y gratuito en Internet a todas las publicaciones y estudios de la OMPI, además de facilitar el acceso a versiones en diferentes idiomas.  Las publicaciones archivadas de la OMPI se digitalizarán y se añadirán a la colección.  Se buscarán formatos alternativos para los títulos de la OMPI de mayor relevancia con el fin de ampliar su accesibilidad y para consolidar el compromiso de la OMPI con la publicación en formatos accesibles.  En la biblioteca, se pondrán a disposición del personal y los visitantes de la OMPI tantos libros y revistas en formato electrónico como sea posible.  El programa de bibliotecas depositarias de la OMPI seguirá respondiendo a la demanda de los países en desarrollo de materiales de referencia de P.I. impresos y digitales.</w:t>
      </w:r>
    </w:p>
    <w:p w:rsidR="00236E18" w:rsidRPr="005966CA" w:rsidRDefault="00236E18" w:rsidP="00236E18">
      <w:pPr>
        <w:widowControl w:val="0"/>
        <w:tabs>
          <w:tab w:val="left" w:pos="1100"/>
        </w:tabs>
        <w:ind w:left="567"/>
        <w:jc w:val="both"/>
        <w:rPr>
          <w:rFonts w:eastAsia="MS Mincho"/>
          <w:sz w:val="20"/>
          <w:lang w:eastAsia="ja-JP"/>
        </w:rPr>
      </w:pPr>
    </w:p>
    <w:p w:rsidR="00236E18" w:rsidRPr="005966CA" w:rsidRDefault="00236E18" w:rsidP="00236E18">
      <w:pPr>
        <w:widowControl w:val="0"/>
        <w:tabs>
          <w:tab w:val="left" w:pos="1100"/>
        </w:tabs>
        <w:ind w:left="567"/>
        <w:jc w:val="both"/>
        <w:rPr>
          <w:rFonts w:eastAsia="MS Mincho"/>
          <w:bCs/>
          <w:sz w:val="20"/>
          <w:lang w:eastAsia="ja-JP"/>
        </w:rPr>
      </w:pPr>
      <w:r w:rsidRPr="005966CA">
        <w:rPr>
          <w:rFonts w:eastAsia="MS Mincho"/>
          <w:i/>
          <w:iCs/>
          <w:sz w:val="20"/>
          <w:lang w:eastAsia="ja-JP"/>
        </w:rPr>
        <w:t>iv)</w:t>
      </w:r>
      <w:r w:rsidRPr="005966CA">
        <w:rPr>
          <w:rFonts w:eastAsia="MS Mincho"/>
          <w:i/>
          <w:iCs/>
          <w:sz w:val="20"/>
          <w:lang w:eastAsia="ja-JP"/>
        </w:rPr>
        <w:tab/>
        <w:t xml:space="preserve">Participación de los sectores interesados.  </w:t>
      </w:r>
      <w:r w:rsidRPr="005966CA">
        <w:rPr>
          <w:rFonts w:eastAsia="MS Mincho"/>
          <w:bCs/>
          <w:sz w:val="20"/>
          <w:lang w:eastAsia="ja-JP"/>
        </w:rPr>
        <w:t>El programa 19 seguirá orientando la integración y la difusión de las herramientas y estrategias de redes sociales para facilitar la comunicación multidireccional, mejorar la capacidad de respuesta de la OMPI e intensificar la participación directa de los sectores interesados y darles más voz.  Se crearán contenidos de medios de comunicación intercambiables y se difundirán por medio de una mayor diversidad de plataformas.  Además, la Revista de la OMPI empezará a publicarse en Internet con un carácter más interactivo.  Se seguirá impulsando la campaña anual del Día Mundial de la P.I. en cuanto que plataforma popular para conectar con públicos nuevos y fomentar la asociación positiva entre la P.I. y la innovación.  La implicación de los medios de comunicación seguirá siendo una herramienta importantísima.  Para fortalecer la posición de la OMPI como fuente de referencia mundial y autoridad de confianza en el ámbito de la P.I., y para ayudar a transformar la percepción del público cuando sea necesario, se seguirán llevando a cabo campañas de divulgación continuas y dinámicas dirigidas a los medios digitales, blogs y prensa más influyentes.</w:t>
      </w:r>
    </w:p>
    <w:p w:rsidR="00236E18" w:rsidRPr="005966CA" w:rsidRDefault="00236E18" w:rsidP="00236E18">
      <w:pPr>
        <w:widowControl w:val="0"/>
        <w:tabs>
          <w:tab w:val="left" w:pos="1100"/>
        </w:tabs>
        <w:ind w:left="567"/>
        <w:jc w:val="both"/>
        <w:rPr>
          <w:rFonts w:eastAsia="MS Mincho"/>
          <w:bCs/>
          <w:sz w:val="20"/>
          <w:lang w:eastAsia="ja-JP"/>
        </w:rPr>
      </w:pPr>
    </w:p>
    <w:p w:rsidR="00236E18" w:rsidRPr="005966CA" w:rsidRDefault="00236E18" w:rsidP="00236E18">
      <w:pPr>
        <w:widowControl w:val="0"/>
        <w:tabs>
          <w:tab w:val="left" w:pos="1100"/>
        </w:tabs>
        <w:ind w:left="567"/>
        <w:jc w:val="both"/>
        <w:rPr>
          <w:rFonts w:eastAsia="MS Mincho"/>
          <w:sz w:val="20"/>
          <w:lang w:eastAsia="ja-JP"/>
        </w:rPr>
      </w:pPr>
      <w:r w:rsidRPr="005966CA">
        <w:rPr>
          <w:rFonts w:eastAsia="MS Mincho"/>
          <w:i/>
          <w:iCs/>
          <w:sz w:val="20"/>
          <w:lang w:eastAsia="ja-JP"/>
        </w:rPr>
        <w:t>v)</w:t>
      </w:r>
      <w:r w:rsidRPr="005966CA">
        <w:rPr>
          <w:rFonts w:eastAsia="MS Mincho"/>
          <w:i/>
          <w:iCs/>
          <w:sz w:val="20"/>
          <w:lang w:eastAsia="ja-JP"/>
        </w:rPr>
        <w:tab/>
        <w:t xml:space="preserve">Comunicación visual y por vídeo.  </w:t>
      </w:r>
      <w:r w:rsidRPr="005966CA">
        <w:rPr>
          <w:rFonts w:eastAsia="MS Mincho"/>
          <w:sz w:val="20"/>
          <w:lang w:eastAsia="ja-JP"/>
        </w:rPr>
        <w:t>Se utilizarán de manera creativa imágenes, gráficos y diseños en Internet y en medios digitales e impresos para fomentar el efecto visual y la inmediatez de las comunicaciones de la OMPI.  Se fortalecerán las capacidades para aumentar la producción de infografías e imágenes de calidad a fin de promocionar contenidos de alta calidad y con gran volumen de datos, como los informes estadísticos y económicos de la OMPI, de carácter único.  Se explotará la avidez general que existe en todo el mundo por los vídeos aumentando la producción de entrevistas, noticias, historias, animación gráfica, tutoriales de vídeo y otros contenidos visuales en que se explica la labor y los productos de la OMPI.</w:t>
      </w:r>
    </w:p>
    <w:p w:rsidR="00236E18" w:rsidRPr="005966CA" w:rsidRDefault="00236E18" w:rsidP="00236E18">
      <w:pPr>
        <w:widowControl w:val="0"/>
        <w:tabs>
          <w:tab w:val="left" w:pos="1100"/>
        </w:tabs>
        <w:ind w:left="567"/>
        <w:jc w:val="both"/>
        <w:rPr>
          <w:rFonts w:eastAsia="MS Mincho"/>
          <w:sz w:val="20"/>
          <w:lang w:eastAsia="ja-JP"/>
        </w:rPr>
      </w:pPr>
    </w:p>
    <w:p w:rsidR="00236E18" w:rsidRPr="005966CA" w:rsidRDefault="00236E18" w:rsidP="00236E18">
      <w:pPr>
        <w:widowControl w:val="0"/>
        <w:tabs>
          <w:tab w:val="left" w:pos="1100"/>
        </w:tabs>
        <w:ind w:left="567"/>
        <w:jc w:val="both"/>
        <w:rPr>
          <w:rFonts w:eastAsia="MS Mincho"/>
          <w:sz w:val="20"/>
          <w:lang w:eastAsia="ja-JP"/>
        </w:rPr>
      </w:pPr>
      <w:proofErr w:type="gramStart"/>
      <w:r w:rsidRPr="005966CA">
        <w:rPr>
          <w:rFonts w:eastAsia="MS Mincho"/>
          <w:i/>
          <w:sz w:val="20"/>
          <w:lang w:eastAsia="ja-JP"/>
        </w:rPr>
        <w:t>vi</w:t>
      </w:r>
      <w:proofErr w:type="gramEnd"/>
      <w:r w:rsidRPr="005966CA">
        <w:rPr>
          <w:rFonts w:eastAsia="MS Mincho"/>
          <w:i/>
          <w:sz w:val="20"/>
          <w:lang w:eastAsia="ja-JP"/>
        </w:rPr>
        <w:t>)</w:t>
      </w:r>
      <w:r w:rsidRPr="005966CA">
        <w:rPr>
          <w:rFonts w:eastAsia="MS Mincho"/>
          <w:i/>
          <w:sz w:val="20"/>
          <w:lang w:eastAsia="ja-JP"/>
        </w:rPr>
        <w:tab/>
      </w:r>
      <w:r w:rsidRPr="005966CA">
        <w:rPr>
          <w:rFonts w:eastAsia="MS Mincho"/>
          <w:i/>
          <w:iCs/>
          <w:sz w:val="20"/>
          <w:lang w:eastAsia="ja-JP"/>
        </w:rPr>
        <w:t xml:space="preserve">Una identidad de la OMPI fuerte.  </w:t>
      </w:r>
      <w:r w:rsidRPr="005966CA">
        <w:rPr>
          <w:rFonts w:eastAsia="MS Mincho"/>
          <w:sz w:val="20"/>
          <w:lang w:eastAsia="ja-JP"/>
        </w:rPr>
        <w:t xml:space="preserve">Se integrará, en todos los ámbitos de la Organización, una expresión verbal y visual coherente de la “marca” de la OMPI </w:t>
      </w:r>
      <w:r w:rsidRPr="005966CA">
        <w:rPr>
          <w:rFonts w:eastAsia="MS Mincho"/>
          <w:sz w:val="20"/>
          <w:lang w:eastAsia="ja-JP"/>
        </w:rPr>
        <w:noBreakHyphen/>
        <w:t>su misión, valores y función</w:t>
      </w:r>
      <w:r w:rsidRPr="005966CA">
        <w:rPr>
          <w:rFonts w:eastAsia="MS Mincho"/>
          <w:sz w:val="20"/>
          <w:lang w:eastAsia="ja-JP"/>
        </w:rPr>
        <w:noBreakHyphen/>
        <w:t xml:space="preserve"> en actividades editoriales, de diseño, creación de contenidos, medios de comunicación, publicación y servicios de atención al cliente.  Se completarán las tareas relativas a la actualización de la imagen de la Organización.  Se supervisarán la percepción que los sectores interesados tienen de la imagen y los resultados de la OMPI en relación con factores clave relativos al prestigio institucional y se extraerán experiencias para mejorar los ámbitos con deficiencias.</w:t>
      </w:r>
    </w:p>
    <w:p w:rsidR="00236E18" w:rsidRPr="005966CA" w:rsidRDefault="00236E18" w:rsidP="00236E18">
      <w:pPr>
        <w:widowControl w:val="0"/>
        <w:tabs>
          <w:tab w:val="left" w:pos="1100"/>
        </w:tabs>
        <w:ind w:left="567"/>
        <w:jc w:val="both"/>
        <w:rPr>
          <w:rFonts w:eastAsia="MS Mincho"/>
          <w:sz w:val="20"/>
          <w:lang w:eastAsia="ja-JP"/>
        </w:rPr>
      </w:pPr>
    </w:p>
    <w:p w:rsidR="00236E18" w:rsidRPr="005966CA" w:rsidRDefault="00236E18" w:rsidP="00236E18">
      <w:pPr>
        <w:widowControl w:val="0"/>
        <w:tabs>
          <w:tab w:val="left" w:pos="1100"/>
        </w:tabs>
        <w:ind w:left="567"/>
        <w:jc w:val="both"/>
        <w:rPr>
          <w:rFonts w:eastAsia="MS Mincho"/>
          <w:sz w:val="20"/>
          <w:lang w:eastAsia="ja-JP"/>
        </w:rPr>
      </w:pPr>
      <w:r w:rsidRPr="005966CA">
        <w:rPr>
          <w:rFonts w:eastAsia="MS Mincho"/>
          <w:i/>
          <w:iCs/>
          <w:sz w:val="20"/>
          <w:lang w:eastAsia="ja-JP"/>
        </w:rPr>
        <w:t>vii)</w:t>
      </w:r>
      <w:r w:rsidRPr="005966CA">
        <w:rPr>
          <w:rFonts w:eastAsia="MS Mincho"/>
          <w:i/>
          <w:iCs/>
          <w:sz w:val="20"/>
          <w:lang w:eastAsia="ja-JP"/>
        </w:rPr>
        <w:tab/>
        <w:t>Coordinación interna</w:t>
      </w:r>
      <w:r w:rsidRPr="005966CA">
        <w:rPr>
          <w:rFonts w:eastAsia="MS Mincho"/>
          <w:iCs/>
          <w:sz w:val="20"/>
          <w:lang w:eastAsia="ja-JP"/>
        </w:rPr>
        <w:t xml:space="preserve">.  </w:t>
      </w:r>
      <w:r w:rsidRPr="005966CA">
        <w:rPr>
          <w:rFonts w:eastAsia="MS Mincho"/>
          <w:sz w:val="20"/>
          <w:lang w:eastAsia="ja-JP"/>
        </w:rPr>
        <w:t xml:space="preserve">Se seguirá impulsando, en toda la Organización, un planteamiento más estratégico de las comunicaciones y el </w:t>
      </w:r>
      <w:r w:rsidRPr="005966CA">
        <w:rPr>
          <w:rFonts w:eastAsia="MS Mincho"/>
          <w:i/>
          <w:sz w:val="20"/>
          <w:lang w:eastAsia="ja-JP"/>
        </w:rPr>
        <w:t>marketing</w:t>
      </w:r>
      <w:r w:rsidRPr="005966CA">
        <w:rPr>
          <w:rFonts w:eastAsia="MS Mincho"/>
          <w:sz w:val="20"/>
          <w:lang w:eastAsia="ja-JP"/>
        </w:rPr>
        <w:t>, sustentado en una planificación y coordinación más sistemáticas en todos los sectores.  En el marco del programa 19 se lanzarán iniciativas encaminadas a promover una mejor comunicación y se seguirán invirtiendo esfuerzos para potenciar la comunicación horizontal y el intercambio de información.</w:t>
      </w:r>
    </w:p>
    <w:p w:rsidR="00236E18" w:rsidRPr="005966CA" w:rsidRDefault="00236E18" w:rsidP="00236E18">
      <w:pPr>
        <w:widowControl w:val="0"/>
        <w:tabs>
          <w:tab w:val="left" w:pos="1100"/>
        </w:tabs>
        <w:ind w:left="567"/>
        <w:jc w:val="both"/>
        <w:rPr>
          <w:rFonts w:eastAsia="MS Mincho"/>
          <w:sz w:val="20"/>
          <w:lang w:eastAsia="ja-JP"/>
        </w:rPr>
      </w:pPr>
    </w:p>
    <w:p w:rsidR="00236E18" w:rsidRPr="005966CA" w:rsidRDefault="00236E18" w:rsidP="00236E18">
      <w:pPr>
        <w:widowControl w:val="0"/>
        <w:tabs>
          <w:tab w:val="left" w:pos="1100"/>
        </w:tabs>
        <w:ind w:left="567"/>
        <w:jc w:val="both"/>
        <w:rPr>
          <w:rFonts w:eastAsia="MS Mincho"/>
          <w:sz w:val="20"/>
          <w:lang w:eastAsia="ja-JP"/>
        </w:rPr>
      </w:pPr>
      <w:r w:rsidRPr="005966CA">
        <w:rPr>
          <w:rFonts w:eastAsia="MS Mincho"/>
          <w:i/>
          <w:iCs/>
          <w:sz w:val="20"/>
          <w:lang w:eastAsia="ja-JP"/>
        </w:rPr>
        <w:t>viii)</w:t>
      </w:r>
      <w:r w:rsidRPr="005966CA">
        <w:rPr>
          <w:rFonts w:eastAsia="MS Mincho"/>
          <w:i/>
          <w:iCs/>
          <w:sz w:val="20"/>
          <w:lang w:eastAsia="ja-JP"/>
        </w:rPr>
        <w:tab/>
        <w:t xml:space="preserve">Cultura orientada a la prestación de servicios.  </w:t>
      </w:r>
      <w:r w:rsidRPr="005966CA">
        <w:rPr>
          <w:rFonts w:eastAsia="MS Mincho"/>
          <w:sz w:val="20"/>
          <w:lang w:eastAsia="ja-JP"/>
        </w:rPr>
        <w:t xml:space="preserve">En el marco del programa 19 seguirá impulsándose la cultura institucional centrada en la prestación de servicios y la satisfacción de las necesidades de los sectores interesados de la OMPI y en apoyar los servicios de atención al </w:t>
      </w:r>
      <w:r w:rsidRPr="005966CA">
        <w:rPr>
          <w:rFonts w:eastAsia="MS Mincho"/>
          <w:sz w:val="20"/>
          <w:lang w:eastAsia="ja-JP"/>
        </w:rPr>
        <w:lastRenderedPageBreak/>
        <w:t xml:space="preserve">cliente en toda la Organización.  La orientación a la prestación de servicios del personal se fomentará mediante actividades de formación y sensibilización basadas en la “Carta de Servicio de la OMPI”.  Se seguirán facilitando herramientas para agilizar el tratamiento de las demandas de información (base central de datos de contacto, sistemas </w:t>
      </w:r>
      <w:r>
        <w:rPr>
          <w:rFonts w:eastAsia="MS Mincho"/>
          <w:sz w:val="20"/>
          <w:lang w:eastAsia="ja-JP"/>
        </w:rPr>
        <w:t xml:space="preserve">de </w:t>
      </w:r>
      <w:r w:rsidRPr="005966CA">
        <w:rPr>
          <w:rFonts w:eastAsia="MS Mincho"/>
          <w:sz w:val="20"/>
          <w:lang w:eastAsia="ja-JP"/>
        </w:rPr>
        <w:t xml:space="preserve">creación de </w:t>
      </w:r>
      <w:r w:rsidRPr="005966CA">
        <w:rPr>
          <w:rFonts w:eastAsia="MS Mincho"/>
          <w:i/>
          <w:sz w:val="20"/>
          <w:lang w:eastAsia="ja-JP"/>
        </w:rPr>
        <w:t>tickets</w:t>
      </w:r>
      <w:r w:rsidRPr="005966CA">
        <w:rPr>
          <w:rFonts w:eastAsia="MS Mincho"/>
          <w:sz w:val="20"/>
          <w:lang w:eastAsia="ja-JP"/>
        </w:rPr>
        <w:t>, medición del volumen de las solicitudes de información, etc.).  Se controlarán sistemáticamente las expectativas externas atendiendo a los comentarios de los clientes y efectuando encuestas para mejorar los niveles de satisfacción.</w:t>
      </w:r>
    </w:p>
    <w:p w:rsidR="00236E18" w:rsidRPr="005966CA" w:rsidRDefault="00236E18" w:rsidP="00236E18">
      <w:pPr>
        <w:widowControl w:val="0"/>
        <w:jc w:val="both"/>
      </w:pPr>
    </w:p>
    <w:p w:rsidR="00236E18" w:rsidRPr="005966CA" w:rsidRDefault="00236E18" w:rsidP="00236E18">
      <w:pPr>
        <w:widowControl w:val="0"/>
        <w:jc w:val="both"/>
      </w:pPr>
    </w:p>
    <w:p w:rsidR="00236E18" w:rsidRPr="005966CA" w:rsidRDefault="00236E18" w:rsidP="00236E18">
      <w:pPr>
        <w:pStyle w:val="BodyText"/>
        <w:widowControl w:val="0"/>
      </w:pPr>
      <w:r w:rsidRPr="005966CA">
        <w:t>PRINCIPALES RIESGOS Y ESTRATEGIAS DE MITIGACIÓN</w:t>
      </w:r>
    </w:p>
    <w:tbl>
      <w:tblPr>
        <w:tblW w:w="9214" w:type="dxa"/>
        <w:tblInd w:w="108" w:type="dxa"/>
        <w:tblCellMar>
          <w:left w:w="0" w:type="dxa"/>
          <w:right w:w="0" w:type="dxa"/>
        </w:tblCellMar>
        <w:tblLook w:val="04A0" w:firstRow="1" w:lastRow="0" w:firstColumn="1" w:lastColumn="0" w:noHBand="0" w:noVBand="1"/>
      </w:tblPr>
      <w:tblGrid>
        <w:gridCol w:w="4253"/>
        <w:gridCol w:w="4961"/>
      </w:tblGrid>
      <w:tr w:rsidR="00236E18" w:rsidRPr="005966CA" w:rsidTr="00294272">
        <w:trPr>
          <w:trHeight w:val="540"/>
        </w:trPr>
        <w:tc>
          <w:tcPr>
            <w:tcW w:w="4253" w:type="dxa"/>
            <w:tcBorders>
              <w:top w:val="single" w:sz="8" w:space="0" w:color="auto"/>
              <w:left w:val="single" w:sz="8" w:space="0" w:color="auto"/>
              <w:bottom w:val="single" w:sz="8" w:space="0" w:color="auto"/>
              <w:right w:val="nil"/>
            </w:tcBorders>
            <w:shd w:val="clear" w:color="auto" w:fill="C6D9F1"/>
            <w:tcMar>
              <w:top w:w="0" w:type="dxa"/>
              <w:left w:w="108" w:type="dxa"/>
              <w:bottom w:w="0" w:type="dxa"/>
              <w:right w:w="108" w:type="dxa"/>
            </w:tcMar>
            <w:vAlign w:val="center"/>
            <w:hideMark/>
          </w:tcPr>
          <w:p w:rsidR="00236E18" w:rsidRPr="005966CA" w:rsidRDefault="00236E18" w:rsidP="00294272">
            <w:pPr>
              <w:widowControl w:val="0"/>
              <w:spacing w:line="276" w:lineRule="auto"/>
              <w:jc w:val="center"/>
              <w:rPr>
                <w:rFonts w:eastAsiaTheme="minorHAnsi"/>
                <w:b/>
                <w:bCs/>
                <w:sz w:val="18"/>
                <w:szCs w:val="18"/>
              </w:rPr>
            </w:pPr>
            <w:r w:rsidRPr="005966CA">
              <w:rPr>
                <w:rFonts w:eastAsiaTheme="minorHAnsi"/>
                <w:b/>
                <w:bCs/>
                <w:sz w:val="18"/>
                <w:szCs w:val="18"/>
              </w:rPr>
              <w:t>Riesgo</w:t>
            </w:r>
          </w:p>
        </w:tc>
        <w:tc>
          <w:tcPr>
            <w:tcW w:w="4961"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36E18" w:rsidRPr="005966CA" w:rsidRDefault="00236E18" w:rsidP="00294272">
            <w:pPr>
              <w:widowControl w:val="0"/>
              <w:spacing w:line="276" w:lineRule="auto"/>
              <w:jc w:val="center"/>
              <w:rPr>
                <w:rFonts w:eastAsiaTheme="minorHAnsi"/>
                <w:b/>
                <w:bCs/>
                <w:sz w:val="18"/>
                <w:szCs w:val="18"/>
              </w:rPr>
            </w:pPr>
            <w:r w:rsidRPr="005966CA">
              <w:rPr>
                <w:b/>
                <w:bCs/>
                <w:sz w:val="18"/>
                <w:szCs w:val="18"/>
              </w:rPr>
              <w:t>Mitigación</w:t>
            </w:r>
          </w:p>
        </w:tc>
      </w:tr>
      <w:tr w:rsidR="00236E18" w:rsidRPr="005966CA" w:rsidTr="00294272">
        <w:trPr>
          <w:trHeight w:val="1296"/>
        </w:trPr>
        <w:tc>
          <w:tcPr>
            <w:tcW w:w="4253" w:type="dxa"/>
            <w:tcBorders>
              <w:top w:val="nil"/>
              <w:left w:val="single" w:sz="8" w:space="0" w:color="auto"/>
              <w:bottom w:val="nil"/>
              <w:right w:val="nil"/>
            </w:tcBorders>
            <w:tcMar>
              <w:top w:w="113" w:type="dxa"/>
              <w:left w:w="108" w:type="dxa"/>
              <w:bottom w:w="113" w:type="dxa"/>
              <w:right w:w="108" w:type="dxa"/>
            </w:tcMar>
            <w:hideMark/>
          </w:tcPr>
          <w:p w:rsidR="00236E18" w:rsidRPr="005966CA" w:rsidRDefault="00236E18" w:rsidP="00294272">
            <w:pPr>
              <w:widowControl w:val="0"/>
              <w:rPr>
                <w:rFonts w:eastAsiaTheme="minorHAnsi"/>
                <w:sz w:val="16"/>
                <w:szCs w:val="16"/>
              </w:rPr>
            </w:pPr>
            <w:r w:rsidRPr="005966CA">
              <w:rPr>
                <w:sz w:val="16"/>
                <w:szCs w:val="16"/>
              </w:rPr>
              <w:t>La OMPI debe cumplir las normas más estrictas de transparencia y responsabilidad y es objeto de la continua observación por parte de sus clientes, de los sectores interesados, el personal y el público en general.  Cualquier riesgo puede incidir en la reputación de la Organización, lo que perjudicaría significativamente la credibilidad de su labor.</w:t>
            </w:r>
          </w:p>
        </w:tc>
        <w:tc>
          <w:tcPr>
            <w:tcW w:w="4961" w:type="dxa"/>
            <w:tcBorders>
              <w:top w:val="nil"/>
              <w:left w:val="nil"/>
              <w:bottom w:val="nil"/>
              <w:right w:val="single" w:sz="8" w:space="0" w:color="auto"/>
            </w:tcBorders>
            <w:tcMar>
              <w:top w:w="113" w:type="dxa"/>
              <w:left w:w="108" w:type="dxa"/>
              <w:bottom w:w="113" w:type="dxa"/>
              <w:right w:w="108" w:type="dxa"/>
            </w:tcMar>
          </w:tcPr>
          <w:p w:rsidR="00236E18" w:rsidRPr="005966CA" w:rsidRDefault="00236E18" w:rsidP="00294272">
            <w:pPr>
              <w:widowControl w:val="0"/>
              <w:rPr>
                <w:rFonts w:eastAsiaTheme="minorHAnsi"/>
                <w:sz w:val="16"/>
                <w:szCs w:val="16"/>
              </w:rPr>
            </w:pPr>
            <w:r w:rsidRPr="005966CA">
              <w:rPr>
                <w:sz w:val="16"/>
                <w:szCs w:val="16"/>
              </w:rPr>
              <w:t xml:space="preserve">La divulgación al público, el suministro activo de información, la sensibilización de los medios de comunicación y la respuesta franca a las demandas de información.  Supervisión </w:t>
            </w:r>
            <w:proofErr w:type="gramStart"/>
            <w:r w:rsidRPr="005966CA">
              <w:rPr>
                <w:sz w:val="16"/>
                <w:szCs w:val="16"/>
              </w:rPr>
              <w:t>continua</w:t>
            </w:r>
            <w:proofErr w:type="gramEnd"/>
            <w:r w:rsidRPr="005966CA">
              <w:rPr>
                <w:sz w:val="16"/>
                <w:szCs w:val="16"/>
              </w:rPr>
              <w:t xml:space="preserve"> de la cobertura de la prensa y las redes sociales para permitir dar una respuesta oportuna si fuera necesario.</w:t>
            </w:r>
          </w:p>
          <w:p w:rsidR="00236E18" w:rsidRPr="005966CA" w:rsidRDefault="00236E18" w:rsidP="00294272">
            <w:pPr>
              <w:widowControl w:val="0"/>
              <w:rPr>
                <w:rFonts w:eastAsiaTheme="minorHAnsi"/>
                <w:sz w:val="16"/>
                <w:szCs w:val="16"/>
              </w:rPr>
            </w:pPr>
          </w:p>
        </w:tc>
      </w:tr>
      <w:tr w:rsidR="00236E18" w:rsidRPr="005966CA" w:rsidTr="00294272">
        <w:trPr>
          <w:trHeight w:val="874"/>
        </w:trPr>
        <w:tc>
          <w:tcPr>
            <w:tcW w:w="4253" w:type="dxa"/>
            <w:tcBorders>
              <w:top w:val="nil"/>
              <w:left w:val="single" w:sz="8" w:space="0" w:color="auto"/>
              <w:bottom w:val="single" w:sz="8" w:space="0" w:color="auto"/>
              <w:right w:val="nil"/>
            </w:tcBorders>
            <w:tcMar>
              <w:top w:w="113" w:type="dxa"/>
              <w:left w:w="108" w:type="dxa"/>
              <w:bottom w:w="113" w:type="dxa"/>
              <w:right w:w="108" w:type="dxa"/>
            </w:tcMar>
          </w:tcPr>
          <w:p w:rsidR="00236E18" w:rsidRPr="005966CA" w:rsidRDefault="00236E18" w:rsidP="00294272">
            <w:pPr>
              <w:widowControl w:val="0"/>
              <w:rPr>
                <w:sz w:val="16"/>
                <w:szCs w:val="16"/>
              </w:rPr>
            </w:pPr>
            <w:r w:rsidRPr="005966CA">
              <w:rPr>
                <w:sz w:val="16"/>
                <w:szCs w:val="16"/>
              </w:rPr>
              <w:t xml:space="preserve">La presencia de la OMPI en las redes sociales y en la </w:t>
            </w:r>
            <w:r w:rsidRPr="005966CA">
              <w:rPr>
                <w:i/>
                <w:sz w:val="16"/>
                <w:szCs w:val="16"/>
              </w:rPr>
              <w:t>web</w:t>
            </w:r>
            <w:r w:rsidRPr="005966CA">
              <w:rPr>
                <w:sz w:val="16"/>
                <w:szCs w:val="16"/>
              </w:rPr>
              <w:t xml:space="preserve"> no sigue el ritmo de las cambiantes tendencias de las comunicaciones digitales o de las preferencias de los sectores interesados.</w:t>
            </w:r>
          </w:p>
          <w:p w:rsidR="00236E18" w:rsidRPr="005966CA" w:rsidRDefault="00236E18" w:rsidP="00294272">
            <w:pPr>
              <w:widowControl w:val="0"/>
              <w:rPr>
                <w:rFonts w:eastAsiaTheme="minorHAnsi"/>
                <w:sz w:val="16"/>
                <w:szCs w:val="16"/>
              </w:rPr>
            </w:pPr>
          </w:p>
        </w:tc>
        <w:tc>
          <w:tcPr>
            <w:tcW w:w="4961" w:type="dxa"/>
            <w:tcBorders>
              <w:top w:val="nil"/>
              <w:left w:val="nil"/>
              <w:bottom w:val="single" w:sz="8" w:space="0" w:color="auto"/>
              <w:right w:val="single" w:sz="8" w:space="0" w:color="auto"/>
            </w:tcBorders>
            <w:tcMar>
              <w:top w:w="113" w:type="dxa"/>
              <w:left w:w="108" w:type="dxa"/>
              <w:bottom w:w="113" w:type="dxa"/>
              <w:right w:w="108" w:type="dxa"/>
            </w:tcMar>
          </w:tcPr>
          <w:p w:rsidR="00236E18" w:rsidRPr="005966CA" w:rsidRDefault="00236E18" w:rsidP="00294272">
            <w:pPr>
              <w:widowControl w:val="0"/>
              <w:rPr>
                <w:rFonts w:eastAsiaTheme="minorHAnsi"/>
                <w:sz w:val="16"/>
                <w:szCs w:val="16"/>
              </w:rPr>
            </w:pPr>
            <w:r w:rsidRPr="005966CA">
              <w:rPr>
                <w:sz w:val="16"/>
                <w:szCs w:val="16"/>
              </w:rPr>
              <w:t xml:space="preserve">Aplicación de un diseño </w:t>
            </w:r>
            <w:r w:rsidRPr="005966CA">
              <w:rPr>
                <w:i/>
                <w:sz w:val="16"/>
                <w:szCs w:val="16"/>
              </w:rPr>
              <w:t>web</w:t>
            </w:r>
            <w:r w:rsidRPr="005966CA">
              <w:rPr>
                <w:sz w:val="16"/>
                <w:szCs w:val="16"/>
              </w:rPr>
              <w:t xml:space="preserve"> de respuesta ágil en todo el sitio web de la OMPI para optimizar la presentación de contenidos en los dispositivos móviles.</w:t>
            </w:r>
          </w:p>
          <w:p w:rsidR="00236E18" w:rsidRPr="005966CA" w:rsidRDefault="00236E18" w:rsidP="00294272">
            <w:pPr>
              <w:widowControl w:val="0"/>
              <w:rPr>
                <w:sz w:val="16"/>
                <w:szCs w:val="16"/>
              </w:rPr>
            </w:pPr>
          </w:p>
          <w:p w:rsidR="00236E18" w:rsidRPr="005966CA" w:rsidRDefault="00236E18" w:rsidP="00294272">
            <w:pPr>
              <w:widowControl w:val="0"/>
              <w:rPr>
                <w:rFonts w:eastAsiaTheme="minorHAnsi"/>
                <w:sz w:val="16"/>
                <w:szCs w:val="16"/>
              </w:rPr>
            </w:pPr>
            <w:r w:rsidRPr="005966CA">
              <w:rPr>
                <w:sz w:val="16"/>
                <w:szCs w:val="16"/>
              </w:rPr>
              <w:t>Utilización de recursos y alianzas externas para ampliar las capacidades internas.</w:t>
            </w:r>
          </w:p>
        </w:tc>
      </w:tr>
    </w:tbl>
    <w:p w:rsidR="00236E18" w:rsidRPr="005966CA" w:rsidRDefault="00236E18" w:rsidP="00236E18">
      <w:pPr>
        <w:widowControl w:val="0"/>
        <w:autoSpaceDE w:val="0"/>
        <w:autoSpaceDN w:val="0"/>
        <w:adjustRightInd w:val="0"/>
        <w:rPr>
          <w:szCs w:val="22"/>
        </w:rPr>
      </w:pPr>
    </w:p>
    <w:p w:rsidR="00236E18" w:rsidRPr="005966CA" w:rsidRDefault="00236E18" w:rsidP="00236E18">
      <w:pPr>
        <w:widowControl w:val="0"/>
        <w:autoSpaceDE w:val="0"/>
        <w:autoSpaceDN w:val="0"/>
        <w:adjustRightInd w:val="0"/>
        <w:rPr>
          <w:szCs w:val="22"/>
        </w:rPr>
      </w:pPr>
    </w:p>
    <w:p w:rsidR="00236E18" w:rsidRPr="005966CA" w:rsidRDefault="00236E18" w:rsidP="00236E18">
      <w:pPr>
        <w:widowControl w:val="0"/>
        <w:autoSpaceDE w:val="0"/>
        <w:autoSpaceDN w:val="0"/>
        <w:adjustRightInd w:val="0"/>
        <w:rPr>
          <w:szCs w:val="22"/>
        </w:rPr>
      </w:pPr>
      <w:r w:rsidRPr="005966CA">
        <w:rPr>
          <w:szCs w:val="22"/>
        </w:rPr>
        <w:t>MARCO DE RESULTADOS</w:t>
      </w:r>
    </w:p>
    <w:p w:rsidR="00236E18" w:rsidRPr="005966CA" w:rsidRDefault="00236E18" w:rsidP="00236E18">
      <w:pPr>
        <w:widowControl w:val="0"/>
        <w:autoSpaceDE w:val="0"/>
        <w:autoSpaceDN w:val="0"/>
        <w:adjustRightInd w:val="0"/>
        <w:rPr>
          <w:szCs w:val="22"/>
        </w:rPr>
      </w:pPr>
    </w:p>
    <w:tbl>
      <w:tblPr>
        <w:tblW w:w="9195" w:type="dxa"/>
        <w:tblInd w:w="93" w:type="dxa"/>
        <w:tblLook w:val="04A0" w:firstRow="1" w:lastRow="0" w:firstColumn="1" w:lastColumn="0" w:noHBand="0" w:noVBand="1"/>
      </w:tblPr>
      <w:tblGrid>
        <w:gridCol w:w="2140"/>
        <w:gridCol w:w="2140"/>
        <w:gridCol w:w="2485"/>
        <w:gridCol w:w="2430"/>
      </w:tblGrid>
      <w:tr w:rsidR="00236E18" w:rsidRPr="005966CA" w:rsidTr="00294272">
        <w:trPr>
          <w:trHeight w:val="455"/>
          <w:tblHeader/>
        </w:trPr>
        <w:tc>
          <w:tcPr>
            <w:tcW w:w="2140" w:type="dxa"/>
            <w:tcBorders>
              <w:top w:val="single" w:sz="4" w:space="0" w:color="auto"/>
              <w:left w:val="single" w:sz="4" w:space="0" w:color="auto"/>
              <w:bottom w:val="single" w:sz="4" w:space="0" w:color="auto"/>
              <w:right w:val="nil"/>
            </w:tcBorders>
            <w:shd w:val="clear" w:color="000000" w:fill="C5D9F1"/>
            <w:tcMar>
              <w:top w:w="85" w:type="dxa"/>
            </w:tcMar>
            <w:vAlign w:val="center"/>
            <w:hideMark/>
          </w:tcPr>
          <w:p w:rsidR="00236E18" w:rsidRPr="005966CA" w:rsidRDefault="00236E18" w:rsidP="00294272">
            <w:pPr>
              <w:widowControl w:val="0"/>
              <w:jc w:val="center"/>
              <w:rPr>
                <w:b/>
                <w:bCs/>
                <w:sz w:val="18"/>
                <w:szCs w:val="18"/>
              </w:rPr>
            </w:pPr>
            <w:r w:rsidRPr="005966CA">
              <w:rPr>
                <w:b/>
                <w:bCs/>
                <w:sz w:val="18"/>
                <w:szCs w:val="18"/>
              </w:rPr>
              <w:t>Resultados previstos</w:t>
            </w:r>
          </w:p>
        </w:tc>
        <w:tc>
          <w:tcPr>
            <w:tcW w:w="2140" w:type="dxa"/>
            <w:tcBorders>
              <w:top w:val="single" w:sz="4" w:space="0" w:color="auto"/>
              <w:left w:val="nil"/>
              <w:bottom w:val="single" w:sz="4" w:space="0" w:color="auto"/>
              <w:right w:val="nil"/>
            </w:tcBorders>
            <w:shd w:val="clear" w:color="000000" w:fill="C5D9F1"/>
            <w:tcMar>
              <w:top w:w="85" w:type="dxa"/>
            </w:tcMar>
            <w:vAlign w:val="center"/>
            <w:hideMark/>
          </w:tcPr>
          <w:p w:rsidR="00236E18" w:rsidRPr="005966CA" w:rsidRDefault="00236E18" w:rsidP="00294272">
            <w:pPr>
              <w:widowControl w:val="0"/>
              <w:jc w:val="center"/>
              <w:rPr>
                <w:b/>
                <w:bCs/>
                <w:sz w:val="18"/>
                <w:szCs w:val="18"/>
              </w:rPr>
            </w:pPr>
            <w:r w:rsidRPr="005966CA">
              <w:rPr>
                <w:b/>
                <w:bCs/>
                <w:sz w:val="18"/>
                <w:szCs w:val="18"/>
              </w:rPr>
              <w:t>Indicadores de rendimiento</w:t>
            </w:r>
          </w:p>
        </w:tc>
        <w:tc>
          <w:tcPr>
            <w:tcW w:w="2485" w:type="dxa"/>
            <w:tcBorders>
              <w:top w:val="single" w:sz="4" w:space="0" w:color="auto"/>
              <w:left w:val="nil"/>
              <w:bottom w:val="single" w:sz="4" w:space="0" w:color="auto"/>
              <w:right w:val="nil"/>
            </w:tcBorders>
            <w:shd w:val="clear" w:color="000000" w:fill="C5D9F1"/>
            <w:tcMar>
              <w:top w:w="85" w:type="dxa"/>
            </w:tcMar>
            <w:vAlign w:val="center"/>
            <w:hideMark/>
          </w:tcPr>
          <w:p w:rsidR="00236E18" w:rsidRPr="005966CA" w:rsidRDefault="00236E18" w:rsidP="00294272">
            <w:pPr>
              <w:widowControl w:val="0"/>
              <w:jc w:val="center"/>
              <w:rPr>
                <w:b/>
                <w:bCs/>
                <w:sz w:val="18"/>
                <w:szCs w:val="18"/>
              </w:rPr>
            </w:pPr>
            <w:r w:rsidRPr="005966CA">
              <w:rPr>
                <w:b/>
                <w:bCs/>
                <w:sz w:val="18"/>
                <w:szCs w:val="18"/>
              </w:rPr>
              <w:t>Referencia</w:t>
            </w:r>
          </w:p>
        </w:tc>
        <w:tc>
          <w:tcPr>
            <w:tcW w:w="2430" w:type="dxa"/>
            <w:tcBorders>
              <w:top w:val="single" w:sz="4" w:space="0" w:color="auto"/>
              <w:left w:val="nil"/>
              <w:bottom w:val="single" w:sz="4" w:space="0" w:color="auto"/>
              <w:right w:val="single" w:sz="4" w:space="0" w:color="auto"/>
            </w:tcBorders>
            <w:shd w:val="clear" w:color="000000" w:fill="C5D9F1"/>
            <w:tcMar>
              <w:top w:w="85" w:type="dxa"/>
            </w:tcMar>
            <w:vAlign w:val="center"/>
            <w:hideMark/>
          </w:tcPr>
          <w:p w:rsidR="00236E18" w:rsidRPr="005966CA" w:rsidRDefault="00236E18" w:rsidP="00294272">
            <w:pPr>
              <w:widowControl w:val="0"/>
              <w:jc w:val="center"/>
              <w:rPr>
                <w:b/>
                <w:bCs/>
                <w:sz w:val="18"/>
                <w:szCs w:val="18"/>
              </w:rPr>
            </w:pPr>
            <w:r w:rsidRPr="005966CA">
              <w:rPr>
                <w:b/>
                <w:bCs/>
                <w:sz w:val="18"/>
                <w:szCs w:val="18"/>
              </w:rPr>
              <w:t>Objetivos</w:t>
            </w:r>
          </w:p>
        </w:tc>
      </w:tr>
      <w:tr w:rsidR="00236E18" w:rsidRPr="005966CA" w:rsidTr="00294272">
        <w:trPr>
          <w:trHeight w:val="1567"/>
        </w:trPr>
        <w:tc>
          <w:tcPr>
            <w:tcW w:w="2140" w:type="dxa"/>
            <w:tcBorders>
              <w:top w:val="nil"/>
              <w:left w:val="single" w:sz="4" w:space="0" w:color="auto"/>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VIII.1</w:t>
            </w:r>
            <w:r>
              <w:rPr>
                <w:sz w:val="16"/>
                <w:szCs w:val="16"/>
              </w:rPr>
              <w:t xml:space="preserve">  </w:t>
            </w:r>
            <w:r w:rsidRPr="00F77CA1">
              <w:rPr>
                <w:sz w:val="16"/>
                <w:szCs w:val="16"/>
                <w:lang w:val="es-ES_tradnl"/>
              </w:rPr>
              <w:t>Comunicación más eficaz con el público en general acerca de la P.I. y la función de la OMPI</w:t>
            </w:r>
          </w:p>
        </w:tc>
        <w:tc>
          <w:tcPr>
            <w:tcW w:w="2140" w:type="dxa"/>
            <w:tcBorders>
              <w:top w:val="nil"/>
              <w:left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Sectores interesados con una percepción positiva de la reputación de la OMPI;  aumento de la valoración de la marca de la OMPI.</w:t>
            </w:r>
          </w:p>
        </w:tc>
        <w:tc>
          <w:tcPr>
            <w:tcW w:w="2485" w:type="dxa"/>
            <w:tcBorders>
              <w:top w:val="nil"/>
              <w:left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xml:space="preserve">El 85,3% de los encuestados está de acuerdo/muy de acuerdo en que la OMPI tiene buena reputación en general.  El 70,2% de los encuestados considera que la OMPI es el foro mundial de la P.I. (encuesta sobre las impresiones acerca de la OMPI que tienen los sectores interesados, junio de 2014). </w:t>
            </w:r>
          </w:p>
        </w:tc>
        <w:tc>
          <w:tcPr>
            <w:tcW w:w="2430" w:type="dxa"/>
            <w:tcBorders>
              <w:top w:val="nil"/>
              <w:left w:val="nil"/>
              <w:right w:val="single" w:sz="4" w:space="0" w:color="auto"/>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El 85% tiene una impresión positiva del prestigio de la OMPI.  El 75% reconoce que la OMPI es el foro mundial de la P.I.</w:t>
            </w:r>
          </w:p>
        </w:tc>
      </w:tr>
      <w:tr w:rsidR="00236E18" w:rsidRPr="005966CA" w:rsidTr="00294272">
        <w:trPr>
          <w:trHeight w:val="754"/>
        </w:trPr>
        <w:tc>
          <w:tcPr>
            <w:tcW w:w="2140" w:type="dxa"/>
            <w:tcBorders>
              <w:top w:val="nil"/>
              <w:left w:val="single" w:sz="4" w:space="0" w:color="auto"/>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w:t>
            </w:r>
          </w:p>
        </w:tc>
        <w:tc>
          <w:tcPr>
            <w:tcW w:w="2140" w:type="dxa"/>
            <w:tcBorders>
              <w:top w:val="nil"/>
              <w:left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N</w:t>
            </w:r>
            <w:r>
              <w:rPr>
                <w:sz w:val="16"/>
                <w:szCs w:val="16"/>
              </w:rPr>
              <w:t>º</w:t>
            </w:r>
            <w:r w:rsidRPr="005966CA">
              <w:rPr>
                <w:sz w:val="16"/>
                <w:szCs w:val="16"/>
              </w:rPr>
              <w:t xml:space="preserve"> de personas que consultan los contenidos sobre los principales eventos, logros y actividades de la OMPI.</w:t>
            </w:r>
          </w:p>
        </w:tc>
        <w:tc>
          <w:tcPr>
            <w:tcW w:w="2485" w:type="dxa"/>
            <w:tcBorders>
              <w:top w:val="nil"/>
              <w:left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Por determinar.</w:t>
            </w:r>
          </w:p>
        </w:tc>
        <w:tc>
          <w:tcPr>
            <w:tcW w:w="2430" w:type="dxa"/>
            <w:tcBorders>
              <w:top w:val="nil"/>
              <w:left w:val="nil"/>
              <w:right w:val="single" w:sz="4" w:space="0" w:color="auto"/>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xml:space="preserve">El 23% de los destinatarios del boletín informativo WIPO </w:t>
            </w:r>
            <w:proofErr w:type="spellStart"/>
            <w:r w:rsidRPr="005966CA">
              <w:rPr>
                <w:sz w:val="16"/>
                <w:szCs w:val="16"/>
              </w:rPr>
              <w:t>Wire</w:t>
            </w:r>
            <w:proofErr w:type="spellEnd"/>
            <w:r w:rsidRPr="005966CA">
              <w:rPr>
                <w:sz w:val="16"/>
                <w:szCs w:val="16"/>
              </w:rPr>
              <w:t xml:space="preserve"> consulta su contenido.</w:t>
            </w:r>
          </w:p>
        </w:tc>
      </w:tr>
      <w:tr w:rsidR="00236E18" w:rsidRPr="005966CA" w:rsidTr="00294272">
        <w:trPr>
          <w:trHeight w:val="766"/>
        </w:trPr>
        <w:tc>
          <w:tcPr>
            <w:tcW w:w="2140" w:type="dxa"/>
            <w:tcBorders>
              <w:top w:val="nil"/>
              <w:left w:val="single" w:sz="4" w:space="0" w:color="auto"/>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w:t>
            </w:r>
          </w:p>
        </w:tc>
        <w:tc>
          <w:tcPr>
            <w:tcW w:w="2140" w:type="dxa"/>
            <w:tcBorders>
              <w:top w:val="nil"/>
              <w:left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Participación mundial en la campaña del Día Mundial de la P.I.</w:t>
            </w:r>
          </w:p>
        </w:tc>
        <w:tc>
          <w:tcPr>
            <w:tcW w:w="2485" w:type="dxa"/>
            <w:tcBorders>
              <w:top w:val="nil"/>
              <w:left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xml:space="preserve">En el mapa de eventos del Día Mundial de la P.I. de 2014 se publicaron los eventos celebrados en 110 países. </w:t>
            </w:r>
          </w:p>
        </w:tc>
        <w:tc>
          <w:tcPr>
            <w:tcW w:w="2430" w:type="dxa"/>
            <w:tcBorders>
              <w:top w:val="nil"/>
              <w:left w:val="nil"/>
              <w:right w:val="single" w:sz="4" w:space="0" w:color="auto"/>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xml:space="preserve">Eventos en ≥ 100 países publicados en el mapa de eventos del Día Mundial de la P.I. </w:t>
            </w:r>
          </w:p>
        </w:tc>
      </w:tr>
      <w:tr w:rsidR="00236E18" w:rsidRPr="005966CA" w:rsidTr="00294272">
        <w:trPr>
          <w:trHeight w:val="974"/>
        </w:trPr>
        <w:tc>
          <w:tcPr>
            <w:tcW w:w="2140" w:type="dxa"/>
            <w:tcBorders>
              <w:left w:val="single" w:sz="4" w:space="0" w:color="auto"/>
              <w:bottom w:val="single" w:sz="4" w:space="0" w:color="auto"/>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w:t>
            </w:r>
          </w:p>
        </w:tc>
        <w:tc>
          <w:tcPr>
            <w:tcW w:w="2140" w:type="dxa"/>
            <w:tcBorders>
              <w:left w:val="nil"/>
              <w:bottom w:val="single" w:sz="4" w:space="0" w:color="auto"/>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Tráfico de visitas en Internet al sitio de publicaciones y el sitio de la revista de la OMPI.</w:t>
            </w:r>
          </w:p>
        </w:tc>
        <w:tc>
          <w:tcPr>
            <w:tcW w:w="2485" w:type="dxa"/>
            <w:tcBorders>
              <w:left w:val="nil"/>
              <w:bottom w:val="single" w:sz="4" w:space="0" w:color="auto"/>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i) 97.804 visitas únicas por página del sitio de publicaciones;  ii) 432.342 visitas únicas del sitio de la revista de la OMPI en 2014.</w:t>
            </w:r>
          </w:p>
        </w:tc>
        <w:tc>
          <w:tcPr>
            <w:tcW w:w="2430" w:type="dxa"/>
            <w:tcBorders>
              <w:left w:val="nil"/>
              <w:bottom w:val="single" w:sz="4" w:space="0" w:color="auto"/>
              <w:right w:val="single" w:sz="4" w:space="0" w:color="auto"/>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i) Incremento del 20% de visitas únicas por página del sitio de publicaciones;  ii) incremento del 10% de visitas únicas por página del sitio de la revista de la OMPI.</w:t>
            </w:r>
            <w:r>
              <w:rPr>
                <w:sz w:val="16"/>
                <w:szCs w:val="16"/>
              </w:rPr>
              <w:br/>
            </w:r>
          </w:p>
        </w:tc>
      </w:tr>
      <w:tr w:rsidR="00236E18" w:rsidRPr="00660A1F" w:rsidTr="00294272">
        <w:trPr>
          <w:trHeight w:val="1871"/>
        </w:trPr>
        <w:tc>
          <w:tcPr>
            <w:tcW w:w="2140" w:type="dxa"/>
            <w:tcBorders>
              <w:top w:val="single" w:sz="4" w:space="0" w:color="auto"/>
              <w:left w:val="single" w:sz="4" w:space="0" w:color="auto"/>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lastRenderedPageBreak/>
              <w:t> </w:t>
            </w:r>
          </w:p>
        </w:tc>
        <w:tc>
          <w:tcPr>
            <w:tcW w:w="2140" w:type="dxa"/>
            <w:tcBorders>
              <w:top w:val="single" w:sz="4" w:space="0" w:color="auto"/>
              <w:left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Visitas de los contenidos fotográficos, de video y de prensa de la OMPI.</w:t>
            </w:r>
          </w:p>
        </w:tc>
        <w:tc>
          <w:tcPr>
            <w:tcW w:w="2485" w:type="dxa"/>
            <w:tcBorders>
              <w:top w:val="single" w:sz="4" w:space="0" w:color="auto"/>
              <w:left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xml:space="preserve">i). 250.000 visitas únicas por página del contenido </w:t>
            </w:r>
            <w:r w:rsidRPr="005966CA">
              <w:rPr>
                <w:i/>
                <w:sz w:val="16"/>
                <w:szCs w:val="16"/>
              </w:rPr>
              <w:t>web</w:t>
            </w:r>
            <w:r w:rsidRPr="005966CA">
              <w:rPr>
                <w:sz w:val="16"/>
                <w:szCs w:val="16"/>
              </w:rPr>
              <w:t xml:space="preserve"> del Centro de Medios de Comunicación (todos los idiomas) en 2014.</w:t>
            </w:r>
            <w:r w:rsidRPr="005966CA">
              <w:rPr>
                <w:sz w:val="16"/>
                <w:szCs w:val="16"/>
              </w:rPr>
              <w:br/>
              <w:t xml:space="preserve">ii).467.180 visualizaciones del canal de la OMPI en YouTube en 2013/14 (excl. preescolar).  </w:t>
            </w:r>
            <w:r w:rsidRPr="005966CA">
              <w:rPr>
                <w:sz w:val="16"/>
                <w:szCs w:val="16"/>
              </w:rPr>
              <w:br/>
              <w:t xml:space="preserve">iii). 1,44 millones de visualizaciones adicionales de fotografías en </w:t>
            </w:r>
            <w:proofErr w:type="spellStart"/>
            <w:r w:rsidRPr="005966CA">
              <w:rPr>
                <w:sz w:val="16"/>
                <w:szCs w:val="16"/>
              </w:rPr>
              <w:t>Flickr</w:t>
            </w:r>
            <w:proofErr w:type="spellEnd"/>
            <w:r w:rsidRPr="005966CA">
              <w:rPr>
                <w:sz w:val="16"/>
                <w:szCs w:val="16"/>
              </w:rPr>
              <w:t xml:space="preserve"> en 2014.  (</w:t>
            </w:r>
            <w:proofErr w:type="gramStart"/>
            <w:r w:rsidRPr="005966CA">
              <w:rPr>
                <w:sz w:val="16"/>
                <w:szCs w:val="16"/>
              </w:rPr>
              <w:t>total</w:t>
            </w:r>
            <w:proofErr w:type="gramEnd"/>
            <w:r w:rsidRPr="005966CA">
              <w:rPr>
                <w:sz w:val="16"/>
                <w:szCs w:val="16"/>
              </w:rPr>
              <w:t xml:space="preserve"> de visualizaciones al final de 2014:  2,41 millones).</w:t>
            </w:r>
          </w:p>
        </w:tc>
        <w:tc>
          <w:tcPr>
            <w:tcW w:w="2430" w:type="dxa"/>
            <w:tcBorders>
              <w:top w:val="single" w:sz="4" w:space="0" w:color="auto"/>
              <w:left w:val="nil"/>
              <w:right w:val="single" w:sz="4" w:space="0" w:color="auto"/>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xml:space="preserve">i) Incremento del 10% de visitas únicas por página del contenido </w:t>
            </w:r>
            <w:r w:rsidRPr="005966CA">
              <w:rPr>
                <w:i/>
                <w:sz w:val="16"/>
                <w:szCs w:val="16"/>
              </w:rPr>
              <w:t>web</w:t>
            </w:r>
            <w:r w:rsidRPr="005966CA">
              <w:rPr>
                <w:sz w:val="16"/>
                <w:szCs w:val="16"/>
              </w:rPr>
              <w:t xml:space="preserve"> del Centro de Medios de Comunicación. </w:t>
            </w:r>
            <w:r w:rsidRPr="005966CA">
              <w:rPr>
                <w:sz w:val="16"/>
                <w:szCs w:val="16"/>
              </w:rPr>
              <w:br/>
              <w:t xml:space="preserve">ii) Incremento del 10% del total de visitas de vídeos en el canal de la OMPI en YouTube (excl. preescolar). </w:t>
            </w:r>
            <w:r w:rsidRPr="005966CA">
              <w:rPr>
                <w:sz w:val="16"/>
                <w:szCs w:val="16"/>
              </w:rPr>
              <w:br/>
              <w:t>iii) Objetivo</w:t>
            </w:r>
            <w:proofErr w:type="gramStart"/>
            <w:r w:rsidRPr="005966CA">
              <w:rPr>
                <w:sz w:val="16"/>
                <w:szCs w:val="16"/>
              </w:rPr>
              <w:t>:  1</w:t>
            </w:r>
            <w:proofErr w:type="gramEnd"/>
            <w:r w:rsidRPr="005966CA">
              <w:rPr>
                <w:sz w:val="16"/>
                <w:szCs w:val="16"/>
              </w:rPr>
              <w:t xml:space="preserve"> millón de visualizaciones adicionales de fotografías en </w:t>
            </w:r>
            <w:proofErr w:type="spellStart"/>
            <w:r w:rsidRPr="005966CA">
              <w:rPr>
                <w:sz w:val="16"/>
                <w:szCs w:val="16"/>
              </w:rPr>
              <w:t>Flickr</w:t>
            </w:r>
            <w:proofErr w:type="spellEnd"/>
            <w:r w:rsidRPr="005966CA">
              <w:rPr>
                <w:sz w:val="16"/>
                <w:szCs w:val="16"/>
              </w:rPr>
              <w:t xml:space="preserve"> (a finales de 2017).</w:t>
            </w:r>
          </w:p>
        </w:tc>
      </w:tr>
      <w:tr w:rsidR="00236E18" w:rsidRPr="005966CA" w:rsidTr="00294272">
        <w:trPr>
          <w:trHeight w:val="1345"/>
        </w:trPr>
        <w:tc>
          <w:tcPr>
            <w:tcW w:w="2140" w:type="dxa"/>
            <w:tcBorders>
              <w:top w:val="nil"/>
              <w:left w:val="single" w:sz="4" w:space="0" w:color="auto"/>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w:t>
            </w:r>
          </w:p>
        </w:tc>
        <w:tc>
          <w:tcPr>
            <w:tcW w:w="2140" w:type="dxa"/>
            <w:tcBorders>
              <w:top w:val="nil"/>
              <w:left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Menos usuarios que dejan el sitio web de la OMPI directamente desde el portal y las principales páginas de acceso.</w:t>
            </w:r>
          </w:p>
        </w:tc>
        <w:tc>
          <w:tcPr>
            <w:tcW w:w="2485" w:type="dxa"/>
            <w:tcBorders>
              <w:top w:val="nil"/>
              <w:left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i) Tasa de rebotes del portal 25,1% ii) Tasa de salidas desde las páginas de acceso:  Servicios de P.I.:  13%;  Política:  16,9%;  Cooperación:  15,3%;  Referencias:  19,1%;  Sobre la P.I.:  55,1%;  La OMPI por dentro:  23,5%.</w:t>
            </w:r>
          </w:p>
        </w:tc>
        <w:tc>
          <w:tcPr>
            <w:tcW w:w="2430" w:type="dxa"/>
            <w:tcBorders>
              <w:top w:val="nil"/>
              <w:left w:val="nil"/>
              <w:right w:val="single" w:sz="4" w:space="0" w:color="auto"/>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i) Tasa estable de rebotes desde el portal;  (ii) tasa estable de salidas desde la página de acceso por cada uno de los 6 principales ámbitos del sitio web (Servicios de P.I., Política, Cooperación, Referencias, Sobre la P.I., La OMPI por dentro).</w:t>
            </w:r>
          </w:p>
        </w:tc>
      </w:tr>
      <w:tr w:rsidR="00236E18" w:rsidRPr="00660A1F" w:rsidTr="00294272">
        <w:trPr>
          <w:trHeight w:val="1045"/>
        </w:trPr>
        <w:tc>
          <w:tcPr>
            <w:tcW w:w="2140" w:type="dxa"/>
            <w:tcBorders>
              <w:left w:val="single" w:sz="4" w:space="0" w:color="auto"/>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w:t>
            </w:r>
          </w:p>
        </w:tc>
        <w:tc>
          <w:tcPr>
            <w:tcW w:w="2140" w:type="dxa"/>
            <w:tcBorders>
              <w:left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Influencia de la OMPI y participación de los sectores interesados en las redes sociales.</w:t>
            </w:r>
          </w:p>
        </w:tc>
        <w:tc>
          <w:tcPr>
            <w:tcW w:w="2485" w:type="dxa"/>
            <w:tcBorders>
              <w:left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i) Número de favoritos (2014 = 5.121)</w:t>
            </w:r>
            <w:r w:rsidRPr="005966CA">
              <w:rPr>
                <w:sz w:val="16"/>
                <w:szCs w:val="16"/>
              </w:rPr>
              <w:br/>
              <w:t xml:space="preserve">ii) Total de </w:t>
            </w:r>
            <w:proofErr w:type="spellStart"/>
            <w:r w:rsidRPr="005966CA">
              <w:rPr>
                <w:sz w:val="16"/>
                <w:szCs w:val="16"/>
              </w:rPr>
              <w:t>retuiteos</w:t>
            </w:r>
            <w:proofErr w:type="spellEnd"/>
            <w:r w:rsidRPr="005966CA">
              <w:rPr>
                <w:sz w:val="16"/>
                <w:szCs w:val="16"/>
              </w:rPr>
              <w:t xml:space="preserve"> (2014 = 11.920).</w:t>
            </w:r>
          </w:p>
        </w:tc>
        <w:tc>
          <w:tcPr>
            <w:tcW w:w="2430" w:type="dxa"/>
            <w:tcBorders>
              <w:left w:val="nil"/>
              <w:right w:val="single" w:sz="4" w:space="0" w:color="auto"/>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xml:space="preserve">i) Incremento </w:t>
            </w:r>
            <w:proofErr w:type="gramStart"/>
            <w:r w:rsidRPr="005966CA">
              <w:rPr>
                <w:sz w:val="16"/>
                <w:szCs w:val="16"/>
              </w:rPr>
              <w:t xml:space="preserve">del 25% en el número anual de </w:t>
            </w:r>
            <w:proofErr w:type="spellStart"/>
            <w:r w:rsidRPr="005966CA">
              <w:rPr>
                <w:sz w:val="16"/>
                <w:szCs w:val="16"/>
              </w:rPr>
              <w:t>tuiteos</w:t>
            </w:r>
            <w:proofErr w:type="spellEnd"/>
            <w:r w:rsidRPr="005966CA">
              <w:rPr>
                <w:sz w:val="16"/>
                <w:szCs w:val="16"/>
              </w:rPr>
              <w:t xml:space="preserve"> de la OMPI marcados</w:t>
            </w:r>
            <w:proofErr w:type="gramEnd"/>
            <w:r w:rsidRPr="005966CA">
              <w:rPr>
                <w:sz w:val="16"/>
                <w:szCs w:val="16"/>
              </w:rPr>
              <w:t xml:space="preserve"> como “favoritos”;</w:t>
            </w:r>
            <w:r w:rsidRPr="005966CA">
              <w:rPr>
                <w:sz w:val="16"/>
                <w:szCs w:val="16"/>
              </w:rPr>
              <w:br/>
              <w:t xml:space="preserve">ii) Incremento del 15% en el número total de </w:t>
            </w:r>
            <w:proofErr w:type="spellStart"/>
            <w:r w:rsidRPr="005966CA">
              <w:rPr>
                <w:sz w:val="16"/>
                <w:szCs w:val="16"/>
              </w:rPr>
              <w:t>retuiteos</w:t>
            </w:r>
            <w:proofErr w:type="spellEnd"/>
            <w:r w:rsidRPr="005966CA">
              <w:rPr>
                <w:sz w:val="16"/>
                <w:szCs w:val="16"/>
              </w:rPr>
              <w:t xml:space="preserve"> anuales.</w:t>
            </w:r>
          </w:p>
        </w:tc>
      </w:tr>
      <w:tr w:rsidR="00236E18" w:rsidRPr="005966CA" w:rsidTr="00294272">
        <w:trPr>
          <w:trHeight w:val="1076"/>
        </w:trPr>
        <w:tc>
          <w:tcPr>
            <w:tcW w:w="2140" w:type="dxa"/>
            <w:tcBorders>
              <w:left w:val="single" w:sz="4" w:space="0" w:color="auto"/>
              <w:bottom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VIII.2</w:t>
            </w:r>
            <w:r>
              <w:rPr>
                <w:sz w:val="16"/>
                <w:szCs w:val="16"/>
              </w:rPr>
              <w:t xml:space="preserve">  </w:t>
            </w:r>
            <w:r w:rsidRPr="00F77CA1">
              <w:rPr>
                <w:sz w:val="16"/>
                <w:szCs w:val="16"/>
                <w:lang w:val="es-ES_tradnl"/>
              </w:rPr>
              <w:t>Mejora en la prestación de servicios y la atención de consultas</w:t>
            </w:r>
          </w:p>
        </w:tc>
        <w:tc>
          <w:tcPr>
            <w:tcW w:w="2140" w:type="dxa"/>
            <w:tcBorders>
              <w:left w:val="nil"/>
              <w:bottom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Satisfacción de los usuarios con los servicios de biblioteca.</w:t>
            </w:r>
          </w:p>
        </w:tc>
        <w:tc>
          <w:tcPr>
            <w:tcW w:w="2485" w:type="dxa"/>
            <w:tcBorders>
              <w:left w:val="nil"/>
              <w:bottom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El 72,2% de encuestados que respondieron al cuestionario dirigido a los usuarios de los servicios de biblioteca en 2014 estaban muy satisfechos.</w:t>
            </w:r>
          </w:p>
        </w:tc>
        <w:tc>
          <w:tcPr>
            <w:tcW w:w="2430" w:type="dxa"/>
            <w:tcBorders>
              <w:left w:val="nil"/>
              <w:bottom w:val="nil"/>
              <w:right w:val="single" w:sz="4" w:space="0" w:color="auto"/>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70% visitantes y clientes de Internet muy satisfechos.</w:t>
            </w:r>
          </w:p>
        </w:tc>
      </w:tr>
      <w:tr w:rsidR="00236E18" w:rsidRPr="005966CA" w:rsidTr="00294272">
        <w:trPr>
          <w:trHeight w:val="905"/>
        </w:trPr>
        <w:tc>
          <w:tcPr>
            <w:tcW w:w="2140" w:type="dxa"/>
            <w:tcBorders>
              <w:top w:val="nil"/>
              <w:left w:val="single" w:sz="4" w:space="0" w:color="auto"/>
              <w:bottom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w:t>
            </w:r>
          </w:p>
        </w:tc>
        <w:tc>
          <w:tcPr>
            <w:tcW w:w="2140" w:type="dxa"/>
            <w:tcBorders>
              <w:top w:val="nil"/>
              <w:left w:val="nil"/>
              <w:bottom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Índice de satisfacción de los clientes/partes interesadas.</w:t>
            </w:r>
          </w:p>
        </w:tc>
        <w:tc>
          <w:tcPr>
            <w:tcW w:w="2485" w:type="dxa"/>
            <w:tcBorders>
              <w:top w:val="nil"/>
              <w:left w:val="nil"/>
              <w:bottom w:val="nil"/>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xml:space="preserve">El 86% de los clientes de los Sistemas de Madrid y de </w:t>
            </w:r>
            <w:r>
              <w:rPr>
                <w:sz w:val="16"/>
                <w:szCs w:val="16"/>
              </w:rPr>
              <w:t>La Haya</w:t>
            </w:r>
            <w:r w:rsidRPr="005966CA">
              <w:rPr>
                <w:sz w:val="16"/>
                <w:szCs w:val="16"/>
              </w:rPr>
              <w:t xml:space="preserve"> satisfechos o muy satisfechos (encuesta de 2013).</w:t>
            </w:r>
          </w:p>
        </w:tc>
        <w:tc>
          <w:tcPr>
            <w:tcW w:w="2430" w:type="dxa"/>
            <w:tcBorders>
              <w:top w:val="nil"/>
              <w:left w:val="nil"/>
              <w:bottom w:val="nil"/>
              <w:right w:val="single" w:sz="4" w:space="0" w:color="auto"/>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90% satisfechos o muy satisfechos.</w:t>
            </w:r>
          </w:p>
        </w:tc>
      </w:tr>
      <w:tr w:rsidR="00236E18" w:rsidRPr="00660A1F" w:rsidTr="00294272">
        <w:trPr>
          <w:trHeight w:val="887"/>
        </w:trPr>
        <w:tc>
          <w:tcPr>
            <w:tcW w:w="2140" w:type="dxa"/>
            <w:tcBorders>
              <w:top w:val="nil"/>
              <w:left w:val="single" w:sz="4" w:space="0" w:color="auto"/>
              <w:bottom w:val="single" w:sz="4" w:space="0" w:color="auto"/>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w:t>
            </w:r>
          </w:p>
        </w:tc>
        <w:tc>
          <w:tcPr>
            <w:tcW w:w="2140" w:type="dxa"/>
            <w:tcBorders>
              <w:top w:val="nil"/>
              <w:left w:val="nil"/>
              <w:bottom w:val="single" w:sz="4" w:space="0" w:color="auto"/>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 xml:space="preserve">Normas de servicio del servicio de la OMPI de atención al cliente </w:t>
            </w:r>
          </w:p>
        </w:tc>
        <w:tc>
          <w:tcPr>
            <w:tcW w:w="2485" w:type="dxa"/>
            <w:tcBorders>
              <w:top w:val="nil"/>
              <w:left w:val="nil"/>
              <w:bottom w:val="single" w:sz="4" w:space="0" w:color="auto"/>
              <w:right w:val="nil"/>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92% de tickets tramitados en 1 día;  100% de quejas tramitadas en 8 horas laborables.</w:t>
            </w:r>
          </w:p>
        </w:tc>
        <w:tc>
          <w:tcPr>
            <w:tcW w:w="2430" w:type="dxa"/>
            <w:tcBorders>
              <w:top w:val="nil"/>
              <w:left w:val="nil"/>
              <w:bottom w:val="single" w:sz="4" w:space="0" w:color="auto"/>
              <w:right w:val="single" w:sz="4" w:space="0" w:color="auto"/>
            </w:tcBorders>
            <w:shd w:val="clear" w:color="000000" w:fill="FFFFFF"/>
            <w:tcMar>
              <w:top w:w="85" w:type="dxa"/>
            </w:tcMar>
            <w:hideMark/>
          </w:tcPr>
          <w:p w:rsidR="00236E18" w:rsidRPr="005966CA" w:rsidRDefault="00236E18" w:rsidP="00294272">
            <w:pPr>
              <w:widowControl w:val="0"/>
              <w:rPr>
                <w:sz w:val="16"/>
                <w:szCs w:val="16"/>
              </w:rPr>
            </w:pPr>
            <w:r w:rsidRPr="005966CA">
              <w:rPr>
                <w:sz w:val="16"/>
                <w:szCs w:val="16"/>
              </w:rPr>
              <w:t>90% de tickets tramitados en 1 día</w:t>
            </w:r>
            <w:proofErr w:type="gramStart"/>
            <w:r w:rsidRPr="005966CA">
              <w:rPr>
                <w:sz w:val="16"/>
                <w:szCs w:val="16"/>
              </w:rPr>
              <w:t>:  ii</w:t>
            </w:r>
            <w:proofErr w:type="gramEnd"/>
            <w:r w:rsidRPr="005966CA">
              <w:rPr>
                <w:sz w:val="16"/>
                <w:szCs w:val="16"/>
              </w:rPr>
              <w:t>) 90% de quejas tramitadas en 8 horas laborables.</w:t>
            </w:r>
          </w:p>
        </w:tc>
      </w:tr>
    </w:tbl>
    <w:p w:rsidR="00236E18" w:rsidRPr="005966CA" w:rsidRDefault="00236E18" w:rsidP="00236E18">
      <w:pPr>
        <w:widowControl w:val="0"/>
        <w:autoSpaceDE w:val="0"/>
        <w:autoSpaceDN w:val="0"/>
        <w:adjustRightInd w:val="0"/>
        <w:rPr>
          <w:szCs w:val="22"/>
        </w:rPr>
      </w:pPr>
    </w:p>
    <w:p w:rsidR="00236E18" w:rsidRPr="005966CA" w:rsidRDefault="00236E18" w:rsidP="00236E18">
      <w:pPr>
        <w:widowControl w:val="0"/>
        <w:autoSpaceDE w:val="0"/>
        <w:autoSpaceDN w:val="0"/>
        <w:adjustRightInd w:val="0"/>
        <w:rPr>
          <w:szCs w:val="22"/>
        </w:rPr>
      </w:pPr>
    </w:p>
    <w:p w:rsidR="00236E18" w:rsidRPr="005966CA" w:rsidRDefault="00236E18" w:rsidP="00236E18">
      <w:pPr>
        <w:rPr>
          <w:szCs w:val="22"/>
        </w:rPr>
      </w:pPr>
      <w:r w:rsidRPr="005966CA">
        <w:rPr>
          <w:szCs w:val="22"/>
        </w:rPr>
        <w:br w:type="page"/>
      </w:r>
    </w:p>
    <w:p w:rsidR="00236E18" w:rsidRPr="005966CA" w:rsidRDefault="00236E18" w:rsidP="00236E18">
      <w:pPr>
        <w:widowControl w:val="0"/>
        <w:autoSpaceDE w:val="0"/>
        <w:autoSpaceDN w:val="0"/>
        <w:adjustRightInd w:val="0"/>
        <w:rPr>
          <w:szCs w:val="22"/>
        </w:rPr>
      </w:pPr>
      <w:r w:rsidRPr="005966CA">
        <w:rPr>
          <w:szCs w:val="22"/>
        </w:rPr>
        <w:lastRenderedPageBreak/>
        <w:t>RECURSOS PARA EL PROGRAMA 19</w:t>
      </w:r>
    </w:p>
    <w:p w:rsidR="00236E18" w:rsidRDefault="00236E18" w:rsidP="00236E18">
      <w:pPr>
        <w:widowControl w:val="0"/>
        <w:autoSpaceDE w:val="0"/>
        <w:autoSpaceDN w:val="0"/>
        <w:adjustRightInd w:val="0"/>
        <w:rPr>
          <w:szCs w:val="22"/>
        </w:rPr>
      </w:pPr>
    </w:p>
    <w:p w:rsidR="00236E18" w:rsidRPr="002742EB" w:rsidRDefault="00236E18" w:rsidP="00236E18">
      <w:pPr>
        <w:widowControl w:val="0"/>
        <w:numPr>
          <w:ilvl w:val="0"/>
          <w:numId w:val="34"/>
        </w:numPr>
        <w:jc w:val="both"/>
        <w:rPr>
          <w:sz w:val="20"/>
        </w:rPr>
      </w:pPr>
      <w:r w:rsidRPr="00892A2A">
        <w:rPr>
          <w:sz w:val="20"/>
        </w:rPr>
        <w:t>En el bienio 2016/17, la dotación global de recursos para el programa 19 se mantiene en el mismo nivel que el del presupuesto de 2014/</w:t>
      </w:r>
      <w:r>
        <w:rPr>
          <w:sz w:val="20"/>
        </w:rPr>
        <w:t>15 tras las</w:t>
      </w:r>
      <w:r w:rsidRPr="00892A2A">
        <w:rPr>
          <w:sz w:val="20"/>
        </w:rPr>
        <w:t xml:space="preserve"> transferencias.  El trasvase de recursos en los dos resultados previstos refleja el nuevo impulso del apoyo a los servicios de atención al cliente en toda la Organización.</w:t>
      </w:r>
    </w:p>
    <w:p w:rsidR="00236E18" w:rsidRPr="002742EB" w:rsidRDefault="00236E18" w:rsidP="00236E18">
      <w:pPr>
        <w:widowControl w:val="0"/>
        <w:autoSpaceDE w:val="0"/>
        <w:autoSpaceDN w:val="0"/>
        <w:adjustRightInd w:val="0"/>
        <w:rPr>
          <w:sz w:val="20"/>
        </w:rPr>
      </w:pPr>
    </w:p>
    <w:p w:rsidR="00236E18" w:rsidRPr="002742EB" w:rsidRDefault="00236E18" w:rsidP="00236E18">
      <w:pPr>
        <w:widowControl w:val="0"/>
        <w:autoSpaceDE w:val="0"/>
        <w:autoSpaceDN w:val="0"/>
        <w:adjustRightInd w:val="0"/>
        <w:rPr>
          <w:sz w:val="20"/>
        </w:rPr>
      </w:pPr>
    </w:p>
    <w:p w:rsidR="00236E18" w:rsidRPr="005966CA" w:rsidRDefault="00236E18" w:rsidP="00236E18">
      <w:pPr>
        <w:widowControl w:val="0"/>
        <w:spacing w:after="240"/>
        <w:contextualSpacing/>
        <w:jc w:val="center"/>
        <w:rPr>
          <w:b/>
          <w:sz w:val="20"/>
        </w:rPr>
      </w:pPr>
      <w:r>
        <w:rPr>
          <w:b/>
          <w:sz w:val="20"/>
        </w:rPr>
        <w:t xml:space="preserve">Programa </w:t>
      </w:r>
      <w:r w:rsidRPr="005966CA">
        <w:rPr>
          <w:b/>
          <w:sz w:val="20"/>
        </w:rPr>
        <w:t>19</w:t>
      </w:r>
      <w:proofErr w:type="gramStart"/>
      <w:r w:rsidRPr="005966CA">
        <w:rPr>
          <w:b/>
          <w:sz w:val="20"/>
        </w:rPr>
        <w:t>:  Recursos</w:t>
      </w:r>
      <w:proofErr w:type="gramEnd"/>
      <w:r w:rsidRPr="005966CA">
        <w:rPr>
          <w:b/>
          <w:sz w:val="20"/>
        </w:rPr>
        <w:t xml:space="preserve"> por resultado</w:t>
      </w:r>
    </w:p>
    <w:p w:rsidR="00236E18" w:rsidRPr="005966CA" w:rsidRDefault="00236E18" w:rsidP="00236E18">
      <w:pPr>
        <w:widowControl w:val="0"/>
        <w:spacing w:after="240"/>
        <w:contextualSpacing/>
        <w:jc w:val="center"/>
        <w:rPr>
          <w:i/>
          <w:sz w:val="20"/>
        </w:rPr>
      </w:pPr>
      <w:r w:rsidRPr="005966CA">
        <w:rPr>
          <w:i/>
          <w:sz w:val="20"/>
        </w:rPr>
        <w:t>(</w:t>
      </w:r>
      <w:proofErr w:type="gramStart"/>
      <w:r w:rsidRPr="005966CA">
        <w:rPr>
          <w:i/>
          <w:sz w:val="20"/>
        </w:rPr>
        <w:t>en</w:t>
      </w:r>
      <w:proofErr w:type="gramEnd"/>
      <w:r w:rsidRPr="005966CA">
        <w:rPr>
          <w:i/>
          <w:sz w:val="20"/>
        </w:rPr>
        <w:t xml:space="preserve"> miles de francos suizos)</w:t>
      </w:r>
    </w:p>
    <w:p w:rsidR="00236E18" w:rsidRPr="005966CA" w:rsidRDefault="00236E18" w:rsidP="00236E18">
      <w:pPr>
        <w:widowControl w:val="0"/>
        <w:spacing w:after="240"/>
        <w:contextualSpacing/>
        <w:jc w:val="center"/>
        <w:rPr>
          <w:i/>
          <w:sz w:val="20"/>
        </w:rPr>
      </w:pPr>
    </w:p>
    <w:p w:rsidR="00236E18" w:rsidRPr="005966CA" w:rsidRDefault="00236E18" w:rsidP="00236E18">
      <w:pPr>
        <w:widowControl w:val="0"/>
        <w:spacing w:after="240"/>
        <w:contextualSpacing/>
        <w:jc w:val="center"/>
        <w:rPr>
          <w:i/>
          <w:sz w:val="20"/>
        </w:rPr>
      </w:pPr>
      <w:r w:rsidRPr="00F77CA1">
        <w:rPr>
          <w:noProof/>
          <w:lang w:val="en-US" w:eastAsia="en-US"/>
        </w:rPr>
        <w:drawing>
          <wp:inline distT="0" distB="0" distL="0" distR="0" wp14:anchorId="549EDD27" wp14:editId="6D96FF33">
            <wp:extent cx="5676900" cy="1550670"/>
            <wp:effectExtent l="0" t="0" r="0" b="0"/>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676900" cy="1550670"/>
                    </a:xfrm>
                    <a:prstGeom prst="rect">
                      <a:avLst/>
                    </a:prstGeom>
                    <a:noFill/>
                    <a:ln>
                      <a:noFill/>
                    </a:ln>
                  </pic:spPr>
                </pic:pic>
              </a:graphicData>
            </a:graphic>
          </wp:inline>
        </w:drawing>
      </w:r>
    </w:p>
    <w:p w:rsidR="00236E18" w:rsidRPr="005966CA" w:rsidRDefault="00236E18" w:rsidP="00236E18">
      <w:pPr>
        <w:widowControl w:val="0"/>
        <w:spacing w:after="240"/>
        <w:contextualSpacing/>
        <w:jc w:val="center"/>
        <w:rPr>
          <w:i/>
          <w:sz w:val="20"/>
        </w:rPr>
      </w:pPr>
    </w:p>
    <w:p w:rsidR="00236E18" w:rsidRPr="005966CA" w:rsidRDefault="00236E18" w:rsidP="00236E18">
      <w:pPr>
        <w:widowControl w:val="0"/>
        <w:spacing w:after="240"/>
        <w:contextualSpacing/>
        <w:jc w:val="center"/>
        <w:rPr>
          <w:i/>
          <w:sz w:val="20"/>
        </w:rPr>
      </w:pPr>
    </w:p>
    <w:p w:rsidR="00236E18" w:rsidRPr="005966CA" w:rsidRDefault="00236E18" w:rsidP="00236E18">
      <w:pPr>
        <w:rPr>
          <w:b/>
          <w:sz w:val="20"/>
        </w:rPr>
      </w:pPr>
      <w:r w:rsidRPr="005966CA">
        <w:rPr>
          <w:b/>
          <w:sz w:val="20"/>
        </w:rPr>
        <w:br w:type="page"/>
      </w:r>
    </w:p>
    <w:p w:rsidR="00236E18" w:rsidRPr="005012AC" w:rsidRDefault="00236E18" w:rsidP="00236E18">
      <w:pPr>
        <w:widowControl w:val="0"/>
        <w:contextualSpacing/>
        <w:jc w:val="center"/>
        <w:rPr>
          <w:b/>
          <w:sz w:val="20"/>
        </w:rPr>
      </w:pPr>
      <w:r w:rsidRPr="005012AC">
        <w:rPr>
          <w:b/>
          <w:sz w:val="20"/>
        </w:rPr>
        <w:lastRenderedPageBreak/>
        <w:t>Programa 19</w:t>
      </w:r>
      <w:proofErr w:type="gramStart"/>
      <w:r w:rsidRPr="005012AC">
        <w:rPr>
          <w:b/>
          <w:sz w:val="20"/>
        </w:rPr>
        <w:t>:  Recursos</w:t>
      </w:r>
      <w:proofErr w:type="gramEnd"/>
      <w:r>
        <w:rPr>
          <w:b/>
          <w:sz w:val="20"/>
        </w:rPr>
        <w:t xml:space="preserve"> por objeto de gasto</w:t>
      </w:r>
    </w:p>
    <w:p w:rsidR="00236E18" w:rsidRPr="005012AC" w:rsidRDefault="00236E18" w:rsidP="00236E18">
      <w:pPr>
        <w:widowControl w:val="0"/>
        <w:contextualSpacing/>
        <w:jc w:val="center"/>
        <w:rPr>
          <w:i/>
          <w:sz w:val="20"/>
        </w:rPr>
      </w:pPr>
      <w:r w:rsidRPr="005012AC">
        <w:rPr>
          <w:i/>
          <w:sz w:val="20"/>
        </w:rPr>
        <w:t>(</w:t>
      </w:r>
      <w:proofErr w:type="gramStart"/>
      <w:r w:rsidRPr="005012AC">
        <w:rPr>
          <w:i/>
          <w:sz w:val="20"/>
        </w:rPr>
        <w:t>en</w:t>
      </w:r>
      <w:proofErr w:type="gramEnd"/>
      <w:r w:rsidRPr="005012AC">
        <w:rPr>
          <w:i/>
          <w:sz w:val="20"/>
        </w:rPr>
        <w:t xml:space="preserve"> miles de francos suizos)</w:t>
      </w:r>
    </w:p>
    <w:p w:rsidR="00236E18" w:rsidRPr="005012AC" w:rsidRDefault="00236E18" w:rsidP="00236E18">
      <w:pPr>
        <w:widowControl w:val="0"/>
        <w:contextualSpacing/>
        <w:jc w:val="center"/>
        <w:rPr>
          <w:i/>
          <w:sz w:val="20"/>
        </w:rPr>
      </w:pPr>
    </w:p>
    <w:p w:rsidR="00236E18" w:rsidRPr="005966CA" w:rsidRDefault="00236E18" w:rsidP="00236E18">
      <w:pPr>
        <w:widowControl w:val="0"/>
        <w:autoSpaceDE w:val="0"/>
        <w:autoSpaceDN w:val="0"/>
        <w:adjustRightInd w:val="0"/>
        <w:jc w:val="center"/>
        <w:rPr>
          <w:sz w:val="20"/>
          <w:szCs w:val="22"/>
        </w:rPr>
      </w:pPr>
      <w:r>
        <w:rPr>
          <w:noProof/>
          <w:lang w:val="en-US" w:eastAsia="en-US"/>
        </w:rPr>
        <w:drawing>
          <wp:inline distT="0" distB="0" distL="0" distR="0" wp14:anchorId="13CC955D" wp14:editId="2A8ACF47">
            <wp:extent cx="5940425" cy="6166999"/>
            <wp:effectExtent l="0" t="0" r="3175" b="5715"/>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940425" cy="6166999"/>
                    </a:xfrm>
                    <a:prstGeom prst="rect">
                      <a:avLst/>
                    </a:prstGeom>
                    <a:noFill/>
                    <a:ln>
                      <a:noFill/>
                    </a:ln>
                  </pic:spPr>
                </pic:pic>
              </a:graphicData>
            </a:graphic>
          </wp:inline>
        </w:drawing>
      </w:r>
    </w:p>
    <w:p w:rsidR="00236E18" w:rsidRPr="005966CA" w:rsidRDefault="00236E18" w:rsidP="00236E18">
      <w:pPr>
        <w:widowControl w:val="0"/>
        <w:autoSpaceDE w:val="0"/>
        <w:autoSpaceDN w:val="0"/>
        <w:adjustRightInd w:val="0"/>
        <w:rPr>
          <w:sz w:val="20"/>
          <w:szCs w:val="22"/>
        </w:rPr>
      </w:pPr>
    </w:p>
    <w:p w:rsidR="00236E18" w:rsidRPr="005966CA" w:rsidRDefault="00236E18" w:rsidP="00236E18">
      <w:pPr>
        <w:widowControl w:val="0"/>
        <w:autoSpaceDE w:val="0"/>
        <w:autoSpaceDN w:val="0"/>
        <w:adjustRightInd w:val="0"/>
        <w:rPr>
          <w:sz w:val="20"/>
          <w:szCs w:val="22"/>
        </w:rPr>
      </w:pPr>
    </w:p>
    <w:p w:rsidR="00236E18" w:rsidRPr="005966CA" w:rsidRDefault="00236E18" w:rsidP="00236E18">
      <w:pPr>
        <w:widowControl w:val="0"/>
        <w:autoSpaceDE w:val="0"/>
        <w:autoSpaceDN w:val="0"/>
        <w:adjustRightInd w:val="0"/>
        <w:rPr>
          <w:sz w:val="20"/>
          <w:szCs w:val="22"/>
        </w:rPr>
      </w:pPr>
    </w:p>
    <w:p w:rsidR="00236E18" w:rsidRDefault="00236E18" w:rsidP="00236E18">
      <w:pPr>
        <w:rPr>
          <w:sz w:val="20"/>
          <w:szCs w:val="21"/>
          <w:lang w:val="en-US"/>
        </w:rPr>
      </w:pPr>
      <w:r>
        <w:rPr>
          <w:sz w:val="20"/>
          <w:szCs w:val="21"/>
          <w:lang w:val="en-US"/>
        </w:rPr>
        <w:br w:type="page"/>
      </w:r>
    </w:p>
    <w:p w:rsidR="00236E18" w:rsidRPr="00F4741E" w:rsidRDefault="00236E18" w:rsidP="00236E18">
      <w:pPr>
        <w:pStyle w:val="StyleStyleHeading3ComplexItalicLatin12pt"/>
        <w:ind w:left="1985" w:hanging="1985"/>
        <w:rPr>
          <w:lang w:val="es-ES"/>
        </w:rPr>
      </w:pPr>
      <w:bookmarkStart w:id="109" w:name="_Toc431573568"/>
      <w:bookmarkStart w:id="110" w:name="_Toc431573969"/>
      <w:r w:rsidRPr="00F4741E">
        <w:rPr>
          <w:lang w:val="es-ES"/>
        </w:rPr>
        <w:lastRenderedPageBreak/>
        <w:t>PROGRAMA 20</w:t>
      </w:r>
      <w:r w:rsidRPr="00F4741E">
        <w:rPr>
          <w:lang w:val="es-ES"/>
        </w:rPr>
        <w:tab/>
        <w:t>RELACIONES EXTERIORES, ALIANZAS Y OFICINAS EN EL EXTERIOR</w:t>
      </w:r>
      <w:bookmarkEnd w:id="109"/>
      <w:bookmarkEnd w:id="110"/>
    </w:p>
    <w:p w:rsidR="00236E18" w:rsidRPr="0062624E" w:rsidRDefault="00236E18" w:rsidP="00236E18">
      <w:pPr>
        <w:widowControl w:val="0"/>
        <w:jc w:val="both"/>
        <w:rPr>
          <w:bCs/>
          <w:sz w:val="20"/>
          <w:lang w:val="es-ES_tradnl"/>
        </w:rPr>
      </w:pPr>
    </w:p>
    <w:p w:rsidR="00236E18" w:rsidRPr="0062624E" w:rsidRDefault="00236E18" w:rsidP="00236E18">
      <w:pPr>
        <w:widowControl w:val="0"/>
        <w:jc w:val="both"/>
        <w:rPr>
          <w:bCs/>
          <w:sz w:val="20"/>
          <w:lang w:val="es-ES_tradnl"/>
        </w:rPr>
      </w:pPr>
    </w:p>
    <w:p w:rsidR="00236E18" w:rsidRPr="00164290" w:rsidRDefault="00236E18" w:rsidP="00236E18">
      <w:pPr>
        <w:widowControl w:val="0"/>
        <w:jc w:val="both"/>
        <w:rPr>
          <w:szCs w:val="22"/>
          <w:lang w:val="es-ES_tradnl"/>
        </w:rPr>
      </w:pPr>
      <w:r w:rsidRPr="00164290">
        <w:rPr>
          <w:szCs w:val="22"/>
          <w:lang w:val="es-ES_tradnl"/>
        </w:rPr>
        <w:t>CONTEXTO DE PLANIFICACIÓN</w:t>
      </w:r>
    </w:p>
    <w:p w:rsidR="00236E18" w:rsidRPr="00164290" w:rsidRDefault="00236E18" w:rsidP="00236E18">
      <w:pPr>
        <w:widowControl w:val="0"/>
        <w:tabs>
          <w:tab w:val="num" w:pos="709"/>
        </w:tabs>
        <w:jc w:val="both"/>
        <w:rPr>
          <w:bCs/>
          <w:szCs w:val="22"/>
          <w:lang w:val="es-ES_tradnl"/>
        </w:rPr>
      </w:pPr>
    </w:p>
    <w:p w:rsidR="00236E18" w:rsidRPr="00164290" w:rsidRDefault="00236E18" w:rsidP="00236E18">
      <w:pPr>
        <w:pStyle w:val="ListParagraph"/>
        <w:widowControl w:val="0"/>
        <w:numPr>
          <w:ilvl w:val="0"/>
          <w:numId w:val="35"/>
        </w:numPr>
        <w:jc w:val="both"/>
        <w:rPr>
          <w:rFonts w:ascii="Arial" w:hAnsi="Arial" w:cs="Arial"/>
          <w:sz w:val="20"/>
          <w:lang w:val="es-ES_tradnl"/>
        </w:rPr>
      </w:pPr>
      <w:r w:rsidRPr="00164290">
        <w:rPr>
          <w:rFonts w:ascii="Arial" w:hAnsi="Arial" w:cs="Arial"/>
          <w:bCs/>
          <w:sz w:val="20"/>
          <w:lang w:val="es-ES_tradnl"/>
        </w:rPr>
        <w:t>En el bienio 2016/17 las actividades de las NN.UU. pasarán de la fase de negociación a la fase de aplicación puesto que un número de procesos importantes de negociación convergen y concluyen hacia finales de 2015.  Se espera que los Estados miembros finalicen las negociaciones de la agenda para el desarrollo después de</w:t>
      </w:r>
      <w:r>
        <w:rPr>
          <w:rFonts w:ascii="Arial" w:hAnsi="Arial" w:cs="Arial"/>
          <w:bCs/>
          <w:sz w:val="20"/>
          <w:lang w:val="es-ES_tradnl"/>
        </w:rPr>
        <w:t xml:space="preserve">l </w:t>
      </w:r>
      <w:r w:rsidRPr="00164290">
        <w:rPr>
          <w:rFonts w:ascii="Arial" w:hAnsi="Arial" w:cs="Arial"/>
          <w:bCs/>
          <w:sz w:val="20"/>
          <w:lang w:val="es-ES_tradnl"/>
        </w:rPr>
        <w:t>2015 en la Cumbre de las Naciones Unidas que tendrá lugar en Nueva York en septiembre de 2015: "Cumplimiento y aplicación de una agenda transformadora para el desarrollo después de</w:t>
      </w:r>
      <w:r>
        <w:rPr>
          <w:rFonts w:ascii="Arial" w:hAnsi="Arial" w:cs="Arial"/>
          <w:bCs/>
          <w:sz w:val="20"/>
          <w:lang w:val="es-ES_tradnl"/>
        </w:rPr>
        <w:t xml:space="preserve">l </w:t>
      </w:r>
      <w:r w:rsidRPr="00164290">
        <w:rPr>
          <w:rFonts w:ascii="Arial" w:hAnsi="Arial" w:cs="Arial"/>
          <w:bCs/>
          <w:sz w:val="20"/>
          <w:lang w:val="es-ES_tradnl"/>
        </w:rPr>
        <w:t xml:space="preserve">2015".  Antes de eso, en julio de 2015, se prevé que los Estados miembros logren un acuerdo acerca del documento final de la tercera Conferencia Internacional sobre la Financiación para el Desarrollo.  Todo eso está relacionado con los debates sobre los "medios de aplicación" para los Objetivos de Desarrollo Sostenible (ODS) que abarcan tanto la financiación como el incremento del apoyo al fortalecimiento de la capacidad en materia de innovación, y el desarrollo y la transferencia de tecnologías para el desarrollo sostenible.  También guarda estrecha relación con todo lo anterior la labor sobre el mecanismo de facilitación de las transferencias de tecnología que tiene origen en el documento final de Río+20.  Al mismo tiempo, también continúan las negociaciones para conseguir un nuevo acuerdo internacional sobre cambio climático al amparo de la Convención Marco de la Naciones Unidas sobre el Cambio Climático (CMNUCC), cuya adopción se prevé en la vigesimoprimera Conferencia de las Partes en la CMNUCC que tendrá lugar en París en diciembre de 2015.  </w:t>
      </w:r>
      <w:r w:rsidRPr="00164290">
        <w:rPr>
          <w:rFonts w:ascii="Arial" w:hAnsi="Arial" w:cs="Arial"/>
          <w:sz w:val="20"/>
          <w:lang w:val="es-ES_tradnl"/>
        </w:rPr>
        <w:t>Además, se sigue trabajando en otros procesos de OIG importantes para la OMPI relacionados con la brecha digital, la salud pública y las enfermedades no transmisibles.</w:t>
      </w:r>
    </w:p>
    <w:p w:rsidR="00236E18" w:rsidRPr="00164290" w:rsidRDefault="00236E18" w:rsidP="00236E18">
      <w:pPr>
        <w:widowControl w:val="0"/>
        <w:jc w:val="both"/>
        <w:rPr>
          <w:sz w:val="20"/>
          <w:lang w:val="es-ES_tradnl"/>
        </w:rPr>
      </w:pPr>
    </w:p>
    <w:p w:rsidR="00236E18" w:rsidRPr="00164290" w:rsidRDefault="00236E18" w:rsidP="00236E18">
      <w:pPr>
        <w:pStyle w:val="ListParagraph"/>
        <w:widowControl w:val="0"/>
        <w:numPr>
          <w:ilvl w:val="0"/>
          <w:numId w:val="35"/>
        </w:numPr>
        <w:jc w:val="both"/>
        <w:rPr>
          <w:rFonts w:ascii="Arial" w:hAnsi="Arial" w:cs="Arial"/>
          <w:bCs/>
          <w:sz w:val="20"/>
          <w:lang w:val="es-ES_tradnl"/>
        </w:rPr>
      </w:pPr>
      <w:r w:rsidRPr="00164290">
        <w:rPr>
          <w:rFonts w:ascii="Arial" w:hAnsi="Arial" w:cs="Arial"/>
          <w:bCs/>
          <w:sz w:val="20"/>
          <w:lang w:val="es-ES_tradnl"/>
        </w:rPr>
        <w:t>La tecnología, la innovación, la creatividad y el desarrollo cultural siguen siendo elementos esenciales de todos estos procesos.  La alianza mundial para la agenda para el desarrollo después de</w:t>
      </w:r>
      <w:r>
        <w:rPr>
          <w:rFonts w:ascii="Arial" w:hAnsi="Arial" w:cs="Arial"/>
          <w:bCs/>
          <w:sz w:val="20"/>
          <w:lang w:val="es-ES_tradnl"/>
        </w:rPr>
        <w:t>l</w:t>
      </w:r>
      <w:r w:rsidRPr="00164290">
        <w:rPr>
          <w:rFonts w:ascii="Arial" w:hAnsi="Arial" w:cs="Arial"/>
          <w:bCs/>
          <w:sz w:val="20"/>
          <w:lang w:val="es-ES_tradnl"/>
        </w:rPr>
        <w:t> 2015 prevé la creación de alianzas en que intervenga una multiplicidad de interesados en torno a cuestiones básicas.  La OMPI desempeñará plenamente su papel en la facilitación de dichas alianzas y trabajará para fortalecer sus relaciones con socios tradicionales como la Organización Mundial del Comercio (OMC), la Organización Mundial de la Salud (OMS), la Conferencia de las Naciones Unidas sobre Comercio y Desarrollo (UNCTAD), el Programa de las Naciones Unidas para el Medio Ambiente (PNUMA), la Organización de las Naciones Unidas para el Desarrollo Industrial (ONUDI), la Organización de las Naciones Unidas para la Educación, la Ciencia y la Cultura (UNESCO), la Unión Internacional de Telecomunicaciones (UIT), la CMNUCC, el Departamento de Asuntos Económicos y Sociales de las Naciones Unidas (DAES), y las comisiones económicas de las Naciones Unidas.  El programa 20 volverá a estudiar la manera en que la OMPI puede colaborar con todas las partes interesadas (OIG, ONG y el sector privado) a nivel mundial, regional y nacional para velar por una mayor coordinación y coherencia en la prestación de asistencia específica y especializada de la OMPI.  El procedimiento debe ser estratégico y centrado, y cumplir con el mandato de la OMPI y las recomendaciones pertinentes de la Agenda para el Desarrollo (A.D.) de la Organización (recomendaciones 2, 9, 22, 30, 40 y 42 de la A.D.).</w:t>
      </w:r>
    </w:p>
    <w:p w:rsidR="00236E18" w:rsidRPr="00164290" w:rsidRDefault="00236E18" w:rsidP="00236E18">
      <w:pPr>
        <w:pStyle w:val="ListParagraph"/>
        <w:widowControl w:val="0"/>
        <w:ind w:left="0"/>
        <w:jc w:val="both"/>
        <w:rPr>
          <w:rFonts w:ascii="Arial" w:hAnsi="Arial" w:cs="Arial"/>
          <w:bCs/>
          <w:sz w:val="20"/>
          <w:lang w:val="es-ES_tradnl"/>
        </w:rPr>
      </w:pPr>
    </w:p>
    <w:p w:rsidR="00236E18" w:rsidRPr="00164290" w:rsidRDefault="00236E18" w:rsidP="00236E18">
      <w:pPr>
        <w:pStyle w:val="ListParagraph"/>
        <w:widowControl w:val="0"/>
        <w:numPr>
          <w:ilvl w:val="0"/>
          <w:numId w:val="35"/>
        </w:numPr>
        <w:jc w:val="both"/>
        <w:rPr>
          <w:rFonts w:ascii="Arial" w:hAnsi="Arial" w:cs="Arial"/>
          <w:bCs/>
          <w:sz w:val="20"/>
          <w:lang w:val="es-ES_tradnl"/>
        </w:rPr>
      </w:pPr>
      <w:r w:rsidRPr="00164290">
        <w:rPr>
          <w:rFonts w:ascii="Arial" w:hAnsi="Arial" w:cs="Arial"/>
          <w:bCs/>
          <w:sz w:val="20"/>
          <w:lang w:val="es-ES_tradnl"/>
        </w:rPr>
        <w:t>La OMPI también busca establecer una alianza estratégica y eficaz con una amplia gama de partes interesadas no gubernamentales, por ejemplo ONG, empresas privadas y la sociedad civil en general, cuyos diferentes conocimientos técnicos y opiniones pueden ayudar a alcanzar este objetivo.  La OMPI tiene la ventaja de contar con la fuerte participación de un amplio abanico de organizaciones no gubernamentales acreditadas como observadoras en sus reuniones oficiales, y con su contribución, y la de sus representados, en sus eventos y programas.  Los representantes del sector privado que intervienen directamente en la creación y uso de obras innovadoras y creativas pueden aportar también una contribución insustituible al quehacer de la OMPI gracias a su experiencia de primera mano en el uso de la P.I. como herramienta de desarrollo económico, social y cultural.  El establecimiento de alianzas estratégicas y eficaces con dichas instancias no gubernamentales será un componente esencial de un diálogo sobre políticas que pueda contribuir auténticamente al uso de la P.I. como instrumento de desarrollo a través de la cooperación internacional con un gran número de partes interesadas.</w:t>
      </w:r>
    </w:p>
    <w:p w:rsidR="00236E18" w:rsidRPr="00164290" w:rsidRDefault="00236E18" w:rsidP="00236E18">
      <w:pPr>
        <w:pStyle w:val="ListParagraph"/>
        <w:widowControl w:val="0"/>
        <w:ind w:left="0"/>
        <w:jc w:val="both"/>
        <w:rPr>
          <w:rFonts w:ascii="Arial" w:hAnsi="Arial" w:cs="Arial"/>
          <w:bCs/>
          <w:sz w:val="20"/>
          <w:lang w:val="es-ES_tradnl"/>
        </w:rPr>
      </w:pPr>
    </w:p>
    <w:p w:rsidR="00236E18" w:rsidRPr="00164290" w:rsidRDefault="00236E18" w:rsidP="00236E18">
      <w:pPr>
        <w:pStyle w:val="ListParagraph"/>
        <w:widowControl w:val="0"/>
        <w:ind w:left="0"/>
        <w:jc w:val="both"/>
        <w:rPr>
          <w:rFonts w:ascii="Arial" w:hAnsi="Arial" w:cs="Arial"/>
          <w:bCs/>
          <w:lang w:val="es-ES_tradnl"/>
        </w:rPr>
      </w:pPr>
    </w:p>
    <w:p w:rsidR="00236E18" w:rsidRPr="00164290" w:rsidRDefault="00236E18" w:rsidP="00236E18">
      <w:pPr>
        <w:pStyle w:val="ListParagraph"/>
        <w:keepNext/>
        <w:widowControl w:val="0"/>
        <w:ind w:left="0"/>
        <w:jc w:val="both"/>
        <w:rPr>
          <w:rFonts w:ascii="Arial" w:hAnsi="Arial" w:cs="Arial"/>
          <w:bCs/>
          <w:lang w:val="es-ES_tradnl"/>
        </w:rPr>
      </w:pPr>
      <w:r w:rsidRPr="00164290">
        <w:rPr>
          <w:rFonts w:ascii="Arial" w:hAnsi="Arial" w:cs="Arial"/>
          <w:bCs/>
          <w:lang w:val="es-ES_tradnl"/>
        </w:rPr>
        <w:t>ESTRATEGIAS DE EJECUCIÓN</w:t>
      </w:r>
    </w:p>
    <w:p w:rsidR="00236E18" w:rsidRPr="00164290" w:rsidRDefault="00236E18" w:rsidP="00236E18">
      <w:pPr>
        <w:pStyle w:val="ListParagraph"/>
        <w:keepNext/>
        <w:widowControl w:val="0"/>
        <w:ind w:left="0"/>
        <w:jc w:val="both"/>
        <w:rPr>
          <w:rFonts w:ascii="Arial" w:hAnsi="Arial" w:cs="Arial"/>
          <w:bCs/>
          <w:sz w:val="20"/>
          <w:lang w:val="es-ES_tradnl"/>
        </w:rPr>
      </w:pPr>
    </w:p>
    <w:p w:rsidR="00236E18" w:rsidRPr="00164290" w:rsidRDefault="00236E18" w:rsidP="00236E18">
      <w:pPr>
        <w:widowControl w:val="0"/>
        <w:numPr>
          <w:ilvl w:val="0"/>
          <w:numId w:val="35"/>
        </w:numPr>
        <w:jc w:val="both"/>
        <w:rPr>
          <w:bCs/>
          <w:sz w:val="20"/>
          <w:lang w:val="es-ES_tradnl"/>
        </w:rPr>
      </w:pPr>
      <w:r w:rsidRPr="00164290">
        <w:rPr>
          <w:bCs/>
          <w:sz w:val="20"/>
          <w:lang w:val="es-ES_tradnl"/>
        </w:rPr>
        <w:t xml:space="preserve">La función principal del programa 20 consiste en coordinar, participar, supervisar y presentar informes con el objetivo de que las contribuciones de la OMPI a estos procesos sean pertinentes para su mandato, y se centren en buscar dónde pueden aportar un mayor valor añadido los conocimientos especializados de la Organización.  En las estrategias de ejecución para el bienio 2016/17 se abordan </w:t>
      </w:r>
      <w:r w:rsidRPr="00164290">
        <w:rPr>
          <w:bCs/>
          <w:sz w:val="20"/>
          <w:lang w:val="es-ES_tradnl"/>
        </w:rPr>
        <w:lastRenderedPageBreak/>
        <w:t xml:space="preserve">estos objetivos y, además, se prestará mayor atención a la manera en que la OMPI puede apoyar mejor la aplicación de la agenda </w:t>
      </w:r>
      <w:r>
        <w:rPr>
          <w:bCs/>
          <w:sz w:val="20"/>
          <w:lang w:val="es-ES_tradnl"/>
        </w:rPr>
        <w:t xml:space="preserve">de las NN.UU. </w:t>
      </w:r>
      <w:r w:rsidRPr="00164290">
        <w:rPr>
          <w:bCs/>
          <w:sz w:val="20"/>
          <w:lang w:val="es-ES_tradnl"/>
        </w:rPr>
        <w:t xml:space="preserve">para el desarrollo después de 2015.  Entre otras:  </w:t>
      </w:r>
    </w:p>
    <w:p w:rsidR="00236E18" w:rsidRPr="00164290" w:rsidRDefault="00236E18" w:rsidP="00236E18">
      <w:pPr>
        <w:widowControl w:val="0"/>
        <w:tabs>
          <w:tab w:val="num" w:pos="709"/>
        </w:tabs>
        <w:jc w:val="both"/>
        <w:rPr>
          <w:bCs/>
          <w:sz w:val="20"/>
          <w:lang w:val="es-ES_tradnl"/>
        </w:rPr>
      </w:pPr>
    </w:p>
    <w:p w:rsidR="00236E18" w:rsidRPr="00164290" w:rsidRDefault="00236E18" w:rsidP="00236E18">
      <w:pPr>
        <w:widowControl w:val="0"/>
        <w:numPr>
          <w:ilvl w:val="0"/>
          <w:numId w:val="36"/>
        </w:numPr>
        <w:tabs>
          <w:tab w:val="clear" w:pos="1174"/>
          <w:tab w:val="num" w:pos="1134"/>
        </w:tabs>
        <w:ind w:left="1134" w:hanging="567"/>
        <w:jc w:val="both"/>
        <w:rPr>
          <w:bCs/>
          <w:sz w:val="20"/>
          <w:lang w:val="es-ES_tradnl"/>
        </w:rPr>
      </w:pPr>
      <w:r w:rsidRPr="00164290">
        <w:rPr>
          <w:bCs/>
          <w:sz w:val="20"/>
          <w:lang w:val="es-ES_tradnl"/>
        </w:rPr>
        <w:t>Seguir fortaleciendo las alianzas existentes, y desarrollar nuevas e innovadoras alianzas en que intervenga una multiplicidad de interesados, y forjar coaliciones y alianzas por temas para respaldar el desarrollo sostenible y la aplicación de la agenda para el desarrollo después de</w:t>
      </w:r>
      <w:r>
        <w:rPr>
          <w:bCs/>
          <w:sz w:val="20"/>
          <w:lang w:val="es-ES_tradnl"/>
        </w:rPr>
        <w:t>l</w:t>
      </w:r>
      <w:r w:rsidRPr="00164290">
        <w:rPr>
          <w:bCs/>
          <w:sz w:val="20"/>
          <w:lang w:val="es-ES_tradnl"/>
        </w:rPr>
        <w:t> 2015;</w:t>
      </w:r>
    </w:p>
    <w:p w:rsidR="00236E18" w:rsidRPr="00164290" w:rsidRDefault="00236E18" w:rsidP="00236E18">
      <w:pPr>
        <w:widowControl w:val="0"/>
        <w:tabs>
          <w:tab w:val="num" w:pos="1134"/>
        </w:tabs>
        <w:ind w:left="1134" w:hanging="567"/>
        <w:jc w:val="both"/>
        <w:rPr>
          <w:bCs/>
          <w:sz w:val="20"/>
          <w:lang w:val="es-ES_tradnl"/>
        </w:rPr>
      </w:pPr>
    </w:p>
    <w:p w:rsidR="00236E18" w:rsidRPr="00164290" w:rsidRDefault="00236E18" w:rsidP="00236E18">
      <w:pPr>
        <w:widowControl w:val="0"/>
        <w:numPr>
          <w:ilvl w:val="0"/>
          <w:numId w:val="36"/>
        </w:numPr>
        <w:tabs>
          <w:tab w:val="clear" w:pos="1174"/>
          <w:tab w:val="num" w:pos="1134"/>
        </w:tabs>
        <w:ind w:left="1134" w:hanging="567"/>
        <w:jc w:val="both"/>
        <w:rPr>
          <w:bCs/>
          <w:sz w:val="20"/>
          <w:lang w:val="es-ES_tradnl"/>
        </w:rPr>
      </w:pPr>
      <w:r w:rsidRPr="00164290">
        <w:rPr>
          <w:bCs/>
          <w:sz w:val="20"/>
          <w:lang w:val="es-ES_tradnl"/>
        </w:rPr>
        <w:t>Trabajar en estrecha colaboración con otros programas (véase el cuadro que figura a continuación) para mejorar la integración de los conocimientos de la OMPI en la cooperación y colaboración a nivel mundial, regional y nacional, y cooperar sin reservas con otras organizaciones de las NN.UU., por ejemplo, organizaciones económicas regionales del sistema de las NN.UU., bancos regionales de desarrollo y los equipos de las NN.UU. en los países.</w:t>
      </w:r>
    </w:p>
    <w:p w:rsidR="00236E18" w:rsidRPr="00164290" w:rsidRDefault="00236E18" w:rsidP="00236E18">
      <w:pPr>
        <w:widowControl w:val="0"/>
        <w:tabs>
          <w:tab w:val="num" w:pos="1134"/>
        </w:tabs>
        <w:ind w:left="1134" w:hanging="567"/>
        <w:jc w:val="both"/>
        <w:rPr>
          <w:bCs/>
          <w:sz w:val="20"/>
          <w:lang w:val="es-ES_tradnl"/>
        </w:rPr>
      </w:pPr>
    </w:p>
    <w:p w:rsidR="00236E18" w:rsidRPr="00164290" w:rsidRDefault="00236E18" w:rsidP="00236E18">
      <w:pPr>
        <w:widowControl w:val="0"/>
        <w:numPr>
          <w:ilvl w:val="0"/>
          <w:numId w:val="36"/>
        </w:numPr>
        <w:tabs>
          <w:tab w:val="clear" w:pos="1174"/>
          <w:tab w:val="num" w:pos="1134"/>
        </w:tabs>
        <w:ind w:left="1134" w:hanging="567"/>
        <w:jc w:val="both"/>
        <w:rPr>
          <w:bCs/>
          <w:sz w:val="20"/>
          <w:lang w:val="es-ES_tradnl"/>
        </w:rPr>
      </w:pPr>
      <w:r w:rsidRPr="00164290">
        <w:rPr>
          <w:bCs/>
          <w:sz w:val="20"/>
          <w:lang w:val="es-ES_tradnl"/>
        </w:rPr>
        <w:t>Mejorar la calidad de las contribuciones de la OMPI a los mecanismos de supervisión, examen y rendición de cuentas de la agenda para el desarrollo después de</w:t>
      </w:r>
      <w:r>
        <w:rPr>
          <w:bCs/>
          <w:sz w:val="20"/>
          <w:lang w:val="es-ES_tradnl"/>
        </w:rPr>
        <w:t xml:space="preserve">l </w:t>
      </w:r>
      <w:r w:rsidRPr="00164290">
        <w:rPr>
          <w:bCs/>
          <w:sz w:val="20"/>
          <w:lang w:val="es-ES_tradnl"/>
        </w:rPr>
        <w:t xml:space="preserve">2015; </w:t>
      </w:r>
    </w:p>
    <w:p w:rsidR="00236E18" w:rsidRPr="00164290" w:rsidRDefault="00236E18" w:rsidP="00236E18">
      <w:pPr>
        <w:widowControl w:val="0"/>
        <w:tabs>
          <w:tab w:val="num" w:pos="1134"/>
        </w:tabs>
        <w:ind w:left="1134" w:hanging="567"/>
        <w:jc w:val="both"/>
        <w:rPr>
          <w:sz w:val="20"/>
          <w:lang w:val="es-ES_tradnl"/>
        </w:rPr>
      </w:pPr>
    </w:p>
    <w:p w:rsidR="00236E18" w:rsidRPr="00164290" w:rsidRDefault="00236E18" w:rsidP="00236E18">
      <w:pPr>
        <w:widowControl w:val="0"/>
        <w:numPr>
          <w:ilvl w:val="0"/>
          <w:numId w:val="36"/>
        </w:numPr>
        <w:tabs>
          <w:tab w:val="clear" w:pos="1174"/>
          <w:tab w:val="num" w:pos="1134"/>
        </w:tabs>
        <w:ind w:left="1134" w:hanging="567"/>
        <w:jc w:val="both"/>
        <w:rPr>
          <w:sz w:val="20"/>
          <w:lang w:val="es-ES_tradnl"/>
        </w:rPr>
      </w:pPr>
      <w:r w:rsidRPr="00164290">
        <w:rPr>
          <w:sz w:val="20"/>
          <w:lang w:val="es-ES_tradnl"/>
        </w:rPr>
        <w:t xml:space="preserve">Apoyar el proceso de la CMNUCC, sobre todo el Mecanismo de tecnología de la CMNUCC, mediante la colaboración práctica entre </w:t>
      </w:r>
      <w:r w:rsidRPr="004252B2">
        <w:rPr>
          <w:i/>
          <w:sz w:val="20"/>
          <w:lang w:val="es-ES_tradnl"/>
        </w:rPr>
        <w:t>WIPO GREEN</w:t>
      </w:r>
      <w:r>
        <w:rPr>
          <w:sz w:val="20"/>
          <w:lang w:val="es-ES_tradnl"/>
        </w:rPr>
        <w:t xml:space="preserve"> y el Centro y Red de Tecnología del Clima (CRTC) e</w:t>
      </w:r>
      <w:r w:rsidRPr="00164290">
        <w:rPr>
          <w:sz w:val="20"/>
          <w:lang w:val="es-ES_tradnl"/>
        </w:rPr>
        <w:t xml:space="preserve">n el marco de la CMNUCC;  </w:t>
      </w:r>
    </w:p>
    <w:p w:rsidR="00236E18" w:rsidRPr="00164290" w:rsidRDefault="00236E18" w:rsidP="00236E18">
      <w:pPr>
        <w:pStyle w:val="ListParagraph"/>
        <w:widowControl w:val="0"/>
        <w:tabs>
          <w:tab w:val="num" w:pos="1134"/>
        </w:tabs>
        <w:ind w:left="1134" w:hanging="567"/>
        <w:jc w:val="both"/>
        <w:rPr>
          <w:rFonts w:ascii="Arial" w:hAnsi="Arial" w:cs="Arial"/>
          <w:sz w:val="20"/>
          <w:lang w:val="es-ES_tradnl"/>
        </w:rPr>
      </w:pPr>
    </w:p>
    <w:p w:rsidR="00236E18" w:rsidRPr="00164290" w:rsidRDefault="00236E18" w:rsidP="00236E18">
      <w:pPr>
        <w:widowControl w:val="0"/>
        <w:numPr>
          <w:ilvl w:val="0"/>
          <w:numId w:val="36"/>
        </w:numPr>
        <w:tabs>
          <w:tab w:val="clear" w:pos="1174"/>
          <w:tab w:val="num" w:pos="1134"/>
        </w:tabs>
        <w:ind w:left="1134" w:hanging="567"/>
        <w:jc w:val="both"/>
        <w:rPr>
          <w:sz w:val="20"/>
          <w:lang w:val="es-ES_tradnl"/>
        </w:rPr>
      </w:pPr>
      <w:r w:rsidRPr="00164290">
        <w:rPr>
          <w:sz w:val="20"/>
          <w:lang w:val="es-ES_tradnl"/>
        </w:rPr>
        <w:t xml:space="preserve">Seguir participando en la labor trilateral efectuada por la OMPI, la OMC y la OMS sobre salud pública en el mecanismo de coordinación mundial sobre enfermedades no transmisibles;  y en la Cumbre Mundial sobre la Sociedad de la Información (CMSI + 10) y el Foro de Gobernanza de Internet sobre la brecha digital; </w:t>
      </w:r>
    </w:p>
    <w:p w:rsidR="00236E18" w:rsidRPr="00164290" w:rsidRDefault="00236E18" w:rsidP="00236E18">
      <w:pPr>
        <w:pStyle w:val="ListParagraph"/>
        <w:widowControl w:val="0"/>
        <w:tabs>
          <w:tab w:val="num" w:pos="1134"/>
        </w:tabs>
        <w:ind w:left="1134" w:hanging="567"/>
        <w:rPr>
          <w:rFonts w:ascii="Arial" w:hAnsi="Arial" w:cs="Arial"/>
          <w:bCs/>
          <w:sz w:val="20"/>
          <w:lang w:val="es-ES_tradnl"/>
        </w:rPr>
      </w:pPr>
    </w:p>
    <w:p w:rsidR="00236E18" w:rsidRPr="00164290" w:rsidRDefault="00236E18" w:rsidP="00236E18">
      <w:pPr>
        <w:widowControl w:val="0"/>
        <w:numPr>
          <w:ilvl w:val="0"/>
          <w:numId w:val="36"/>
        </w:numPr>
        <w:tabs>
          <w:tab w:val="clear" w:pos="1174"/>
          <w:tab w:val="num" w:pos="1134"/>
        </w:tabs>
        <w:ind w:left="1134" w:hanging="567"/>
        <w:jc w:val="both"/>
        <w:rPr>
          <w:bCs/>
          <w:sz w:val="20"/>
          <w:lang w:val="es-ES_tradnl"/>
        </w:rPr>
      </w:pPr>
      <w:r w:rsidRPr="00164290">
        <w:rPr>
          <w:bCs/>
          <w:sz w:val="20"/>
          <w:lang w:val="es-ES_tradnl"/>
        </w:rPr>
        <w:t xml:space="preserve">Promover los conocimientos, proyectos, programas y herramientas de la OMPI en las NN.UU. y otras OIG para lograr mayor conciencia, reconocimiento y uso de los servicios de la OMPI; </w:t>
      </w:r>
    </w:p>
    <w:p w:rsidR="00236E18" w:rsidRPr="00164290" w:rsidRDefault="00236E18" w:rsidP="00236E18">
      <w:pPr>
        <w:pStyle w:val="ListParagraph"/>
        <w:widowControl w:val="0"/>
        <w:tabs>
          <w:tab w:val="num" w:pos="1134"/>
        </w:tabs>
        <w:ind w:left="1134" w:hanging="567"/>
        <w:jc w:val="both"/>
        <w:rPr>
          <w:rFonts w:ascii="Arial" w:hAnsi="Arial" w:cs="Arial"/>
          <w:bCs/>
          <w:sz w:val="20"/>
          <w:lang w:val="es-ES_tradnl"/>
        </w:rPr>
      </w:pPr>
    </w:p>
    <w:p w:rsidR="00236E18" w:rsidRPr="00164290" w:rsidRDefault="00236E18" w:rsidP="00236E18">
      <w:pPr>
        <w:widowControl w:val="0"/>
        <w:numPr>
          <w:ilvl w:val="0"/>
          <w:numId w:val="36"/>
        </w:numPr>
        <w:tabs>
          <w:tab w:val="clear" w:pos="1174"/>
          <w:tab w:val="num" w:pos="1134"/>
        </w:tabs>
        <w:ind w:left="1134" w:hanging="567"/>
        <w:jc w:val="both"/>
        <w:rPr>
          <w:bCs/>
          <w:sz w:val="20"/>
          <w:lang w:val="es-ES_tradnl"/>
        </w:rPr>
      </w:pPr>
      <w:r w:rsidRPr="00164290">
        <w:rPr>
          <w:bCs/>
          <w:sz w:val="20"/>
          <w:lang w:val="es-ES_tradnl"/>
        </w:rPr>
        <w:t>Mejorar las actividades de divulgación destinadas a donantes y socios que brindan apoyo a los Estados miembros de la OMPI y otros programas de la Organización con el objetivo de crear asociaciones y movilizar recursos para proyectos de P.I.;  y</w:t>
      </w:r>
    </w:p>
    <w:p w:rsidR="00236E18" w:rsidRPr="00164290" w:rsidRDefault="00236E18" w:rsidP="00236E18">
      <w:pPr>
        <w:widowControl w:val="0"/>
        <w:tabs>
          <w:tab w:val="num" w:pos="1134"/>
        </w:tabs>
        <w:ind w:left="1134" w:hanging="567"/>
        <w:jc w:val="both"/>
        <w:rPr>
          <w:bCs/>
          <w:sz w:val="20"/>
          <w:lang w:val="es-ES_tradnl"/>
        </w:rPr>
      </w:pPr>
    </w:p>
    <w:p w:rsidR="00236E18" w:rsidRPr="00164290" w:rsidRDefault="00236E18" w:rsidP="00236E18">
      <w:pPr>
        <w:pStyle w:val="ListParagraph"/>
        <w:widowControl w:val="0"/>
        <w:numPr>
          <w:ilvl w:val="0"/>
          <w:numId w:val="36"/>
        </w:numPr>
        <w:tabs>
          <w:tab w:val="clear" w:pos="1174"/>
          <w:tab w:val="num" w:pos="1134"/>
        </w:tabs>
        <w:ind w:left="1134" w:hanging="567"/>
        <w:jc w:val="both"/>
        <w:rPr>
          <w:rFonts w:ascii="Arial" w:hAnsi="Arial" w:cs="Arial"/>
          <w:bCs/>
          <w:sz w:val="20"/>
          <w:lang w:val="es-ES_tradnl"/>
        </w:rPr>
      </w:pPr>
      <w:r w:rsidRPr="00164290">
        <w:rPr>
          <w:rFonts w:ascii="Arial" w:hAnsi="Arial" w:cs="Arial"/>
          <w:bCs/>
          <w:sz w:val="20"/>
          <w:lang w:val="es-ES_tradnl"/>
        </w:rPr>
        <w:t>En coordinación con otros programas, seguir estableciendo acuerdos institucionales y alianzas prácticas con partes interesadas no gubernamentales para aprovechar la capacidad y la experiencia de estas partes en la promoción de los objetivos de la OMPI, y para aumentar su participación en las actividades de la OMPI.</w:t>
      </w:r>
    </w:p>
    <w:p w:rsidR="00236E18" w:rsidRDefault="00236E18" w:rsidP="00236E18">
      <w:pPr>
        <w:widowControl w:val="0"/>
        <w:tabs>
          <w:tab w:val="num" w:pos="540"/>
        </w:tabs>
        <w:jc w:val="both"/>
        <w:rPr>
          <w:bCs/>
          <w:sz w:val="20"/>
          <w:lang w:val="es-ES_tradnl"/>
        </w:rPr>
      </w:pPr>
    </w:p>
    <w:p w:rsidR="00236E18" w:rsidRPr="00A750F3" w:rsidRDefault="00236E18" w:rsidP="00236E18">
      <w:pPr>
        <w:widowControl w:val="0"/>
        <w:jc w:val="both"/>
        <w:rPr>
          <w:bCs/>
          <w:sz w:val="20"/>
          <w:u w:val="single"/>
          <w:lang w:val="es-ES_tradnl"/>
        </w:rPr>
      </w:pPr>
      <w:r w:rsidRPr="00A750F3">
        <w:rPr>
          <w:bCs/>
          <w:sz w:val="20"/>
          <w:u w:val="single"/>
          <w:lang w:val="es-ES_tradnl"/>
        </w:rPr>
        <w:t xml:space="preserve">Oficina de Coordinación de la OMPI ante las Naciones Unidas en Nueva York </w:t>
      </w:r>
    </w:p>
    <w:p w:rsidR="00236E18" w:rsidRPr="00A750F3" w:rsidRDefault="00236E18" w:rsidP="00236E18">
      <w:pPr>
        <w:widowControl w:val="0"/>
        <w:jc w:val="both"/>
        <w:rPr>
          <w:bCs/>
          <w:sz w:val="20"/>
          <w:lang w:val="es-ES_tradnl"/>
        </w:rPr>
      </w:pPr>
    </w:p>
    <w:p w:rsidR="00236E18" w:rsidRPr="00A750F3" w:rsidRDefault="00236E18" w:rsidP="00236E18">
      <w:pPr>
        <w:widowControl w:val="0"/>
        <w:numPr>
          <w:ilvl w:val="0"/>
          <w:numId w:val="35"/>
        </w:numPr>
        <w:jc w:val="both"/>
        <w:rPr>
          <w:sz w:val="20"/>
          <w:lang w:val="es-ES_tradnl"/>
        </w:rPr>
      </w:pPr>
      <w:r w:rsidRPr="00A750F3">
        <w:rPr>
          <w:sz w:val="20"/>
          <w:lang w:val="es-ES_tradnl"/>
        </w:rPr>
        <w:t xml:space="preserve">La Oficina de la OMPI de Nueva York garantiza la coordinación entre la sede de la OMPI en Ginebra y las NN.UU. y sus partes interesadas en Nueva York.  La Oficina de la OMPI de Nueva York participa en una amplia gama de procesos intergubernamentales y entablados por la sociedad civil en Nueva York para contribuir a un debate equilibrado en materia de P.I., y para proporcionar información y análisis sobre cuestiones de P.I. en la comunidad diplomática y el sistema de las NN.UU.  En estrecha colaboración con diversos programas de la OMPI, la Oficina participa en actividades de divulgación y sesiones informativas destinadas a la comunidad diplomática de las NN.UU. para transmitir una idea más clara del trabajo de la OMPI, promover los tratados, procesos, servicios y plataformas de la Organización, y presentar informes y documentos en los foros de Nueva York.  </w:t>
      </w:r>
      <w:r>
        <w:rPr>
          <w:sz w:val="20"/>
          <w:lang w:val="es-ES_tradnl"/>
        </w:rPr>
        <w:t>Aunque se ha decidido continuar en el bienio 2016/17 el actual modelo de funcionamiento de la Oficina de Coordinación de la OMPI ante las NN.UU. en Nueva York, la Secretaría seguirá buscando la forma de lograr una mayor eficiencia en su funcionamiento</w:t>
      </w:r>
      <w:r w:rsidRPr="00A750F3">
        <w:rPr>
          <w:sz w:val="20"/>
          <w:lang w:val="es-ES_tradnl"/>
        </w:rPr>
        <w:t>.</w:t>
      </w:r>
    </w:p>
    <w:p w:rsidR="00236E18" w:rsidRDefault="00236E18" w:rsidP="00236E18">
      <w:pPr>
        <w:widowControl w:val="0"/>
        <w:tabs>
          <w:tab w:val="num" w:pos="540"/>
        </w:tabs>
        <w:ind w:left="540" w:hanging="360"/>
        <w:jc w:val="both"/>
        <w:rPr>
          <w:bCs/>
          <w:sz w:val="20"/>
          <w:lang w:val="es-ES_tradnl"/>
        </w:rPr>
      </w:pPr>
    </w:p>
    <w:p w:rsidR="00236E18" w:rsidRPr="00164290" w:rsidRDefault="00236E18" w:rsidP="00236E18">
      <w:pPr>
        <w:widowControl w:val="0"/>
        <w:tabs>
          <w:tab w:val="num" w:pos="540"/>
        </w:tabs>
        <w:ind w:left="540" w:hanging="360"/>
        <w:jc w:val="both"/>
        <w:rPr>
          <w:bCs/>
          <w:sz w:val="20"/>
          <w:lang w:val="es-ES_tradnl"/>
        </w:rPr>
      </w:pPr>
      <w:r w:rsidRPr="00164290">
        <w:rPr>
          <w:noProof/>
          <w:lang w:val="en-US" w:eastAsia="en-US"/>
        </w:rPr>
        <w:lastRenderedPageBreak/>
        <w:drawing>
          <wp:anchor distT="0" distB="0" distL="114300" distR="114300" simplePos="0" relativeHeight="251662336" behindDoc="0" locked="0" layoutInCell="1" allowOverlap="1" wp14:anchorId="7F7A725A" wp14:editId="1781EBFF">
            <wp:simplePos x="0" y="0"/>
            <wp:positionH relativeFrom="column">
              <wp:posOffset>151765</wp:posOffset>
            </wp:positionH>
            <wp:positionV relativeFrom="paragraph">
              <wp:posOffset>266700</wp:posOffset>
            </wp:positionV>
            <wp:extent cx="5762625" cy="2625725"/>
            <wp:effectExtent l="0" t="57150" r="0" b="0"/>
            <wp:wrapTopAndBottom/>
            <wp:docPr id="41"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0" r:lo="rId181" r:qs="rId182" r:cs="rId183"/>
              </a:graphicData>
            </a:graphic>
            <wp14:sizeRelH relativeFrom="page">
              <wp14:pctWidth>0</wp14:pctWidth>
            </wp14:sizeRelH>
            <wp14:sizeRelV relativeFrom="page">
              <wp14:pctHeight>0</wp14:pctHeight>
            </wp14:sizeRelV>
          </wp:anchor>
        </w:drawing>
      </w:r>
    </w:p>
    <w:p w:rsidR="00236E18" w:rsidRPr="00164290" w:rsidRDefault="00236E18" w:rsidP="00236E18">
      <w:pPr>
        <w:widowControl w:val="0"/>
        <w:tabs>
          <w:tab w:val="num" w:pos="540"/>
        </w:tabs>
        <w:jc w:val="both"/>
        <w:rPr>
          <w:bCs/>
          <w:sz w:val="20"/>
          <w:lang w:val="es-ES_tradnl"/>
        </w:rPr>
      </w:pPr>
    </w:p>
    <w:p w:rsidR="00236E18" w:rsidRPr="00164290" w:rsidRDefault="00236E18" w:rsidP="00236E18">
      <w:pPr>
        <w:widowControl w:val="0"/>
        <w:tabs>
          <w:tab w:val="num" w:pos="540"/>
        </w:tabs>
        <w:jc w:val="both"/>
        <w:rPr>
          <w:bCs/>
          <w:sz w:val="20"/>
          <w:lang w:val="es-ES_tradnl"/>
        </w:rPr>
      </w:pPr>
    </w:p>
    <w:p w:rsidR="00236E18" w:rsidRPr="00164290" w:rsidRDefault="00236E18" w:rsidP="00236E18">
      <w:pPr>
        <w:widowControl w:val="0"/>
        <w:rPr>
          <w:lang w:val="es-ES_tradnl"/>
        </w:rPr>
      </w:pPr>
      <w:r w:rsidRPr="00164290">
        <w:rPr>
          <w:lang w:val="es-ES_tradnl"/>
        </w:rPr>
        <w:t>PRINCIPALES RIESG</w:t>
      </w:r>
      <w:r>
        <w:rPr>
          <w:lang w:val="es-ES_tradnl"/>
        </w:rPr>
        <w:t>OS Y ESTRATEGIAS DE MITIGACIÓN</w:t>
      </w:r>
    </w:p>
    <w:p w:rsidR="00236E18" w:rsidRPr="00164290" w:rsidRDefault="00236E18" w:rsidP="00236E18">
      <w:pPr>
        <w:widowControl w:val="0"/>
        <w:rPr>
          <w:szCs w:val="22"/>
          <w:lang w:val="es-ES_tradnl"/>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236E18" w:rsidRPr="00164290" w:rsidTr="00294272">
        <w:trPr>
          <w:trHeight w:val="577"/>
        </w:trPr>
        <w:tc>
          <w:tcPr>
            <w:tcW w:w="4111" w:type="dxa"/>
            <w:tcBorders>
              <w:top w:val="single" w:sz="4" w:space="0" w:color="auto"/>
              <w:bottom w:val="single" w:sz="4" w:space="0" w:color="auto"/>
            </w:tcBorders>
            <w:shd w:val="clear" w:color="auto" w:fill="B8CCE4" w:themeFill="accent1" w:themeFillTint="66"/>
            <w:vAlign w:val="center"/>
          </w:tcPr>
          <w:p w:rsidR="00236E18" w:rsidRPr="00164290" w:rsidRDefault="00236E18" w:rsidP="00294272">
            <w:pPr>
              <w:widowControl w:val="0"/>
              <w:jc w:val="center"/>
              <w:rPr>
                <w:b/>
                <w:bCs/>
                <w:sz w:val="18"/>
                <w:szCs w:val="18"/>
                <w:lang w:val="es-ES_tradnl"/>
              </w:rPr>
            </w:pPr>
            <w:r w:rsidRPr="00164290">
              <w:rPr>
                <w:b/>
                <w:bCs/>
                <w:sz w:val="18"/>
                <w:szCs w:val="18"/>
                <w:lang w:val="es-ES_tradnl"/>
              </w:rPr>
              <w:t>Riesgo</w:t>
            </w:r>
          </w:p>
        </w:tc>
        <w:tc>
          <w:tcPr>
            <w:tcW w:w="5103" w:type="dxa"/>
            <w:tcBorders>
              <w:top w:val="single" w:sz="4" w:space="0" w:color="auto"/>
              <w:bottom w:val="single" w:sz="4" w:space="0" w:color="auto"/>
            </w:tcBorders>
            <w:shd w:val="clear" w:color="auto" w:fill="B8CCE4" w:themeFill="accent1" w:themeFillTint="66"/>
            <w:vAlign w:val="center"/>
          </w:tcPr>
          <w:p w:rsidR="00236E18" w:rsidRPr="00164290" w:rsidRDefault="00236E18" w:rsidP="00294272">
            <w:pPr>
              <w:widowControl w:val="0"/>
              <w:jc w:val="center"/>
              <w:rPr>
                <w:b/>
                <w:bCs/>
                <w:sz w:val="18"/>
                <w:szCs w:val="18"/>
                <w:lang w:val="es-ES_tradnl"/>
              </w:rPr>
            </w:pPr>
            <w:r w:rsidRPr="00164290">
              <w:rPr>
                <w:b/>
                <w:bCs/>
                <w:sz w:val="18"/>
                <w:szCs w:val="18"/>
                <w:lang w:val="es-ES_tradnl"/>
              </w:rPr>
              <w:t>Mitigación</w:t>
            </w:r>
          </w:p>
        </w:tc>
      </w:tr>
      <w:tr w:rsidR="00236E18" w:rsidRPr="00164290" w:rsidTr="00294272">
        <w:trPr>
          <w:trHeight w:val="1164"/>
        </w:trPr>
        <w:tc>
          <w:tcPr>
            <w:tcW w:w="4111" w:type="dxa"/>
            <w:tcBorders>
              <w:top w:val="single" w:sz="4" w:space="0" w:color="auto"/>
            </w:tcBorders>
            <w:shd w:val="clear" w:color="auto" w:fill="auto"/>
            <w:tcMar>
              <w:top w:w="72" w:type="dxa"/>
              <w:left w:w="72" w:type="dxa"/>
              <w:bottom w:w="72" w:type="dxa"/>
              <w:right w:w="72" w:type="dxa"/>
            </w:tcMar>
          </w:tcPr>
          <w:p w:rsidR="00236E18" w:rsidRPr="00164290" w:rsidRDefault="00236E18" w:rsidP="00294272">
            <w:pPr>
              <w:widowControl w:val="0"/>
              <w:rPr>
                <w:sz w:val="16"/>
                <w:szCs w:val="16"/>
                <w:lang w:val="es-ES_tradnl"/>
              </w:rPr>
            </w:pPr>
            <w:r w:rsidRPr="00164290">
              <w:rPr>
                <w:sz w:val="16"/>
                <w:szCs w:val="16"/>
                <w:lang w:val="es-ES_tradnl"/>
              </w:rPr>
              <w:t xml:space="preserve">Las decisiones o medidas adoptadas a nivel internacional en el marco de los procesos de las NN.UU. y de otras OIG son perjudiciales para el sistema internacional de P.I. </w:t>
            </w:r>
          </w:p>
        </w:tc>
        <w:tc>
          <w:tcPr>
            <w:tcW w:w="5103" w:type="dxa"/>
            <w:tcBorders>
              <w:top w:val="single" w:sz="4" w:space="0" w:color="auto"/>
            </w:tcBorders>
            <w:shd w:val="clear" w:color="auto" w:fill="auto"/>
            <w:tcMar>
              <w:top w:w="72" w:type="dxa"/>
              <w:left w:w="72" w:type="dxa"/>
              <w:bottom w:w="72" w:type="dxa"/>
              <w:right w:w="72" w:type="dxa"/>
            </w:tcMar>
          </w:tcPr>
          <w:p w:rsidR="00236E18" w:rsidRPr="00164290" w:rsidRDefault="00236E18" w:rsidP="00294272">
            <w:pPr>
              <w:widowControl w:val="0"/>
              <w:ind w:left="87"/>
              <w:rPr>
                <w:sz w:val="16"/>
                <w:szCs w:val="16"/>
                <w:lang w:val="es-ES_tradnl"/>
              </w:rPr>
            </w:pPr>
            <w:r w:rsidRPr="00164290">
              <w:rPr>
                <w:sz w:val="16"/>
                <w:szCs w:val="16"/>
                <w:lang w:val="es-ES_tradnl"/>
              </w:rPr>
              <w:t>Participar activamente en procesos importantes de las NN.UU. y garantizar una red de contactos eficaz dentro de la Secretaría y las Misiones Permanentes de las NN.UU.</w:t>
            </w:r>
          </w:p>
          <w:p w:rsidR="00236E18" w:rsidRPr="00164290" w:rsidRDefault="00236E18" w:rsidP="00294272">
            <w:pPr>
              <w:widowControl w:val="0"/>
              <w:ind w:left="87"/>
              <w:rPr>
                <w:sz w:val="16"/>
                <w:szCs w:val="16"/>
                <w:lang w:val="es-ES_tradnl"/>
              </w:rPr>
            </w:pPr>
          </w:p>
          <w:p w:rsidR="00236E18" w:rsidRPr="00164290" w:rsidRDefault="00236E18" w:rsidP="00294272">
            <w:pPr>
              <w:widowControl w:val="0"/>
              <w:ind w:left="87"/>
              <w:rPr>
                <w:sz w:val="16"/>
                <w:szCs w:val="16"/>
                <w:lang w:val="es-ES_tradnl"/>
              </w:rPr>
            </w:pPr>
            <w:r w:rsidRPr="00164290">
              <w:rPr>
                <w:sz w:val="16"/>
                <w:szCs w:val="16"/>
                <w:lang w:val="es-ES_tradnl"/>
              </w:rPr>
              <w:t xml:space="preserve">Respaldar una perspectiva de P.I. equilibrada e integradora mediante la creación de un espacio donde las partes interesadas de la OMPI (ONG y empresas) puedan expresar su opinión acerca de la labor de la Organización. </w:t>
            </w:r>
          </w:p>
        </w:tc>
      </w:tr>
    </w:tbl>
    <w:p w:rsidR="00236E18" w:rsidRPr="00164290" w:rsidRDefault="00236E18" w:rsidP="00236E18">
      <w:pPr>
        <w:widowControl w:val="0"/>
        <w:rPr>
          <w:szCs w:val="22"/>
          <w:lang w:val="es-ES_tradnl"/>
        </w:rPr>
      </w:pPr>
    </w:p>
    <w:p w:rsidR="00236E18" w:rsidRPr="00164290" w:rsidRDefault="00236E18" w:rsidP="00236E18">
      <w:pPr>
        <w:widowControl w:val="0"/>
        <w:rPr>
          <w:szCs w:val="22"/>
          <w:lang w:val="es-ES_tradnl"/>
        </w:rPr>
      </w:pPr>
    </w:p>
    <w:p w:rsidR="00236E18" w:rsidRPr="00164290" w:rsidRDefault="00236E18" w:rsidP="00236E18">
      <w:pPr>
        <w:widowControl w:val="0"/>
        <w:rPr>
          <w:szCs w:val="22"/>
          <w:lang w:val="es-ES_tradnl"/>
        </w:rPr>
      </w:pPr>
      <w:r w:rsidRPr="00164290">
        <w:rPr>
          <w:szCs w:val="22"/>
          <w:lang w:val="es-ES_tradnl"/>
        </w:rPr>
        <w:t>MARCO DE RESULTADOS</w:t>
      </w:r>
    </w:p>
    <w:p w:rsidR="00236E18" w:rsidRPr="00164290" w:rsidRDefault="00236E18" w:rsidP="00236E18">
      <w:pPr>
        <w:widowControl w:val="0"/>
        <w:rPr>
          <w:szCs w:val="22"/>
          <w:lang w:val="es-ES_tradnl"/>
        </w:rPr>
      </w:pPr>
    </w:p>
    <w:tbl>
      <w:tblPr>
        <w:tblW w:w="9195" w:type="dxa"/>
        <w:tblInd w:w="93" w:type="dxa"/>
        <w:tblLook w:val="04A0" w:firstRow="1" w:lastRow="0" w:firstColumn="1" w:lastColumn="0" w:noHBand="0" w:noVBand="1"/>
      </w:tblPr>
      <w:tblGrid>
        <w:gridCol w:w="2160"/>
        <w:gridCol w:w="2880"/>
        <w:gridCol w:w="2840"/>
        <w:gridCol w:w="1315"/>
      </w:tblGrid>
      <w:tr w:rsidR="00236E18" w:rsidRPr="00164290" w:rsidTr="00294272">
        <w:trPr>
          <w:trHeight w:val="570"/>
        </w:trPr>
        <w:tc>
          <w:tcPr>
            <w:tcW w:w="2160" w:type="dxa"/>
            <w:tcBorders>
              <w:top w:val="single" w:sz="4" w:space="0" w:color="auto"/>
              <w:left w:val="single" w:sz="4" w:space="0" w:color="auto"/>
              <w:bottom w:val="single" w:sz="4" w:space="0" w:color="auto"/>
              <w:right w:val="nil"/>
            </w:tcBorders>
            <w:shd w:val="clear" w:color="auto" w:fill="B8CCE4" w:themeFill="accent1" w:themeFillTint="66"/>
            <w:noWrap/>
            <w:vAlign w:val="center"/>
            <w:hideMark/>
          </w:tcPr>
          <w:p w:rsidR="00236E18" w:rsidRPr="00164290" w:rsidRDefault="00236E18" w:rsidP="00294272">
            <w:pPr>
              <w:widowControl w:val="0"/>
              <w:jc w:val="center"/>
              <w:rPr>
                <w:b/>
                <w:bCs/>
                <w:sz w:val="18"/>
                <w:szCs w:val="18"/>
                <w:lang w:val="es-ES_tradnl"/>
              </w:rPr>
            </w:pPr>
            <w:r w:rsidRPr="00164290">
              <w:rPr>
                <w:b/>
                <w:bCs/>
                <w:sz w:val="18"/>
                <w:szCs w:val="18"/>
                <w:lang w:val="es-ES_tradnl"/>
              </w:rPr>
              <w:t xml:space="preserve">Resultados previstos </w:t>
            </w:r>
          </w:p>
        </w:tc>
        <w:tc>
          <w:tcPr>
            <w:tcW w:w="2880" w:type="dxa"/>
            <w:tcBorders>
              <w:top w:val="single" w:sz="4" w:space="0" w:color="auto"/>
              <w:left w:val="nil"/>
              <w:bottom w:val="single" w:sz="4" w:space="0" w:color="auto"/>
              <w:right w:val="nil"/>
            </w:tcBorders>
            <w:shd w:val="clear" w:color="auto" w:fill="B8CCE4" w:themeFill="accent1" w:themeFillTint="66"/>
            <w:noWrap/>
            <w:vAlign w:val="center"/>
            <w:hideMark/>
          </w:tcPr>
          <w:p w:rsidR="00236E18" w:rsidRPr="00164290" w:rsidRDefault="00236E18" w:rsidP="00294272">
            <w:pPr>
              <w:widowControl w:val="0"/>
              <w:jc w:val="center"/>
              <w:rPr>
                <w:b/>
                <w:bCs/>
                <w:sz w:val="18"/>
                <w:szCs w:val="18"/>
                <w:lang w:val="es-ES_tradnl"/>
              </w:rPr>
            </w:pPr>
            <w:r w:rsidRPr="00164290">
              <w:rPr>
                <w:b/>
                <w:bCs/>
                <w:sz w:val="18"/>
                <w:szCs w:val="18"/>
                <w:lang w:val="es-ES_tradnl"/>
              </w:rPr>
              <w:t>Indicadores de rendimiento</w:t>
            </w:r>
          </w:p>
        </w:tc>
        <w:tc>
          <w:tcPr>
            <w:tcW w:w="2840" w:type="dxa"/>
            <w:tcBorders>
              <w:top w:val="single" w:sz="4" w:space="0" w:color="auto"/>
              <w:left w:val="nil"/>
              <w:bottom w:val="single" w:sz="4" w:space="0" w:color="auto"/>
              <w:right w:val="nil"/>
            </w:tcBorders>
            <w:shd w:val="clear" w:color="auto" w:fill="B8CCE4" w:themeFill="accent1" w:themeFillTint="66"/>
            <w:noWrap/>
            <w:vAlign w:val="center"/>
            <w:hideMark/>
          </w:tcPr>
          <w:p w:rsidR="00236E18" w:rsidRPr="00164290" w:rsidRDefault="00236E18" w:rsidP="00294272">
            <w:pPr>
              <w:widowControl w:val="0"/>
              <w:jc w:val="center"/>
              <w:rPr>
                <w:b/>
                <w:bCs/>
                <w:sz w:val="18"/>
                <w:szCs w:val="18"/>
                <w:lang w:val="es-ES_tradnl"/>
              </w:rPr>
            </w:pPr>
            <w:r w:rsidRPr="00164290">
              <w:rPr>
                <w:b/>
                <w:bCs/>
                <w:sz w:val="18"/>
                <w:szCs w:val="18"/>
                <w:lang w:val="es-ES_tradnl"/>
              </w:rPr>
              <w:t xml:space="preserve"> Referencia</w:t>
            </w:r>
          </w:p>
        </w:tc>
        <w:tc>
          <w:tcPr>
            <w:tcW w:w="1315"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236E18" w:rsidRPr="00164290" w:rsidRDefault="00236E18" w:rsidP="00294272">
            <w:pPr>
              <w:widowControl w:val="0"/>
              <w:jc w:val="center"/>
              <w:rPr>
                <w:b/>
                <w:bCs/>
                <w:sz w:val="18"/>
                <w:szCs w:val="18"/>
                <w:lang w:val="es-ES_tradnl"/>
              </w:rPr>
            </w:pPr>
            <w:r w:rsidRPr="00164290">
              <w:rPr>
                <w:b/>
                <w:bCs/>
                <w:sz w:val="18"/>
                <w:szCs w:val="18"/>
                <w:lang w:val="es-ES_tradnl"/>
              </w:rPr>
              <w:t xml:space="preserve"> Objetivos</w:t>
            </w:r>
          </w:p>
        </w:tc>
      </w:tr>
      <w:tr w:rsidR="00236E18" w:rsidRPr="00164290" w:rsidTr="00294272">
        <w:trPr>
          <w:trHeight w:val="1079"/>
        </w:trPr>
        <w:tc>
          <w:tcPr>
            <w:tcW w:w="2160" w:type="dxa"/>
            <w:vMerge w:val="restart"/>
            <w:tcBorders>
              <w:top w:val="nil"/>
              <w:left w:val="single" w:sz="4" w:space="0" w:color="auto"/>
              <w:bottom w:val="single" w:sz="4" w:space="0" w:color="000000"/>
              <w:right w:val="nil"/>
            </w:tcBorders>
            <w:shd w:val="clear" w:color="000000" w:fill="FFFFFF"/>
            <w:hideMark/>
          </w:tcPr>
          <w:p w:rsidR="00236E18" w:rsidRPr="00164290" w:rsidRDefault="00236E18" w:rsidP="00294272">
            <w:pPr>
              <w:widowControl w:val="0"/>
              <w:rPr>
                <w:sz w:val="16"/>
                <w:szCs w:val="16"/>
                <w:lang w:val="es-ES_tradnl"/>
              </w:rPr>
            </w:pPr>
            <w:r>
              <w:rPr>
                <w:sz w:val="16"/>
                <w:szCs w:val="16"/>
                <w:lang w:val="es-ES_tradnl"/>
              </w:rPr>
              <w:br/>
              <w:t xml:space="preserve">VIII.5  </w:t>
            </w:r>
            <w:r w:rsidRPr="00F77CA1">
              <w:rPr>
                <w:sz w:val="16"/>
                <w:szCs w:val="16"/>
                <w:lang w:val="es-ES_tradnl"/>
              </w:rPr>
              <w:t>La OMPI participa y colabora eficazmente en los procesos y negociaciones de las NN.UU. y otras OIG</w:t>
            </w:r>
          </w:p>
        </w:tc>
        <w:tc>
          <w:tcPr>
            <w:tcW w:w="2880" w:type="dxa"/>
            <w:tcBorders>
              <w:top w:val="nil"/>
              <w:left w:val="nil"/>
              <w:bottom w:val="nil"/>
              <w:right w:val="nil"/>
            </w:tcBorders>
            <w:shd w:val="clear" w:color="000000" w:fill="FFFFFF"/>
            <w:hideMark/>
          </w:tcPr>
          <w:p w:rsidR="00236E18" w:rsidRDefault="00236E18" w:rsidP="00294272">
            <w:pPr>
              <w:widowControl w:val="0"/>
              <w:rPr>
                <w:sz w:val="16"/>
                <w:szCs w:val="16"/>
                <w:lang w:val="es-ES_tradnl"/>
              </w:rPr>
            </w:pPr>
            <w:r>
              <w:rPr>
                <w:sz w:val="16"/>
                <w:szCs w:val="16"/>
                <w:lang w:val="es-ES_tradnl"/>
              </w:rPr>
              <w:br/>
            </w:r>
            <w:r w:rsidRPr="00164290">
              <w:rPr>
                <w:sz w:val="16"/>
                <w:szCs w:val="16"/>
                <w:lang w:val="es-ES_tradnl"/>
              </w:rPr>
              <w:t>Las contribuciones de la OMPI quedan reflejadas en informes, resoluciones y documentos de procesos relevantes de las NN.UU. y otras OIG.</w:t>
            </w:r>
          </w:p>
          <w:p w:rsidR="00236E18" w:rsidRPr="00164290" w:rsidRDefault="00236E18" w:rsidP="00294272">
            <w:pPr>
              <w:widowControl w:val="0"/>
              <w:rPr>
                <w:sz w:val="16"/>
                <w:szCs w:val="16"/>
                <w:lang w:val="es-ES_tradnl"/>
              </w:rPr>
            </w:pPr>
          </w:p>
        </w:tc>
        <w:tc>
          <w:tcPr>
            <w:tcW w:w="2840" w:type="dxa"/>
            <w:tcBorders>
              <w:top w:val="nil"/>
              <w:left w:val="nil"/>
              <w:bottom w:val="nil"/>
              <w:right w:val="nil"/>
            </w:tcBorders>
            <w:shd w:val="clear" w:color="000000" w:fill="FFFFFF"/>
            <w:hideMark/>
          </w:tcPr>
          <w:p w:rsidR="00236E18" w:rsidRPr="00164290" w:rsidRDefault="00236E18" w:rsidP="00294272">
            <w:pPr>
              <w:widowControl w:val="0"/>
              <w:ind w:left="87" w:firstLineChars="200" w:firstLine="320"/>
              <w:rPr>
                <w:sz w:val="16"/>
                <w:szCs w:val="16"/>
                <w:lang w:val="es-ES_tradnl"/>
              </w:rPr>
            </w:pPr>
            <w:r w:rsidRPr="00164290">
              <w:rPr>
                <w:sz w:val="16"/>
                <w:szCs w:val="16"/>
                <w:lang w:val="es-ES_tradnl"/>
              </w:rPr>
              <w:t xml:space="preserve"> </w:t>
            </w:r>
            <w:r w:rsidRPr="00164290">
              <w:rPr>
                <w:sz w:val="16"/>
                <w:szCs w:val="16"/>
                <w:lang w:val="es-ES_tradnl"/>
              </w:rPr>
              <w:br/>
              <w:t xml:space="preserve">2012/13 – 38 de 38; </w:t>
            </w:r>
          </w:p>
          <w:p w:rsidR="00236E18" w:rsidRPr="00164290" w:rsidRDefault="00236E18" w:rsidP="00294272">
            <w:pPr>
              <w:widowControl w:val="0"/>
              <w:ind w:left="87"/>
              <w:rPr>
                <w:sz w:val="16"/>
                <w:szCs w:val="16"/>
                <w:lang w:val="es-ES_tradnl"/>
              </w:rPr>
            </w:pPr>
            <w:r w:rsidRPr="00164290">
              <w:rPr>
                <w:sz w:val="16"/>
                <w:szCs w:val="16"/>
                <w:lang w:val="es-ES_tradnl"/>
              </w:rPr>
              <w:t>2014 12 de 15, 3 en curso.</w:t>
            </w:r>
          </w:p>
        </w:tc>
        <w:tc>
          <w:tcPr>
            <w:tcW w:w="1315" w:type="dxa"/>
            <w:tcBorders>
              <w:top w:val="nil"/>
              <w:left w:val="nil"/>
              <w:bottom w:val="nil"/>
              <w:right w:val="single" w:sz="4" w:space="0" w:color="auto"/>
            </w:tcBorders>
            <w:shd w:val="clear" w:color="000000" w:fill="FFFFFF"/>
            <w:hideMark/>
          </w:tcPr>
          <w:p w:rsidR="00236E18" w:rsidRPr="00164290" w:rsidRDefault="00236E18" w:rsidP="00294272">
            <w:pPr>
              <w:widowControl w:val="0"/>
              <w:rPr>
                <w:sz w:val="16"/>
                <w:szCs w:val="16"/>
                <w:lang w:val="es-ES_tradnl"/>
              </w:rPr>
            </w:pPr>
            <w:r w:rsidRPr="00164290">
              <w:rPr>
                <w:sz w:val="16"/>
                <w:szCs w:val="16"/>
                <w:lang w:val="es-ES_tradnl"/>
              </w:rPr>
              <w:br/>
              <w:t xml:space="preserve"> 80%</w:t>
            </w:r>
          </w:p>
        </w:tc>
      </w:tr>
      <w:tr w:rsidR="00236E18" w:rsidRPr="00164290" w:rsidTr="00294272">
        <w:trPr>
          <w:trHeight w:val="593"/>
        </w:trPr>
        <w:tc>
          <w:tcPr>
            <w:tcW w:w="2160" w:type="dxa"/>
            <w:vMerge/>
            <w:tcBorders>
              <w:top w:val="nil"/>
              <w:left w:val="single" w:sz="4" w:space="0" w:color="auto"/>
              <w:bottom w:val="single" w:sz="4" w:space="0" w:color="000000"/>
              <w:right w:val="nil"/>
            </w:tcBorders>
            <w:vAlign w:val="center"/>
            <w:hideMark/>
          </w:tcPr>
          <w:p w:rsidR="00236E18" w:rsidRPr="00164290" w:rsidRDefault="00236E18" w:rsidP="00294272">
            <w:pPr>
              <w:widowControl w:val="0"/>
              <w:rPr>
                <w:sz w:val="16"/>
                <w:szCs w:val="16"/>
                <w:lang w:val="es-ES_tradnl"/>
              </w:rPr>
            </w:pPr>
          </w:p>
        </w:tc>
        <w:tc>
          <w:tcPr>
            <w:tcW w:w="2880" w:type="dxa"/>
            <w:tcBorders>
              <w:top w:val="nil"/>
              <w:left w:val="nil"/>
              <w:bottom w:val="nil"/>
              <w:right w:val="nil"/>
            </w:tcBorders>
            <w:shd w:val="clear" w:color="000000" w:fill="FFFFFF"/>
            <w:hideMark/>
          </w:tcPr>
          <w:p w:rsidR="00236E18" w:rsidRPr="00164290" w:rsidRDefault="00236E18" w:rsidP="00294272">
            <w:pPr>
              <w:widowControl w:val="0"/>
              <w:rPr>
                <w:sz w:val="16"/>
                <w:szCs w:val="16"/>
                <w:lang w:val="es-ES_tradnl"/>
              </w:rPr>
            </w:pPr>
            <w:r w:rsidRPr="00164290">
              <w:rPr>
                <w:sz w:val="16"/>
                <w:szCs w:val="16"/>
                <w:lang w:val="es-ES_tradnl"/>
              </w:rPr>
              <w:t>N</w:t>
            </w:r>
            <w:r>
              <w:rPr>
                <w:sz w:val="16"/>
                <w:szCs w:val="16"/>
                <w:lang w:val="es-ES_tradnl"/>
              </w:rPr>
              <w:t>º</w:t>
            </w:r>
            <w:r w:rsidRPr="00164290">
              <w:rPr>
                <w:sz w:val="16"/>
                <w:szCs w:val="16"/>
                <w:lang w:val="es-ES_tradnl"/>
              </w:rPr>
              <w:t xml:space="preserve"> de iniciativas de la OMPI en colaboración con las NN.UU. y otras OIG para conseguir los ODS.</w:t>
            </w:r>
          </w:p>
        </w:tc>
        <w:tc>
          <w:tcPr>
            <w:tcW w:w="2840" w:type="dxa"/>
            <w:tcBorders>
              <w:top w:val="nil"/>
              <w:left w:val="nil"/>
              <w:bottom w:val="nil"/>
              <w:right w:val="nil"/>
            </w:tcBorders>
            <w:shd w:val="clear" w:color="000000" w:fill="FFFFFF"/>
            <w:hideMark/>
          </w:tcPr>
          <w:p w:rsidR="00236E18" w:rsidRPr="00164290" w:rsidRDefault="00236E18" w:rsidP="00294272">
            <w:pPr>
              <w:widowControl w:val="0"/>
              <w:ind w:left="87"/>
              <w:rPr>
                <w:sz w:val="16"/>
                <w:szCs w:val="16"/>
                <w:lang w:val="es-ES_tradnl"/>
              </w:rPr>
            </w:pPr>
            <w:r w:rsidRPr="00164290">
              <w:rPr>
                <w:sz w:val="16"/>
                <w:szCs w:val="16"/>
                <w:lang w:val="es-ES_tradnl"/>
              </w:rPr>
              <w:t>Ninguna.</w:t>
            </w:r>
          </w:p>
        </w:tc>
        <w:tc>
          <w:tcPr>
            <w:tcW w:w="1315" w:type="dxa"/>
            <w:tcBorders>
              <w:top w:val="nil"/>
              <w:left w:val="nil"/>
              <w:bottom w:val="nil"/>
              <w:right w:val="single" w:sz="4" w:space="0" w:color="auto"/>
            </w:tcBorders>
            <w:shd w:val="clear" w:color="000000" w:fill="FFFFFF"/>
            <w:hideMark/>
          </w:tcPr>
          <w:p w:rsidR="00236E18" w:rsidRPr="00164290" w:rsidRDefault="00236E18" w:rsidP="00294272">
            <w:pPr>
              <w:widowControl w:val="0"/>
              <w:rPr>
                <w:sz w:val="16"/>
                <w:szCs w:val="16"/>
                <w:lang w:val="es-ES_tradnl"/>
              </w:rPr>
            </w:pPr>
            <w:r w:rsidRPr="00164290">
              <w:rPr>
                <w:sz w:val="16"/>
                <w:szCs w:val="16"/>
                <w:lang w:val="es-ES_tradnl"/>
              </w:rPr>
              <w:t>5</w:t>
            </w:r>
          </w:p>
        </w:tc>
      </w:tr>
      <w:tr w:rsidR="00236E18" w:rsidRPr="00164290" w:rsidTr="00294272">
        <w:trPr>
          <w:trHeight w:val="56"/>
        </w:trPr>
        <w:tc>
          <w:tcPr>
            <w:tcW w:w="2160" w:type="dxa"/>
            <w:vMerge/>
            <w:tcBorders>
              <w:top w:val="nil"/>
              <w:left w:val="single" w:sz="4" w:space="0" w:color="auto"/>
              <w:bottom w:val="single" w:sz="4" w:space="0" w:color="000000"/>
              <w:right w:val="nil"/>
            </w:tcBorders>
            <w:vAlign w:val="center"/>
            <w:hideMark/>
          </w:tcPr>
          <w:p w:rsidR="00236E18" w:rsidRPr="00164290" w:rsidRDefault="00236E18" w:rsidP="00294272">
            <w:pPr>
              <w:widowControl w:val="0"/>
              <w:rPr>
                <w:sz w:val="16"/>
                <w:szCs w:val="16"/>
                <w:lang w:val="es-ES_tradnl"/>
              </w:rPr>
            </w:pPr>
          </w:p>
        </w:tc>
        <w:tc>
          <w:tcPr>
            <w:tcW w:w="2880" w:type="dxa"/>
            <w:tcBorders>
              <w:top w:val="nil"/>
              <w:left w:val="nil"/>
              <w:bottom w:val="single" w:sz="4" w:space="0" w:color="auto"/>
              <w:right w:val="nil"/>
            </w:tcBorders>
            <w:shd w:val="clear" w:color="000000" w:fill="FFFFFF"/>
          </w:tcPr>
          <w:p w:rsidR="00236E18" w:rsidRPr="00164290" w:rsidRDefault="00236E18" w:rsidP="00294272">
            <w:pPr>
              <w:widowControl w:val="0"/>
              <w:rPr>
                <w:sz w:val="16"/>
                <w:szCs w:val="16"/>
                <w:lang w:val="es-ES_tradnl"/>
              </w:rPr>
            </w:pPr>
          </w:p>
        </w:tc>
        <w:tc>
          <w:tcPr>
            <w:tcW w:w="2840" w:type="dxa"/>
            <w:tcBorders>
              <w:top w:val="nil"/>
              <w:left w:val="nil"/>
              <w:bottom w:val="single" w:sz="4" w:space="0" w:color="auto"/>
              <w:right w:val="nil"/>
            </w:tcBorders>
            <w:shd w:val="clear" w:color="000000" w:fill="FFFFFF"/>
          </w:tcPr>
          <w:p w:rsidR="00236E18" w:rsidRPr="00164290" w:rsidRDefault="00236E18" w:rsidP="00294272">
            <w:pPr>
              <w:widowControl w:val="0"/>
              <w:ind w:left="87"/>
              <w:rPr>
                <w:sz w:val="16"/>
                <w:szCs w:val="16"/>
                <w:lang w:val="es-ES_tradnl"/>
              </w:rPr>
            </w:pPr>
          </w:p>
        </w:tc>
        <w:tc>
          <w:tcPr>
            <w:tcW w:w="1315" w:type="dxa"/>
            <w:tcBorders>
              <w:top w:val="nil"/>
              <w:left w:val="nil"/>
              <w:bottom w:val="single" w:sz="4" w:space="0" w:color="auto"/>
              <w:right w:val="single" w:sz="4" w:space="0" w:color="auto"/>
            </w:tcBorders>
            <w:shd w:val="clear" w:color="000000" w:fill="FFFFFF"/>
          </w:tcPr>
          <w:p w:rsidR="00236E18" w:rsidRPr="00164290" w:rsidRDefault="00236E18" w:rsidP="00294272">
            <w:pPr>
              <w:widowControl w:val="0"/>
              <w:ind w:firstLineChars="200" w:firstLine="320"/>
              <w:rPr>
                <w:sz w:val="16"/>
                <w:szCs w:val="16"/>
                <w:lang w:val="es-ES_tradnl"/>
              </w:rPr>
            </w:pPr>
          </w:p>
        </w:tc>
      </w:tr>
    </w:tbl>
    <w:p w:rsidR="00236E18" w:rsidRPr="00164290" w:rsidRDefault="00236E18" w:rsidP="00236E18">
      <w:pPr>
        <w:widowControl w:val="0"/>
        <w:jc w:val="both"/>
        <w:rPr>
          <w:bCs/>
          <w:szCs w:val="22"/>
          <w:lang w:val="es-ES_tradnl"/>
        </w:rPr>
      </w:pPr>
    </w:p>
    <w:p w:rsidR="00236E18" w:rsidRPr="00164290" w:rsidRDefault="00236E18" w:rsidP="00236E18">
      <w:pPr>
        <w:widowControl w:val="0"/>
        <w:jc w:val="both"/>
        <w:rPr>
          <w:bCs/>
          <w:szCs w:val="22"/>
          <w:lang w:val="es-ES_tradnl"/>
        </w:rPr>
      </w:pPr>
    </w:p>
    <w:p w:rsidR="00236E18" w:rsidRPr="00164290" w:rsidRDefault="00236E18" w:rsidP="00236E18">
      <w:pPr>
        <w:keepNext/>
        <w:keepLines/>
        <w:widowControl w:val="0"/>
        <w:jc w:val="both"/>
        <w:rPr>
          <w:b/>
          <w:bCs/>
          <w:szCs w:val="22"/>
          <w:lang w:val="es-ES_tradnl"/>
        </w:rPr>
      </w:pPr>
      <w:r w:rsidRPr="00946521">
        <w:rPr>
          <w:b/>
          <w:bCs/>
          <w:szCs w:val="22"/>
          <w:lang w:val="es-ES_tradnl"/>
        </w:rPr>
        <w:t>OFICINAS EN EL EXTERIOR</w:t>
      </w:r>
    </w:p>
    <w:p w:rsidR="00236E18" w:rsidRPr="00F3466F" w:rsidRDefault="00236E18" w:rsidP="00236E18">
      <w:pPr>
        <w:keepNext/>
        <w:keepLines/>
        <w:widowControl w:val="0"/>
        <w:jc w:val="both"/>
        <w:rPr>
          <w:bCs/>
          <w:sz w:val="20"/>
          <w:lang w:val="es-ES_tradnl"/>
        </w:rPr>
      </w:pPr>
    </w:p>
    <w:p w:rsidR="00236E18" w:rsidRPr="00F3466F" w:rsidRDefault="00236E18" w:rsidP="00236E18">
      <w:pPr>
        <w:keepNext/>
        <w:keepLines/>
        <w:widowControl w:val="0"/>
        <w:jc w:val="both"/>
        <w:rPr>
          <w:bCs/>
          <w:sz w:val="20"/>
          <w:lang w:val="es-ES_tradnl"/>
        </w:rPr>
      </w:pPr>
    </w:p>
    <w:p w:rsidR="00236E18" w:rsidRPr="00F74B7D" w:rsidRDefault="00236E18" w:rsidP="00236E18">
      <w:pPr>
        <w:keepNext/>
        <w:keepLines/>
      </w:pPr>
      <w:r w:rsidRPr="00F74B7D">
        <w:t>CONTEXTO DE PLANIFICACIÓN</w:t>
      </w:r>
    </w:p>
    <w:p w:rsidR="00236E18" w:rsidRPr="00ED4DE9" w:rsidRDefault="00236E18" w:rsidP="00236E18">
      <w:pPr>
        <w:keepNext/>
        <w:keepLines/>
      </w:pPr>
    </w:p>
    <w:p w:rsidR="00236E18" w:rsidRPr="00ED4DE9" w:rsidRDefault="00236E18" w:rsidP="00236E18">
      <w:pPr>
        <w:keepNext/>
        <w:keepLines/>
        <w:numPr>
          <w:ilvl w:val="0"/>
          <w:numId w:val="35"/>
        </w:numPr>
        <w:jc w:val="both"/>
        <w:rPr>
          <w:sz w:val="20"/>
        </w:rPr>
      </w:pPr>
      <w:r>
        <w:rPr>
          <w:sz w:val="20"/>
        </w:rPr>
        <w:t>La</w:t>
      </w:r>
      <w:r w:rsidRPr="00ED4DE9">
        <w:rPr>
          <w:sz w:val="20"/>
        </w:rPr>
        <w:t xml:space="preserve"> red de Oficinas de la OMPI en el exterior comenzó </w:t>
      </w:r>
      <w:r>
        <w:rPr>
          <w:sz w:val="20"/>
        </w:rPr>
        <w:t xml:space="preserve">a crearse </w:t>
      </w:r>
      <w:r w:rsidRPr="00ED4DE9">
        <w:rPr>
          <w:sz w:val="20"/>
        </w:rPr>
        <w:t xml:space="preserve">hace más de diez años y hoy en día </w:t>
      </w:r>
      <w:r>
        <w:rPr>
          <w:sz w:val="20"/>
        </w:rPr>
        <w:t xml:space="preserve">está constituida por </w:t>
      </w:r>
      <w:r w:rsidRPr="00ED4DE9">
        <w:rPr>
          <w:sz w:val="20"/>
        </w:rPr>
        <w:t>cinco oficinas</w:t>
      </w:r>
      <w:proofErr w:type="gramStart"/>
      <w:r w:rsidRPr="00ED4DE9">
        <w:rPr>
          <w:sz w:val="20"/>
        </w:rPr>
        <w:t>:  la</w:t>
      </w:r>
      <w:proofErr w:type="gramEnd"/>
      <w:r w:rsidRPr="00ED4DE9">
        <w:rPr>
          <w:sz w:val="20"/>
        </w:rPr>
        <w:t xml:space="preserve"> Oficina de la OMPI en Singapur (creada en 2005), la Oficina de la OMPI en el Japón (creada en 2006), la Oficina de la OMPI en el Brasil (creada en 2010), la Oficina de la OMPI en China (creada en 2014) y la Oficina de la OMPI en </w:t>
      </w:r>
      <w:r>
        <w:rPr>
          <w:sz w:val="20"/>
        </w:rPr>
        <w:t xml:space="preserve">la Federación de </w:t>
      </w:r>
      <w:r w:rsidRPr="00ED4DE9">
        <w:rPr>
          <w:sz w:val="20"/>
        </w:rPr>
        <w:t>Rusia (creada en 2014).</w:t>
      </w:r>
    </w:p>
    <w:p w:rsidR="00236E18" w:rsidRPr="00ED4DE9" w:rsidRDefault="00236E18" w:rsidP="00236E18">
      <w:pPr>
        <w:jc w:val="both"/>
        <w:rPr>
          <w:sz w:val="20"/>
        </w:rPr>
      </w:pPr>
    </w:p>
    <w:p w:rsidR="00236E18" w:rsidRPr="00ED4DE9" w:rsidRDefault="00236E18" w:rsidP="00236E18">
      <w:pPr>
        <w:numPr>
          <w:ilvl w:val="0"/>
          <w:numId w:val="35"/>
        </w:numPr>
        <w:jc w:val="both"/>
        <w:rPr>
          <w:sz w:val="20"/>
        </w:rPr>
      </w:pPr>
      <w:r w:rsidRPr="00ED4DE9">
        <w:rPr>
          <w:sz w:val="20"/>
        </w:rPr>
        <w:lastRenderedPageBreak/>
        <w:t xml:space="preserve">Las Oficinas de la OMPI en el exterior forman </w:t>
      </w:r>
      <w:r>
        <w:rPr>
          <w:sz w:val="20"/>
        </w:rPr>
        <w:t xml:space="preserve">una </w:t>
      </w:r>
      <w:r w:rsidRPr="00ED4DE9">
        <w:rPr>
          <w:sz w:val="20"/>
        </w:rPr>
        <w:t xml:space="preserve">parte integral de la Organización, </w:t>
      </w:r>
      <w:r>
        <w:rPr>
          <w:sz w:val="20"/>
        </w:rPr>
        <w:t>ya que colaboran</w:t>
      </w:r>
      <w:r w:rsidRPr="00ED4DE9">
        <w:rPr>
          <w:sz w:val="20"/>
        </w:rPr>
        <w:t xml:space="preserve"> con todos los programas en la sede para contribuir al logro de las metas estratégicas.  En </w:t>
      </w:r>
      <w:r>
        <w:rPr>
          <w:sz w:val="20"/>
        </w:rPr>
        <w:t>ese sentido</w:t>
      </w:r>
      <w:r w:rsidRPr="00ED4DE9">
        <w:rPr>
          <w:sz w:val="20"/>
        </w:rPr>
        <w:t xml:space="preserve">, constituyen una importante extensión de la presencia de la OMPI en los países o la región </w:t>
      </w:r>
      <w:r>
        <w:rPr>
          <w:sz w:val="20"/>
        </w:rPr>
        <w:t>circundante;</w:t>
      </w:r>
      <w:r w:rsidRPr="00ED4DE9">
        <w:rPr>
          <w:sz w:val="20"/>
        </w:rPr>
        <w:t xml:space="preserve">  están perfectamente preparadas para acercar la Organización a sus Estados m</w:t>
      </w:r>
      <w:r>
        <w:rPr>
          <w:sz w:val="20"/>
        </w:rPr>
        <w:t>iembros y sectores interesados.</w:t>
      </w:r>
    </w:p>
    <w:p w:rsidR="00236E18" w:rsidRPr="00ED4DE9" w:rsidRDefault="00236E18" w:rsidP="00236E18">
      <w:pPr>
        <w:jc w:val="both"/>
        <w:rPr>
          <w:sz w:val="20"/>
        </w:rPr>
      </w:pPr>
    </w:p>
    <w:p w:rsidR="00236E18" w:rsidRPr="00ED4DE9" w:rsidRDefault="00236E18" w:rsidP="00236E18">
      <w:pPr>
        <w:numPr>
          <w:ilvl w:val="0"/>
          <w:numId w:val="35"/>
        </w:numPr>
        <w:jc w:val="both"/>
        <w:rPr>
          <w:sz w:val="20"/>
        </w:rPr>
      </w:pPr>
      <w:r w:rsidRPr="00ED4DE9">
        <w:rPr>
          <w:sz w:val="20"/>
        </w:rPr>
        <w:t xml:space="preserve">La creación de una red de Oficinas en el exterior se ha basado en los siguientes principios centrales:  1) las Oficinas en el exterior deberían añadir valor, eficiencia y </w:t>
      </w:r>
      <w:r>
        <w:rPr>
          <w:sz w:val="20"/>
        </w:rPr>
        <w:t>eficacia</w:t>
      </w:r>
      <w:r w:rsidRPr="00ED4DE9">
        <w:rPr>
          <w:sz w:val="20"/>
        </w:rPr>
        <w:t xml:space="preserve"> a la ejecución del programa</w:t>
      </w:r>
      <w:r>
        <w:rPr>
          <w:sz w:val="20"/>
        </w:rPr>
        <w:t>,</w:t>
      </w:r>
      <w:r w:rsidRPr="00ED4DE9">
        <w:rPr>
          <w:sz w:val="20"/>
        </w:rPr>
        <w:t xml:space="preserve"> de una manera coordinada y complementaria a la labor que se lleva a cabo en la sede;  2) tienen diferentes funciones mixtas en función de las prioridades y particularidades locales;  3) deberían ser </w:t>
      </w:r>
      <w:proofErr w:type="spellStart"/>
      <w:r>
        <w:rPr>
          <w:sz w:val="20"/>
        </w:rPr>
        <w:t>costoeficaces</w:t>
      </w:r>
      <w:proofErr w:type="spellEnd"/>
      <w:r w:rsidRPr="00ED4DE9">
        <w:rPr>
          <w:sz w:val="20"/>
        </w:rPr>
        <w:t>;  y 4) forman parte integral del marco regula</w:t>
      </w:r>
      <w:r>
        <w:rPr>
          <w:sz w:val="20"/>
        </w:rPr>
        <w:t>dor</w:t>
      </w:r>
      <w:r w:rsidRPr="00ED4DE9">
        <w:rPr>
          <w:sz w:val="20"/>
        </w:rPr>
        <w:t xml:space="preserve"> y d</w:t>
      </w:r>
      <w:r>
        <w:rPr>
          <w:sz w:val="20"/>
        </w:rPr>
        <w:t>e gestión basada en resultados.</w:t>
      </w:r>
    </w:p>
    <w:p w:rsidR="00236E18" w:rsidRPr="00ED4DE9" w:rsidRDefault="00236E18" w:rsidP="00236E18">
      <w:pPr>
        <w:jc w:val="both"/>
        <w:rPr>
          <w:sz w:val="20"/>
        </w:rPr>
      </w:pPr>
    </w:p>
    <w:p w:rsidR="00236E18" w:rsidRPr="00ED4DE9" w:rsidRDefault="00236E18" w:rsidP="00236E18">
      <w:pPr>
        <w:numPr>
          <w:ilvl w:val="0"/>
          <w:numId w:val="35"/>
        </w:numPr>
        <w:jc w:val="both"/>
        <w:rPr>
          <w:sz w:val="20"/>
        </w:rPr>
      </w:pPr>
      <w:r w:rsidRPr="00ED4DE9">
        <w:rPr>
          <w:sz w:val="20"/>
        </w:rPr>
        <w:t xml:space="preserve">En este contexto, las Oficinas de la OMPI en el exterior han contribuido a los resultados previstos y a la consecución de las metas estratégicas de la OMPI.  Han prestado servicios de apoyo a los sistemas mundiales de P.I.;  han prestado asistencia técnica en los países en desarrollo en relación con los programas de la Organización relativos a la infraestructura mundial;  han llevado a cabo actividades de fortalecimiento de capacidades para facilitar el uso de la P.I. en aras del desarrollo;  han impulsado los tratados de la OMPI en favor de la evolución equilibrada del marco normativo internacional de P.I.;  han facilitado comunicaciones más </w:t>
      </w:r>
      <w:r>
        <w:rPr>
          <w:sz w:val="20"/>
        </w:rPr>
        <w:t>eficaces</w:t>
      </w:r>
      <w:r w:rsidRPr="00ED4DE9">
        <w:rPr>
          <w:sz w:val="20"/>
        </w:rPr>
        <w:t xml:space="preserve"> </w:t>
      </w:r>
      <w:r>
        <w:rPr>
          <w:sz w:val="20"/>
        </w:rPr>
        <w:t>con</w:t>
      </w:r>
      <w:r w:rsidRPr="00ED4DE9">
        <w:rPr>
          <w:sz w:val="20"/>
        </w:rPr>
        <w:t xml:space="preserve"> un público más amplio, aprovechando su proximidad para llevar a cabo actividades de divulgación concretas y forjar relaciones más estrechas con los sectores interesados;  y han ofrecido servicios “las 24 horas” para asegurar la disponibilidad de la OMPI al margen del horario </w:t>
      </w:r>
      <w:r>
        <w:rPr>
          <w:sz w:val="20"/>
        </w:rPr>
        <w:t>laborable</w:t>
      </w:r>
      <w:r w:rsidRPr="00ED4DE9">
        <w:rPr>
          <w:sz w:val="20"/>
        </w:rPr>
        <w:t xml:space="preserve"> </w:t>
      </w:r>
      <w:r>
        <w:rPr>
          <w:sz w:val="20"/>
        </w:rPr>
        <w:t>en</w:t>
      </w:r>
      <w:r w:rsidRPr="00ED4DE9">
        <w:rPr>
          <w:sz w:val="20"/>
        </w:rPr>
        <w:t xml:space="preserve"> Ginebra. </w:t>
      </w:r>
    </w:p>
    <w:p w:rsidR="00236E18" w:rsidRPr="00ED4DE9" w:rsidRDefault="00236E18" w:rsidP="00236E18">
      <w:pPr>
        <w:jc w:val="both"/>
        <w:rPr>
          <w:sz w:val="20"/>
        </w:rPr>
      </w:pPr>
    </w:p>
    <w:p w:rsidR="00236E18" w:rsidRPr="00ED4DE9" w:rsidRDefault="00236E18" w:rsidP="00236E18">
      <w:pPr>
        <w:numPr>
          <w:ilvl w:val="0"/>
          <w:numId w:val="35"/>
        </w:numPr>
        <w:jc w:val="both"/>
        <w:rPr>
          <w:sz w:val="20"/>
        </w:rPr>
      </w:pPr>
      <w:r w:rsidRPr="00ED4DE9">
        <w:rPr>
          <w:sz w:val="20"/>
        </w:rPr>
        <w:t xml:space="preserve">Sin dejar de reconocer el desafío que supone integrar </w:t>
      </w:r>
      <w:r>
        <w:rPr>
          <w:sz w:val="20"/>
        </w:rPr>
        <w:t>por completo</w:t>
      </w:r>
      <w:r w:rsidRPr="00ED4DE9">
        <w:rPr>
          <w:sz w:val="20"/>
        </w:rPr>
        <w:t xml:space="preserve"> una red relativamente nueva en las actividades de una Organización que desempeña su misión en su mayor parte desde la sede, se ha considerado necesario seguir mejorando la productividad y la eficiencia de las Oficinas en el exterior, agilizar la coordinación con todos los programas en la sede y fomentar la coherencia de su gestión general mediante etapas concretas.  Con este fin, en 2014/2015 se han lanzado distintas iniciativas para:  mejorar la infraestructura de T.I. en las Oficinas en el exterior e integrarlas progresivamente en la arquitectura general de T.I. de la Organización;  elaborar una estrategia exhaustiva de comunicaciones para las Oficinas en el exterior;  mejorar e institucionalizar la presentación de informes y la comunicación entre las Oficinas en el exterior y la sede, y elaborar planes de continuidad de las actividades para cada Oficina en el exterior.</w:t>
      </w:r>
    </w:p>
    <w:p w:rsidR="00236E18" w:rsidRPr="00F74B7D" w:rsidRDefault="00236E18" w:rsidP="00236E18">
      <w:pPr>
        <w:jc w:val="both"/>
        <w:rPr>
          <w:sz w:val="20"/>
          <w:highlight w:val="lightGray"/>
        </w:rPr>
      </w:pPr>
    </w:p>
    <w:p w:rsidR="00236E18" w:rsidRPr="00F74B7D" w:rsidRDefault="00236E18" w:rsidP="00236E18">
      <w:pPr>
        <w:jc w:val="both"/>
        <w:rPr>
          <w:sz w:val="20"/>
          <w:highlight w:val="lightGray"/>
          <w:lang w:val="es-ES_tradnl"/>
        </w:rPr>
      </w:pPr>
    </w:p>
    <w:p w:rsidR="00236E18" w:rsidRPr="00D95E7D" w:rsidRDefault="00236E18" w:rsidP="00236E18">
      <w:pPr>
        <w:jc w:val="both"/>
      </w:pPr>
      <w:r w:rsidRPr="00D95E7D">
        <w:t>ESTRATEGIAS DE EJECUCIÓN</w:t>
      </w:r>
    </w:p>
    <w:p w:rsidR="00236E18" w:rsidRPr="00ED4DE9" w:rsidRDefault="00236E18" w:rsidP="00236E18">
      <w:pPr>
        <w:jc w:val="both"/>
        <w:rPr>
          <w:sz w:val="20"/>
        </w:rPr>
      </w:pPr>
    </w:p>
    <w:p w:rsidR="00236E18" w:rsidRPr="00ED4DE9" w:rsidRDefault="00236E18" w:rsidP="00236E18">
      <w:pPr>
        <w:numPr>
          <w:ilvl w:val="0"/>
          <w:numId w:val="35"/>
        </w:numPr>
        <w:jc w:val="both"/>
        <w:rPr>
          <w:sz w:val="20"/>
        </w:rPr>
      </w:pPr>
      <w:r w:rsidRPr="00ED4DE9">
        <w:rPr>
          <w:sz w:val="20"/>
        </w:rPr>
        <w:t xml:space="preserve">A partir de las iniciativas mencionadas anteriormente, se </w:t>
      </w:r>
      <w:r>
        <w:rPr>
          <w:sz w:val="20"/>
        </w:rPr>
        <w:t>desplegarán</w:t>
      </w:r>
      <w:r w:rsidRPr="00ED4DE9">
        <w:rPr>
          <w:sz w:val="20"/>
        </w:rPr>
        <w:t xml:space="preserve"> continuos esfuerzos para mejorar la integración progresiva de las Oficinas en el exterior en todos los aspectos del funcionamiento de la Organización.  Esto será fundamental para asegurar que la OMPI siga evolucionando como una verdadera Organización mundial, receptiva a las necesidades de sus Estados miembros y sectores interesados y capaz de materializar sus ambiciosas metas de prestar sus servicios de manera más eficiente estrechando la cooperación.  Para lograrlo, las Oficinas de la OMPI en </w:t>
      </w:r>
      <w:r>
        <w:rPr>
          <w:sz w:val="20"/>
        </w:rPr>
        <w:t xml:space="preserve">el </w:t>
      </w:r>
      <w:r w:rsidRPr="00ED4DE9">
        <w:rPr>
          <w:sz w:val="20"/>
        </w:rPr>
        <w:t xml:space="preserve">exterior, en el marco de sus respectivos países anfitriones o </w:t>
      </w:r>
      <w:r>
        <w:rPr>
          <w:sz w:val="20"/>
        </w:rPr>
        <w:t>región circundante</w:t>
      </w:r>
      <w:r w:rsidRPr="00ED4DE9">
        <w:rPr>
          <w:sz w:val="20"/>
        </w:rPr>
        <w:t>, contribuirán al logro de los resultados previstos y las metas estratégicas en coordinación con la sede.  Además, se aplicarán las siguientes estrategias específicas en relación con las Oficinas en el exterior.</w:t>
      </w:r>
    </w:p>
    <w:p w:rsidR="00236E18" w:rsidRPr="00ED4DE9" w:rsidRDefault="00236E18" w:rsidP="00236E18">
      <w:pPr>
        <w:jc w:val="both"/>
        <w:rPr>
          <w:sz w:val="20"/>
        </w:rPr>
      </w:pPr>
    </w:p>
    <w:p w:rsidR="00236E18" w:rsidRPr="00ED4DE9" w:rsidRDefault="00236E18" w:rsidP="00236E18">
      <w:pPr>
        <w:keepNext/>
        <w:keepLines/>
        <w:jc w:val="both"/>
        <w:rPr>
          <w:sz w:val="20"/>
          <w:u w:val="single"/>
        </w:rPr>
      </w:pPr>
      <w:r w:rsidRPr="00ED4DE9">
        <w:rPr>
          <w:sz w:val="20"/>
          <w:u w:val="single"/>
        </w:rPr>
        <w:t>Oficina de la OMPI en Singapur (OOS)</w:t>
      </w:r>
    </w:p>
    <w:p w:rsidR="00236E18" w:rsidRPr="00ED4DE9" w:rsidRDefault="00236E18" w:rsidP="00236E18">
      <w:pPr>
        <w:keepNext/>
        <w:keepLines/>
        <w:jc w:val="both"/>
        <w:rPr>
          <w:sz w:val="20"/>
        </w:rPr>
      </w:pPr>
    </w:p>
    <w:p w:rsidR="00236E18" w:rsidRPr="00ED4DE9" w:rsidRDefault="00236E18" w:rsidP="00236E18">
      <w:pPr>
        <w:keepNext/>
        <w:keepLines/>
        <w:numPr>
          <w:ilvl w:val="0"/>
          <w:numId w:val="35"/>
        </w:numPr>
        <w:jc w:val="both"/>
        <w:rPr>
          <w:sz w:val="20"/>
        </w:rPr>
      </w:pPr>
      <w:r w:rsidRPr="00ED4DE9">
        <w:rPr>
          <w:sz w:val="20"/>
        </w:rPr>
        <w:t>La Oficina de la OMPI en Singapur seguirá actuando como un centro de servicios en la región, entre otr</w:t>
      </w:r>
      <w:r>
        <w:rPr>
          <w:sz w:val="20"/>
        </w:rPr>
        <w:t>as cosa</w:t>
      </w:r>
      <w:r w:rsidRPr="00ED4DE9">
        <w:rPr>
          <w:sz w:val="20"/>
        </w:rPr>
        <w:t xml:space="preserve">s, </w:t>
      </w:r>
      <w:r>
        <w:rPr>
          <w:sz w:val="20"/>
        </w:rPr>
        <w:t xml:space="preserve">para </w:t>
      </w:r>
      <w:r w:rsidRPr="00ED4DE9">
        <w:rPr>
          <w:sz w:val="20"/>
        </w:rPr>
        <w:t>facilitar el uso de la P.I. en aras del desarrollo, fomentar los servicios mundiales de P.I. de la OMPI y apoyar e impulsar el Centro de Arbitraje y Mediación de la OMPI en Singapur.</w:t>
      </w:r>
    </w:p>
    <w:p w:rsidR="00236E18" w:rsidRPr="00ED4DE9" w:rsidRDefault="00236E18" w:rsidP="00236E18">
      <w:pPr>
        <w:jc w:val="both"/>
        <w:rPr>
          <w:sz w:val="20"/>
        </w:rPr>
      </w:pPr>
    </w:p>
    <w:p w:rsidR="00236E18" w:rsidRPr="00ED4DE9" w:rsidRDefault="00236E18" w:rsidP="00236E18">
      <w:pPr>
        <w:numPr>
          <w:ilvl w:val="0"/>
          <w:numId w:val="35"/>
        </w:numPr>
        <w:jc w:val="both"/>
        <w:rPr>
          <w:sz w:val="20"/>
        </w:rPr>
      </w:pPr>
      <w:r w:rsidRPr="00ED4DE9">
        <w:rPr>
          <w:sz w:val="20"/>
        </w:rPr>
        <w:t>Se seguirá prestando especial atención a la subregión de la Asociación de Naciones de</w:t>
      </w:r>
      <w:r>
        <w:rPr>
          <w:sz w:val="20"/>
        </w:rPr>
        <w:t>l</w:t>
      </w:r>
      <w:r w:rsidRPr="00ED4DE9">
        <w:rPr>
          <w:sz w:val="20"/>
        </w:rPr>
        <w:t xml:space="preserve"> Asia Sudoriental (ASEAN) contribuyendo a la puesta en práctica del Plan de Acción de la ASEAN en materia de P.I. (201</w:t>
      </w:r>
      <w:r>
        <w:rPr>
          <w:sz w:val="20"/>
        </w:rPr>
        <w:t>6</w:t>
      </w:r>
      <w:r w:rsidRPr="00ED4DE9">
        <w:rPr>
          <w:sz w:val="20"/>
        </w:rPr>
        <w:t>-20</w:t>
      </w:r>
      <w:r>
        <w:rPr>
          <w:sz w:val="20"/>
        </w:rPr>
        <w:t>2</w:t>
      </w:r>
      <w:r w:rsidRPr="00ED4DE9">
        <w:rPr>
          <w:sz w:val="20"/>
        </w:rPr>
        <w:t xml:space="preserve">5), de conformidad con los planes y las estrategias nacionales de P.I. del país.  En ese sentido, será fundamental </w:t>
      </w:r>
      <w:r>
        <w:rPr>
          <w:sz w:val="20"/>
        </w:rPr>
        <w:t>colaborar</w:t>
      </w:r>
      <w:r w:rsidRPr="00ED4DE9">
        <w:rPr>
          <w:sz w:val="20"/>
        </w:rPr>
        <w:t xml:space="preserve"> estrechamente con el Grupo de Trabajo de la ASEAN sobre cooperación en materia de propiedad intelectual (AWGIPC) y la Secretaría de la ASEAN.</w:t>
      </w:r>
    </w:p>
    <w:p w:rsidR="00236E18" w:rsidRPr="00ED4DE9" w:rsidRDefault="00236E18" w:rsidP="00236E18">
      <w:pPr>
        <w:jc w:val="both"/>
        <w:rPr>
          <w:sz w:val="20"/>
        </w:rPr>
      </w:pPr>
    </w:p>
    <w:p w:rsidR="00236E18" w:rsidRPr="00ED4DE9" w:rsidRDefault="00236E18" w:rsidP="00236E18">
      <w:pPr>
        <w:keepNext/>
        <w:keepLines/>
        <w:jc w:val="both"/>
        <w:rPr>
          <w:sz w:val="20"/>
          <w:u w:val="single"/>
        </w:rPr>
      </w:pPr>
      <w:r w:rsidRPr="00ED4DE9">
        <w:rPr>
          <w:sz w:val="20"/>
          <w:u w:val="single"/>
        </w:rPr>
        <w:lastRenderedPageBreak/>
        <w:t>Oficina de la OMPI en el Brasil (OOB)</w:t>
      </w:r>
    </w:p>
    <w:p w:rsidR="00236E18" w:rsidRPr="00ED4DE9" w:rsidRDefault="00236E18" w:rsidP="00236E18">
      <w:pPr>
        <w:keepNext/>
        <w:keepLines/>
        <w:jc w:val="both"/>
        <w:rPr>
          <w:sz w:val="20"/>
        </w:rPr>
      </w:pPr>
    </w:p>
    <w:p w:rsidR="00236E18" w:rsidRPr="00ED4DE9" w:rsidRDefault="00236E18" w:rsidP="00236E18">
      <w:pPr>
        <w:keepNext/>
        <w:keepLines/>
        <w:numPr>
          <w:ilvl w:val="0"/>
          <w:numId w:val="35"/>
        </w:numPr>
        <w:jc w:val="both"/>
        <w:rPr>
          <w:sz w:val="20"/>
        </w:rPr>
      </w:pPr>
      <w:r w:rsidRPr="00ED4DE9">
        <w:rPr>
          <w:sz w:val="20"/>
        </w:rPr>
        <w:t xml:space="preserve">En su calidad de centro de servicios de la OMPI en el Brasil, la Oficina de la OMPI en el Brasil (OOB) se centrará en fomentar los servicios mundiales de P.I. que presta la OMPI así como en facilitar el uso de la P.I. </w:t>
      </w:r>
      <w:r>
        <w:rPr>
          <w:sz w:val="20"/>
        </w:rPr>
        <w:t>para</w:t>
      </w:r>
      <w:r w:rsidRPr="00ED4DE9">
        <w:rPr>
          <w:sz w:val="20"/>
        </w:rPr>
        <w:t xml:space="preserve"> fortalecer las capacidades de recursos humanos en el Brasil y en otros países en desarrollo que tengan programas de cooperación con </w:t>
      </w:r>
      <w:r>
        <w:rPr>
          <w:sz w:val="20"/>
        </w:rPr>
        <w:t>dicho país</w:t>
      </w:r>
      <w:r w:rsidRPr="00ED4DE9">
        <w:rPr>
          <w:sz w:val="20"/>
        </w:rPr>
        <w:t>.</w:t>
      </w:r>
    </w:p>
    <w:p w:rsidR="00236E18" w:rsidRPr="00ED4DE9" w:rsidRDefault="00236E18" w:rsidP="00236E18">
      <w:pPr>
        <w:jc w:val="both"/>
        <w:rPr>
          <w:sz w:val="20"/>
        </w:rPr>
      </w:pPr>
    </w:p>
    <w:p w:rsidR="00236E18" w:rsidRPr="00ED4DE9" w:rsidRDefault="00236E18" w:rsidP="00236E18">
      <w:pPr>
        <w:numPr>
          <w:ilvl w:val="0"/>
          <w:numId w:val="35"/>
        </w:numPr>
        <w:jc w:val="both"/>
        <w:rPr>
          <w:sz w:val="20"/>
        </w:rPr>
      </w:pPr>
      <w:r w:rsidRPr="00ED4DE9">
        <w:rPr>
          <w:sz w:val="20"/>
        </w:rPr>
        <w:t>La O</w:t>
      </w:r>
      <w:r>
        <w:rPr>
          <w:sz w:val="20"/>
        </w:rPr>
        <w:t>O</w:t>
      </w:r>
      <w:r w:rsidRPr="00ED4DE9">
        <w:rPr>
          <w:sz w:val="20"/>
        </w:rPr>
        <w:t>B gestiona dos fondos fiduciarios entre el Gobierno del Brasil y la OMPI, que, entre otras cosas, tienen por objeto fomentar una cultura de P.I. entre las instituciones internacionales y nacionales y los usuarios mediante la cooperación Sur-Sur</w:t>
      </w:r>
      <w:r>
        <w:rPr>
          <w:sz w:val="20"/>
        </w:rPr>
        <w:t xml:space="preserve"> establecida </w:t>
      </w:r>
      <w:r w:rsidRPr="00ED4DE9">
        <w:rPr>
          <w:sz w:val="20"/>
        </w:rPr>
        <w:t>entre los países en desarrollo</w:t>
      </w:r>
      <w:r>
        <w:rPr>
          <w:sz w:val="20"/>
        </w:rPr>
        <w:t>,</w:t>
      </w:r>
      <w:r w:rsidRPr="00ED4DE9">
        <w:rPr>
          <w:sz w:val="20"/>
        </w:rPr>
        <w:t xml:space="preserve"> dentro y fuera de la región de América Latina.</w:t>
      </w:r>
    </w:p>
    <w:p w:rsidR="00236E18" w:rsidRPr="00ED4DE9" w:rsidRDefault="00236E18" w:rsidP="00236E18">
      <w:pPr>
        <w:jc w:val="both"/>
        <w:rPr>
          <w:sz w:val="20"/>
        </w:rPr>
      </w:pPr>
    </w:p>
    <w:p w:rsidR="00236E18" w:rsidRPr="00ED4DE9" w:rsidRDefault="00236E18" w:rsidP="00236E18">
      <w:pPr>
        <w:jc w:val="both"/>
        <w:rPr>
          <w:sz w:val="20"/>
          <w:u w:val="single"/>
        </w:rPr>
      </w:pPr>
      <w:r w:rsidRPr="00ED4DE9">
        <w:rPr>
          <w:sz w:val="20"/>
          <w:u w:val="single"/>
        </w:rPr>
        <w:t>Oficina de la OMPI en el Japón (OOJ)</w:t>
      </w:r>
    </w:p>
    <w:p w:rsidR="00236E18" w:rsidRPr="00ED4DE9" w:rsidRDefault="00236E18" w:rsidP="00236E18">
      <w:pPr>
        <w:jc w:val="both"/>
        <w:rPr>
          <w:sz w:val="20"/>
        </w:rPr>
      </w:pPr>
    </w:p>
    <w:p w:rsidR="00236E18" w:rsidRPr="00ED4DE9" w:rsidRDefault="00236E18" w:rsidP="00236E18">
      <w:pPr>
        <w:numPr>
          <w:ilvl w:val="0"/>
          <w:numId w:val="35"/>
        </w:numPr>
        <w:jc w:val="both"/>
        <w:rPr>
          <w:sz w:val="20"/>
        </w:rPr>
      </w:pPr>
      <w:r w:rsidRPr="00ED4DE9">
        <w:rPr>
          <w:sz w:val="20"/>
        </w:rPr>
        <w:t>La Oficina de la OMPI en el Japón (OOJ) fortalecerá su papel en cuanto que centro de servicios de la OMPI en el Japón haciendo hincapié, en particular, en el fomento de los servicios mundiales de P.I. de la OMPI destinados a los usuarios actuales y potenciales.  Los logros en este ámbito se alcanzarán estrechando la cooperación con las instituciones, el sector académico, el sector privado y otros sectores interesados del Japón.</w:t>
      </w:r>
    </w:p>
    <w:p w:rsidR="00236E18" w:rsidRPr="00ED4DE9" w:rsidRDefault="00236E18" w:rsidP="00236E18">
      <w:pPr>
        <w:jc w:val="both"/>
        <w:rPr>
          <w:sz w:val="20"/>
        </w:rPr>
      </w:pPr>
    </w:p>
    <w:p w:rsidR="00236E18" w:rsidRPr="00ED4DE9" w:rsidRDefault="00236E18" w:rsidP="00236E18">
      <w:pPr>
        <w:numPr>
          <w:ilvl w:val="0"/>
          <w:numId w:val="35"/>
        </w:numPr>
        <w:jc w:val="both"/>
        <w:rPr>
          <w:sz w:val="20"/>
        </w:rPr>
      </w:pPr>
      <w:r w:rsidRPr="00ED4DE9">
        <w:rPr>
          <w:sz w:val="20"/>
        </w:rPr>
        <w:t xml:space="preserve">La OOJ mantendrá su cooperación con el Gobierno del Japón en el marco del acuerdo de fondos fiduciarios para llevar a cabo actividades encaminadas a fortalecer las capacidades, reforzar la infraestructura técnica y mejorar el uso de la P.I. en las empresas, lo que incluye la ejecución de proyectos especiales como el perfeccionamiento de la base de datos IP </w:t>
      </w:r>
      <w:proofErr w:type="spellStart"/>
      <w:r w:rsidRPr="00ED4DE9">
        <w:rPr>
          <w:sz w:val="20"/>
        </w:rPr>
        <w:t>Advantage</w:t>
      </w:r>
      <w:proofErr w:type="spellEnd"/>
      <w:r w:rsidRPr="00ED4DE9">
        <w:rPr>
          <w:sz w:val="20"/>
        </w:rPr>
        <w:t xml:space="preserve">, en países situados principalmente en la región de Asia y el Pacífico. </w:t>
      </w:r>
    </w:p>
    <w:p w:rsidR="00236E18" w:rsidRPr="00ED4DE9" w:rsidRDefault="00236E18" w:rsidP="00236E18">
      <w:pPr>
        <w:jc w:val="both"/>
        <w:rPr>
          <w:sz w:val="20"/>
        </w:rPr>
      </w:pPr>
    </w:p>
    <w:p w:rsidR="00236E18" w:rsidRPr="00ED4DE9" w:rsidRDefault="00236E18" w:rsidP="00236E18">
      <w:pPr>
        <w:numPr>
          <w:ilvl w:val="0"/>
          <w:numId w:val="35"/>
        </w:numPr>
        <w:jc w:val="both"/>
        <w:rPr>
          <w:sz w:val="20"/>
        </w:rPr>
      </w:pPr>
      <w:r w:rsidRPr="00ED4DE9">
        <w:rPr>
          <w:sz w:val="20"/>
        </w:rPr>
        <w:t xml:space="preserve">La OOJ prestará especial atención al fomento del Sistema de </w:t>
      </w:r>
      <w:r>
        <w:rPr>
          <w:sz w:val="20"/>
        </w:rPr>
        <w:t>La Haya</w:t>
      </w:r>
      <w:r w:rsidRPr="00ED4DE9">
        <w:rPr>
          <w:sz w:val="20"/>
        </w:rPr>
        <w:t xml:space="preserve"> (teniendo en cuenta la ratificación del Arreglo de </w:t>
      </w:r>
      <w:r>
        <w:rPr>
          <w:sz w:val="20"/>
        </w:rPr>
        <w:t>La Haya</w:t>
      </w:r>
      <w:r w:rsidRPr="00ED4DE9">
        <w:rPr>
          <w:sz w:val="20"/>
        </w:rPr>
        <w:t xml:space="preserve"> por el Japón en 2015) y</w:t>
      </w:r>
      <w:r>
        <w:rPr>
          <w:sz w:val="20"/>
        </w:rPr>
        <w:t xml:space="preserve"> a</w:t>
      </w:r>
      <w:r w:rsidRPr="00ED4DE9">
        <w:rPr>
          <w:sz w:val="20"/>
        </w:rPr>
        <w:t xml:space="preserve"> </w:t>
      </w:r>
      <w:r>
        <w:rPr>
          <w:sz w:val="20"/>
        </w:rPr>
        <w:t>lograr acercarse a</w:t>
      </w:r>
      <w:r w:rsidRPr="00ED4DE9">
        <w:rPr>
          <w:sz w:val="20"/>
        </w:rPr>
        <w:t xml:space="preserve"> las pymes para </w:t>
      </w:r>
      <w:r>
        <w:rPr>
          <w:sz w:val="20"/>
        </w:rPr>
        <w:t>alentarlas</w:t>
      </w:r>
      <w:r w:rsidRPr="00ED4DE9">
        <w:rPr>
          <w:sz w:val="20"/>
        </w:rPr>
        <w:t xml:space="preserve"> a que utilicen los servicios de la OMPI.</w:t>
      </w:r>
    </w:p>
    <w:p w:rsidR="00236E18" w:rsidRPr="00ED4DE9" w:rsidRDefault="00236E18" w:rsidP="00236E18">
      <w:pPr>
        <w:jc w:val="both"/>
        <w:rPr>
          <w:sz w:val="20"/>
        </w:rPr>
      </w:pPr>
    </w:p>
    <w:p w:rsidR="00236E18" w:rsidRPr="00ED4DE9" w:rsidRDefault="00236E18" w:rsidP="00236E18">
      <w:pPr>
        <w:jc w:val="both"/>
        <w:rPr>
          <w:sz w:val="20"/>
          <w:u w:val="single"/>
        </w:rPr>
      </w:pPr>
      <w:r w:rsidRPr="00ED4DE9">
        <w:rPr>
          <w:sz w:val="20"/>
          <w:u w:val="single"/>
        </w:rPr>
        <w:t xml:space="preserve">Oficina de la OMPI en China </w:t>
      </w:r>
      <w:r>
        <w:rPr>
          <w:sz w:val="20"/>
          <w:u w:val="single"/>
        </w:rPr>
        <w:t>(OOC)</w:t>
      </w:r>
    </w:p>
    <w:p w:rsidR="00236E18" w:rsidRPr="00ED4DE9" w:rsidRDefault="00236E18" w:rsidP="00236E18">
      <w:pPr>
        <w:jc w:val="both"/>
        <w:rPr>
          <w:sz w:val="20"/>
        </w:rPr>
      </w:pPr>
    </w:p>
    <w:p w:rsidR="00236E18" w:rsidRPr="00ED4DE9" w:rsidRDefault="00236E18" w:rsidP="00236E18">
      <w:pPr>
        <w:numPr>
          <w:ilvl w:val="0"/>
          <w:numId w:val="35"/>
        </w:numPr>
        <w:jc w:val="both"/>
        <w:rPr>
          <w:sz w:val="20"/>
        </w:rPr>
      </w:pPr>
      <w:r w:rsidRPr="00ED4DE9">
        <w:rPr>
          <w:sz w:val="20"/>
        </w:rPr>
        <w:t xml:space="preserve">En la medida en que es una oficina relativamente nueva, la Oficina de la OMPI en China seguirá efectuando actividades </w:t>
      </w:r>
      <w:r>
        <w:rPr>
          <w:sz w:val="20"/>
        </w:rPr>
        <w:t xml:space="preserve">y poniendo en marcha </w:t>
      </w:r>
      <w:r w:rsidRPr="00ED4DE9">
        <w:rPr>
          <w:sz w:val="20"/>
        </w:rPr>
        <w:t xml:space="preserve">iniciativas concretas para seguir mejorando su papel como centro de servicios de la OMPI en China.  A ese respecto, revestirá especial importancia, en particular, el fomento de los servicios mundiales de P.I. de la OMPI para los usuarios actuales y potenciales.  Teniendo en cuenta el tamaño de China, </w:t>
      </w:r>
      <w:r>
        <w:rPr>
          <w:sz w:val="20"/>
        </w:rPr>
        <w:t>las tareas de divulgación</w:t>
      </w:r>
      <w:r w:rsidRPr="00ED4DE9">
        <w:rPr>
          <w:sz w:val="20"/>
        </w:rPr>
        <w:t xml:space="preserve"> en las regiones administrativas y territoriales del país constituirá</w:t>
      </w:r>
      <w:r>
        <w:rPr>
          <w:sz w:val="20"/>
        </w:rPr>
        <w:t>n</w:t>
      </w:r>
      <w:r w:rsidRPr="00ED4DE9">
        <w:rPr>
          <w:sz w:val="20"/>
        </w:rPr>
        <w:t xml:space="preserve"> un reto </w:t>
      </w:r>
      <w:r>
        <w:rPr>
          <w:sz w:val="20"/>
        </w:rPr>
        <w:t>importante</w:t>
      </w:r>
      <w:r w:rsidRPr="00ED4DE9">
        <w:rPr>
          <w:sz w:val="20"/>
        </w:rPr>
        <w:t>.  Así, los esfuerzos se destinarán a seguir estrechando la cooperación constructiva con el Gobierno de China y ampliar las actividades de divulgación al sector privado y otros sectores interesados, a</w:t>
      </w:r>
      <w:r>
        <w:rPr>
          <w:sz w:val="20"/>
        </w:rPr>
        <w:t>demás de</w:t>
      </w:r>
      <w:r w:rsidRPr="00ED4DE9">
        <w:rPr>
          <w:sz w:val="20"/>
        </w:rPr>
        <w:t xml:space="preserve"> estrechar los vínculos con los mismos.</w:t>
      </w:r>
    </w:p>
    <w:p w:rsidR="00236E18" w:rsidRPr="00ED4DE9" w:rsidRDefault="00236E18" w:rsidP="00236E18">
      <w:pPr>
        <w:jc w:val="both"/>
        <w:rPr>
          <w:sz w:val="20"/>
        </w:rPr>
      </w:pPr>
    </w:p>
    <w:p w:rsidR="00236E18" w:rsidRPr="00ED4DE9" w:rsidRDefault="00236E18" w:rsidP="00236E18">
      <w:pPr>
        <w:jc w:val="both"/>
        <w:rPr>
          <w:sz w:val="20"/>
          <w:u w:val="single"/>
        </w:rPr>
      </w:pPr>
      <w:r w:rsidRPr="00ED4DE9">
        <w:rPr>
          <w:sz w:val="20"/>
          <w:u w:val="single"/>
        </w:rPr>
        <w:t xml:space="preserve">Oficina de la OMPI en </w:t>
      </w:r>
      <w:r>
        <w:rPr>
          <w:sz w:val="20"/>
          <w:u w:val="single"/>
        </w:rPr>
        <w:t xml:space="preserve">la Federación de </w:t>
      </w:r>
      <w:r w:rsidRPr="00ED4DE9">
        <w:rPr>
          <w:sz w:val="20"/>
          <w:u w:val="single"/>
        </w:rPr>
        <w:t>Rusia</w:t>
      </w:r>
      <w:r>
        <w:rPr>
          <w:sz w:val="20"/>
          <w:u w:val="single"/>
        </w:rPr>
        <w:t xml:space="preserve"> (OOR)</w:t>
      </w:r>
    </w:p>
    <w:p w:rsidR="00236E18" w:rsidRPr="00ED4DE9" w:rsidRDefault="00236E18" w:rsidP="00236E18">
      <w:pPr>
        <w:jc w:val="both"/>
        <w:rPr>
          <w:sz w:val="20"/>
        </w:rPr>
      </w:pPr>
    </w:p>
    <w:p w:rsidR="00236E18" w:rsidRPr="00ED4DE9" w:rsidRDefault="00236E18" w:rsidP="00236E18">
      <w:pPr>
        <w:numPr>
          <w:ilvl w:val="0"/>
          <w:numId w:val="35"/>
        </w:numPr>
        <w:jc w:val="both"/>
        <w:rPr>
          <w:sz w:val="20"/>
        </w:rPr>
      </w:pPr>
      <w:r w:rsidRPr="00ED4DE9">
        <w:rPr>
          <w:sz w:val="20"/>
        </w:rPr>
        <w:t xml:space="preserve">La Oficina de la OMPI en </w:t>
      </w:r>
      <w:r>
        <w:rPr>
          <w:sz w:val="20"/>
        </w:rPr>
        <w:t xml:space="preserve">la Federación de </w:t>
      </w:r>
      <w:r w:rsidRPr="00ED4DE9">
        <w:rPr>
          <w:sz w:val="20"/>
        </w:rPr>
        <w:t xml:space="preserve">Rusia fue creada en 2014 y, por ello, </w:t>
      </w:r>
      <w:r>
        <w:rPr>
          <w:sz w:val="20"/>
        </w:rPr>
        <w:t>procurará activamente</w:t>
      </w:r>
      <w:r w:rsidRPr="00ED4DE9">
        <w:rPr>
          <w:sz w:val="20"/>
        </w:rPr>
        <w:t xml:space="preserve"> consolidar su papel </w:t>
      </w:r>
      <w:r>
        <w:rPr>
          <w:sz w:val="20"/>
        </w:rPr>
        <w:t>como</w:t>
      </w:r>
      <w:r w:rsidRPr="00ED4DE9">
        <w:rPr>
          <w:sz w:val="20"/>
        </w:rPr>
        <w:t xml:space="preserve"> centro de servicios de la OMPI en la Federación de Rusia.  En este sentido, será especialmente importante impulsar los servicios mundiales de P.I. de la OMPI.  Dado el tamaño de la Federación de Rusia, </w:t>
      </w:r>
      <w:r>
        <w:rPr>
          <w:sz w:val="20"/>
        </w:rPr>
        <w:t xml:space="preserve">las tareas de divulgación </w:t>
      </w:r>
      <w:r w:rsidRPr="00ED4DE9">
        <w:rPr>
          <w:sz w:val="20"/>
        </w:rPr>
        <w:t>en las diferentes regiones del país constituirá</w:t>
      </w:r>
      <w:r>
        <w:rPr>
          <w:sz w:val="20"/>
        </w:rPr>
        <w:t>n</w:t>
      </w:r>
      <w:r w:rsidRPr="00ED4DE9">
        <w:rPr>
          <w:sz w:val="20"/>
        </w:rPr>
        <w:t xml:space="preserve"> un reto </w:t>
      </w:r>
      <w:r>
        <w:rPr>
          <w:sz w:val="20"/>
        </w:rPr>
        <w:t>importante</w:t>
      </w:r>
      <w:r w:rsidRPr="00ED4DE9">
        <w:rPr>
          <w:sz w:val="20"/>
        </w:rPr>
        <w:t xml:space="preserve">.  También tendrá una importancia especial la consolidación de la cooperación constructiva con el Gobierno de la Federación de Rusia así como las campañas de divulgación destinadas al sector académico y otros sectores interesados. </w:t>
      </w:r>
    </w:p>
    <w:p w:rsidR="00236E18" w:rsidRPr="00ED4DE9" w:rsidRDefault="00236E18" w:rsidP="00236E18">
      <w:pPr>
        <w:jc w:val="both"/>
        <w:rPr>
          <w:sz w:val="20"/>
        </w:rPr>
      </w:pPr>
    </w:p>
    <w:p w:rsidR="00236E18" w:rsidRPr="00ED4DE9" w:rsidRDefault="00236E18" w:rsidP="00236E18">
      <w:pPr>
        <w:numPr>
          <w:ilvl w:val="0"/>
          <w:numId w:val="35"/>
        </w:numPr>
        <w:jc w:val="both"/>
        <w:rPr>
          <w:sz w:val="20"/>
        </w:rPr>
      </w:pPr>
      <w:r>
        <w:rPr>
          <w:sz w:val="20"/>
        </w:rPr>
        <w:t>L</w:t>
      </w:r>
      <w:r w:rsidRPr="00ED4DE9">
        <w:rPr>
          <w:sz w:val="20"/>
        </w:rPr>
        <w:t xml:space="preserve">a Oficina de la OMPI en </w:t>
      </w:r>
      <w:r>
        <w:rPr>
          <w:sz w:val="20"/>
        </w:rPr>
        <w:t xml:space="preserve">la Federación de </w:t>
      </w:r>
      <w:r w:rsidRPr="00ED4DE9">
        <w:rPr>
          <w:sz w:val="20"/>
        </w:rPr>
        <w:t>Rusia se centrará, en particular, en la ejecución de programas concretos y adaptados a cada caso de asistencia técnica y fortalecimiento de capacidades, lo que incluye la prestación de apoyo continuado  al desarrollo de redes nacionales de CATI sostenibles.</w:t>
      </w:r>
    </w:p>
    <w:p w:rsidR="00236E18" w:rsidRPr="00ED4DE9" w:rsidRDefault="00236E18" w:rsidP="00236E18">
      <w:pPr>
        <w:jc w:val="both"/>
        <w:rPr>
          <w:sz w:val="20"/>
        </w:rPr>
      </w:pPr>
    </w:p>
    <w:p w:rsidR="00236E18" w:rsidRPr="00F74B7D" w:rsidRDefault="00236E18" w:rsidP="00236E18">
      <w:pPr>
        <w:jc w:val="both"/>
        <w:rPr>
          <w:sz w:val="20"/>
          <w:highlight w:val="lightGray"/>
        </w:rPr>
      </w:pPr>
    </w:p>
    <w:p w:rsidR="00236E18" w:rsidRPr="00F74B7D" w:rsidRDefault="00236E18" w:rsidP="00236E18">
      <w:pPr>
        <w:keepNext/>
        <w:keepLines/>
        <w:rPr>
          <w:highlight w:val="lightGray"/>
        </w:rPr>
      </w:pPr>
      <w:r w:rsidRPr="00F74B7D">
        <w:lastRenderedPageBreak/>
        <w:t>PRINCIPALES RIESGOS Y ESTRATEGIAS DE MITIGACIÓN</w:t>
      </w:r>
    </w:p>
    <w:p w:rsidR="00236E18" w:rsidRPr="0080529E" w:rsidRDefault="00236E18" w:rsidP="00236E18">
      <w:pPr>
        <w:keepNext/>
        <w:keepLines/>
        <w:jc w:val="both"/>
        <w:rPr>
          <w:sz w:val="16"/>
          <w:szCs w:val="1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111"/>
        <w:gridCol w:w="5103"/>
      </w:tblGrid>
      <w:tr w:rsidR="00236E18" w:rsidRPr="00F74B7D" w:rsidTr="00294272">
        <w:trPr>
          <w:trHeight w:val="577"/>
        </w:trPr>
        <w:tc>
          <w:tcPr>
            <w:tcW w:w="4111" w:type="dxa"/>
            <w:shd w:val="clear" w:color="auto" w:fill="B8CCE4" w:themeFill="accent1" w:themeFillTint="66"/>
            <w:vAlign w:val="center"/>
          </w:tcPr>
          <w:p w:rsidR="00236E18" w:rsidRPr="00F74B7D" w:rsidRDefault="00236E18" w:rsidP="00294272">
            <w:pPr>
              <w:keepNext/>
              <w:keepLines/>
              <w:jc w:val="center"/>
              <w:rPr>
                <w:b/>
                <w:bCs/>
                <w:sz w:val="18"/>
                <w:szCs w:val="18"/>
              </w:rPr>
            </w:pPr>
            <w:r w:rsidRPr="00F74B7D">
              <w:rPr>
                <w:b/>
                <w:bCs/>
                <w:sz w:val="18"/>
                <w:szCs w:val="18"/>
              </w:rPr>
              <w:t>Riesgo</w:t>
            </w:r>
          </w:p>
        </w:tc>
        <w:tc>
          <w:tcPr>
            <w:tcW w:w="5103" w:type="dxa"/>
            <w:shd w:val="clear" w:color="auto" w:fill="B8CCE4" w:themeFill="accent1" w:themeFillTint="66"/>
            <w:vAlign w:val="center"/>
          </w:tcPr>
          <w:p w:rsidR="00236E18" w:rsidRPr="00F74B7D" w:rsidRDefault="00236E18" w:rsidP="00294272">
            <w:pPr>
              <w:keepNext/>
              <w:keepLines/>
              <w:jc w:val="center"/>
              <w:rPr>
                <w:b/>
                <w:bCs/>
                <w:sz w:val="18"/>
                <w:szCs w:val="18"/>
              </w:rPr>
            </w:pPr>
            <w:r w:rsidRPr="00F74B7D">
              <w:rPr>
                <w:b/>
                <w:bCs/>
                <w:sz w:val="18"/>
                <w:szCs w:val="18"/>
              </w:rPr>
              <w:t>Mitigación</w:t>
            </w:r>
          </w:p>
        </w:tc>
      </w:tr>
      <w:tr w:rsidR="00236E18" w:rsidRPr="00F74B7D" w:rsidTr="00294272">
        <w:trPr>
          <w:trHeight w:val="791"/>
        </w:trPr>
        <w:tc>
          <w:tcPr>
            <w:tcW w:w="4111" w:type="dxa"/>
            <w:shd w:val="clear" w:color="auto" w:fill="auto"/>
            <w:tcMar>
              <w:top w:w="72" w:type="dxa"/>
              <w:left w:w="72" w:type="dxa"/>
              <w:bottom w:w="72" w:type="dxa"/>
              <w:right w:w="72" w:type="dxa"/>
            </w:tcMar>
          </w:tcPr>
          <w:p w:rsidR="00236E18" w:rsidRPr="00F74B7D" w:rsidRDefault="00236E18" w:rsidP="00294272">
            <w:pPr>
              <w:keepNext/>
              <w:keepLines/>
              <w:rPr>
                <w:sz w:val="16"/>
                <w:szCs w:val="16"/>
              </w:rPr>
            </w:pPr>
            <w:r w:rsidRPr="00F74B7D">
              <w:rPr>
                <w:sz w:val="16"/>
                <w:szCs w:val="16"/>
              </w:rPr>
              <w:t>La separación geográfica de las oficinas en el exterior con respecto a la sede puede ocasionar una fragmentación en la coordinación y la comunicación.</w:t>
            </w:r>
          </w:p>
        </w:tc>
        <w:tc>
          <w:tcPr>
            <w:tcW w:w="5103" w:type="dxa"/>
            <w:shd w:val="clear" w:color="auto" w:fill="auto"/>
            <w:tcMar>
              <w:top w:w="72" w:type="dxa"/>
              <w:left w:w="72" w:type="dxa"/>
              <w:bottom w:w="72" w:type="dxa"/>
              <w:right w:w="72" w:type="dxa"/>
            </w:tcMar>
          </w:tcPr>
          <w:p w:rsidR="00236E18" w:rsidRPr="00F74B7D" w:rsidRDefault="00236E18" w:rsidP="00294272">
            <w:pPr>
              <w:keepNext/>
              <w:keepLines/>
              <w:rPr>
                <w:sz w:val="16"/>
                <w:szCs w:val="16"/>
              </w:rPr>
            </w:pPr>
            <w:r w:rsidRPr="00F74B7D">
              <w:rPr>
                <w:sz w:val="16"/>
                <w:szCs w:val="16"/>
              </w:rPr>
              <w:t>Mantener un compromiso decidido, constante y estructurado para asegurar que la labor de las Oficinas en el exterior se integra plenamente en una red coherente y coordinada, en consonancia con el marco de resultados, los planes de trabajo y el funcionamiento cotidiano de la Organización.</w:t>
            </w:r>
          </w:p>
        </w:tc>
      </w:tr>
    </w:tbl>
    <w:p w:rsidR="00236E18" w:rsidRPr="0080529E" w:rsidRDefault="00236E18" w:rsidP="00236E18">
      <w:pPr>
        <w:jc w:val="both"/>
        <w:rPr>
          <w:sz w:val="16"/>
          <w:szCs w:val="16"/>
        </w:rPr>
      </w:pPr>
    </w:p>
    <w:p w:rsidR="00236E18" w:rsidRPr="0080529E" w:rsidRDefault="00236E18" w:rsidP="00236E18">
      <w:pPr>
        <w:jc w:val="both"/>
        <w:rPr>
          <w:sz w:val="16"/>
          <w:szCs w:val="16"/>
        </w:rPr>
      </w:pPr>
    </w:p>
    <w:p w:rsidR="00236E18" w:rsidRPr="00F74B7D" w:rsidRDefault="00236E18" w:rsidP="00236E18">
      <w:pPr>
        <w:jc w:val="both"/>
      </w:pPr>
      <w:r w:rsidRPr="00F74B7D">
        <w:t>MARCO DE RESULTADOS</w:t>
      </w:r>
    </w:p>
    <w:p w:rsidR="00236E18" w:rsidRPr="0080529E" w:rsidRDefault="00236E18" w:rsidP="00236E18">
      <w:pPr>
        <w:jc w:val="both"/>
        <w:rPr>
          <w:sz w:val="16"/>
          <w:szCs w:val="16"/>
        </w:rPr>
      </w:pPr>
    </w:p>
    <w:tbl>
      <w:tblPr>
        <w:tblW w:w="9229" w:type="dxa"/>
        <w:tblInd w:w="93" w:type="dxa"/>
        <w:tblLook w:val="04A0" w:firstRow="1" w:lastRow="0" w:firstColumn="1" w:lastColumn="0" w:noHBand="0" w:noVBand="1"/>
      </w:tblPr>
      <w:tblGrid>
        <w:gridCol w:w="2380"/>
        <w:gridCol w:w="2380"/>
        <w:gridCol w:w="2380"/>
        <w:gridCol w:w="2089"/>
      </w:tblGrid>
      <w:tr w:rsidR="00236E18" w:rsidRPr="004B02F2" w:rsidTr="00294272">
        <w:trPr>
          <w:trHeight w:val="553"/>
          <w:tblHeader/>
        </w:trPr>
        <w:tc>
          <w:tcPr>
            <w:tcW w:w="2380" w:type="dxa"/>
            <w:tcBorders>
              <w:top w:val="single" w:sz="4" w:space="0" w:color="auto"/>
              <w:left w:val="single" w:sz="4" w:space="0" w:color="auto"/>
              <w:bottom w:val="single" w:sz="4" w:space="0" w:color="auto"/>
              <w:right w:val="nil"/>
            </w:tcBorders>
            <w:shd w:val="clear" w:color="auto" w:fill="C6D9F1" w:themeFill="text2" w:themeFillTint="33"/>
            <w:tcMar>
              <w:top w:w="85" w:type="dxa"/>
            </w:tcMar>
            <w:vAlign w:val="center"/>
            <w:hideMark/>
          </w:tcPr>
          <w:p w:rsidR="00236E18" w:rsidRPr="004B02F2" w:rsidRDefault="00236E18" w:rsidP="00294272">
            <w:pPr>
              <w:jc w:val="center"/>
              <w:rPr>
                <w:b/>
                <w:bCs/>
                <w:sz w:val="18"/>
                <w:szCs w:val="18"/>
              </w:rPr>
            </w:pPr>
            <w:r w:rsidRPr="004B02F2">
              <w:rPr>
                <w:b/>
                <w:bCs/>
                <w:sz w:val="18"/>
                <w:szCs w:val="18"/>
              </w:rPr>
              <w:t xml:space="preserve">Resultados previstos </w:t>
            </w:r>
          </w:p>
        </w:tc>
        <w:tc>
          <w:tcPr>
            <w:tcW w:w="2380" w:type="dxa"/>
            <w:tcBorders>
              <w:top w:val="single" w:sz="4" w:space="0" w:color="auto"/>
              <w:left w:val="nil"/>
              <w:bottom w:val="single" w:sz="4" w:space="0" w:color="auto"/>
              <w:right w:val="nil"/>
            </w:tcBorders>
            <w:shd w:val="clear" w:color="auto" w:fill="C6D9F1" w:themeFill="text2" w:themeFillTint="33"/>
            <w:vAlign w:val="center"/>
          </w:tcPr>
          <w:p w:rsidR="00236E18" w:rsidRPr="004B02F2" w:rsidRDefault="00236E18" w:rsidP="00294272">
            <w:pPr>
              <w:jc w:val="center"/>
              <w:rPr>
                <w:b/>
                <w:bCs/>
                <w:sz w:val="18"/>
                <w:szCs w:val="18"/>
              </w:rPr>
            </w:pPr>
            <w:r w:rsidRPr="004B02F2">
              <w:rPr>
                <w:b/>
                <w:bCs/>
                <w:sz w:val="18"/>
                <w:szCs w:val="18"/>
              </w:rPr>
              <w:t>Indicadores de rendimiento</w:t>
            </w:r>
          </w:p>
        </w:tc>
        <w:tc>
          <w:tcPr>
            <w:tcW w:w="2380" w:type="dxa"/>
            <w:tcBorders>
              <w:top w:val="single" w:sz="4" w:space="0" w:color="auto"/>
              <w:left w:val="nil"/>
              <w:bottom w:val="single" w:sz="4" w:space="0" w:color="auto"/>
              <w:right w:val="nil"/>
            </w:tcBorders>
            <w:shd w:val="clear" w:color="auto" w:fill="C6D9F1" w:themeFill="text2" w:themeFillTint="33"/>
            <w:vAlign w:val="center"/>
          </w:tcPr>
          <w:p w:rsidR="00236E18" w:rsidRPr="004B02F2" w:rsidRDefault="00236E18" w:rsidP="00294272">
            <w:pPr>
              <w:jc w:val="center"/>
              <w:rPr>
                <w:b/>
                <w:bCs/>
                <w:sz w:val="18"/>
                <w:szCs w:val="18"/>
              </w:rPr>
            </w:pPr>
            <w:r w:rsidRPr="004B02F2">
              <w:rPr>
                <w:b/>
                <w:bCs/>
                <w:sz w:val="18"/>
                <w:szCs w:val="18"/>
              </w:rPr>
              <w:t>Referencia</w:t>
            </w:r>
          </w:p>
        </w:tc>
        <w:tc>
          <w:tcPr>
            <w:tcW w:w="2089" w:type="dxa"/>
            <w:tcBorders>
              <w:top w:val="single" w:sz="4" w:space="0" w:color="auto"/>
              <w:left w:val="nil"/>
              <w:bottom w:val="single" w:sz="4" w:space="0" w:color="auto"/>
              <w:right w:val="single" w:sz="4" w:space="0" w:color="auto"/>
            </w:tcBorders>
            <w:shd w:val="clear" w:color="auto" w:fill="C6D9F1" w:themeFill="text2" w:themeFillTint="33"/>
            <w:vAlign w:val="center"/>
          </w:tcPr>
          <w:p w:rsidR="00236E18" w:rsidRPr="004B02F2" w:rsidRDefault="00236E18" w:rsidP="00294272">
            <w:pPr>
              <w:jc w:val="center"/>
              <w:rPr>
                <w:b/>
                <w:bCs/>
                <w:sz w:val="18"/>
                <w:szCs w:val="18"/>
              </w:rPr>
            </w:pPr>
            <w:r w:rsidRPr="004B02F2">
              <w:rPr>
                <w:b/>
                <w:bCs/>
                <w:sz w:val="18"/>
                <w:szCs w:val="18"/>
              </w:rPr>
              <w:t>Objetivos</w:t>
            </w:r>
          </w:p>
        </w:tc>
      </w:tr>
      <w:tr w:rsidR="00236E18" w:rsidRPr="000C3684" w:rsidTr="00294272">
        <w:trPr>
          <w:trHeight w:val="1255"/>
        </w:trPr>
        <w:tc>
          <w:tcPr>
            <w:tcW w:w="2380" w:type="dxa"/>
            <w:tcBorders>
              <w:top w:val="single" w:sz="4" w:space="0" w:color="auto"/>
              <w:left w:val="single" w:sz="4" w:space="0" w:color="auto"/>
              <w:bottom w:val="nil"/>
              <w:right w:val="nil"/>
            </w:tcBorders>
            <w:shd w:val="clear" w:color="auto" w:fill="auto"/>
            <w:tcMar>
              <w:top w:w="85" w:type="dxa"/>
            </w:tcMar>
            <w:hideMark/>
          </w:tcPr>
          <w:p w:rsidR="00236E18" w:rsidRPr="004B02F2" w:rsidRDefault="00236E18" w:rsidP="00294272">
            <w:pPr>
              <w:rPr>
                <w:sz w:val="16"/>
                <w:szCs w:val="16"/>
              </w:rPr>
            </w:pPr>
            <w:r w:rsidRPr="004B02F2">
              <w:rPr>
                <w:sz w:val="16"/>
                <w:szCs w:val="16"/>
              </w:rPr>
              <w:t>I</w:t>
            </w:r>
            <w:r w:rsidRPr="001C42F2">
              <w:rPr>
                <w:sz w:val="16"/>
                <w:szCs w:val="16"/>
              </w:rPr>
              <w:t>.1  Mayor cooperación entre los Estados miembros en la elaboración de marcos normativos internacionales de P.I. equilibrados</w:t>
            </w:r>
          </w:p>
        </w:tc>
        <w:tc>
          <w:tcPr>
            <w:tcW w:w="2380" w:type="dxa"/>
            <w:tcBorders>
              <w:top w:val="single" w:sz="4" w:space="0" w:color="auto"/>
              <w:left w:val="nil"/>
              <w:bottom w:val="nil"/>
              <w:right w:val="nil"/>
            </w:tcBorders>
          </w:tcPr>
          <w:p w:rsidR="00236E18" w:rsidRPr="004B02F2" w:rsidRDefault="00236E18" w:rsidP="00294272">
            <w:pPr>
              <w:rPr>
                <w:color w:val="000000"/>
                <w:sz w:val="16"/>
                <w:szCs w:val="16"/>
              </w:rPr>
            </w:pPr>
            <w:r w:rsidRPr="004B02F2">
              <w:rPr>
                <w:color w:val="000000"/>
                <w:sz w:val="16"/>
                <w:szCs w:val="16"/>
              </w:rPr>
              <w:t>N</w:t>
            </w:r>
            <w:r>
              <w:rPr>
                <w:color w:val="000000"/>
                <w:sz w:val="16"/>
                <w:szCs w:val="16"/>
              </w:rPr>
              <w:t>º</w:t>
            </w:r>
            <w:r w:rsidRPr="004B02F2">
              <w:rPr>
                <w:color w:val="000000"/>
                <w:sz w:val="16"/>
                <w:szCs w:val="16"/>
              </w:rPr>
              <w:t xml:space="preserve"> de ratificaciones o de adhesiones al Tratado de Marrakech.</w:t>
            </w:r>
            <w:r w:rsidRPr="004B02F2">
              <w:rPr>
                <w:color w:val="000000"/>
                <w:sz w:val="16"/>
                <w:szCs w:val="16"/>
              </w:rPr>
              <w:br/>
            </w:r>
            <w:r w:rsidRPr="004B02F2">
              <w:rPr>
                <w:color w:val="000000"/>
                <w:sz w:val="16"/>
                <w:szCs w:val="16"/>
              </w:rPr>
              <w:br/>
            </w:r>
            <w:r w:rsidRPr="004B02F2">
              <w:rPr>
                <w:color w:val="000000"/>
                <w:sz w:val="16"/>
                <w:szCs w:val="16"/>
              </w:rPr>
              <w:br/>
            </w:r>
          </w:p>
        </w:tc>
        <w:tc>
          <w:tcPr>
            <w:tcW w:w="2380" w:type="dxa"/>
            <w:tcBorders>
              <w:top w:val="single" w:sz="4" w:space="0" w:color="auto"/>
              <w:left w:val="nil"/>
              <w:bottom w:val="nil"/>
              <w:right w:val="nil"/>
            </w:tcBorders>
          </w:tcPr>
          <w:p w:rsidR="00236E18" w:rsidRPr="004B02F2" w:rsidRDefault="00236E18" w:rsidP="00294272">
            <w:pPr>
              <w:rPr>
                <w:color w:val="000000"/>
                <w:sz w:val="16"/>
                <w:szCs w:val="16"/>
                <w:lang w:val="en-US"/>
              </w:rPr>
            </w:pPr>
            <w:r w:rsidRPr="004B02F2">
              <w:rPr>
                <w:color w:val="000000"/>
                <w:sz w:val="16"/>
                <w:szCs w:val="16"/>
                <w:lang w:val="en-US"/>
              </w:rPr>
              <w:t>0 (OOS)</w:t>
            </w:r>
            <w:r w:rsidRPr="004B02F2">
              <w:rPr>
                <w:color w:val="000000"/>
                <w:sz w:val="16"/>
                <w:szCs w:val="16"/>
                <w:lang w:val="en-US"/>
              </w:rPr>
              <w:br/>
              <w:t xml:space="preserve">0 (OOB)   </w:t>
            </w:r>
            <w:r w:rsidRPr="004B02F2">
              <w:rPr>
                <w:color w:val="000000"/>
                <w:sz w:val="16"/>
                <w:szCs w:val="16"/>
                <w:lang w:val="en-US"/>
              </w:rPr>
              <w:br/>
              <w:t>0 (OOJ)</w:t>
            </w:r>
            <w:r w:rsidRPr="004B02F2">
              <w:rPr>
                <w:color w:val="000000"/>
                <w:sz w:val="16"/>
                <w:szCs w:val="16"/>
                <w:lang w:val="en-US"/>
              </w:rPr>
              <w:br/>
              <w:t xml:space="preserve">0 (OOR)  </w:t>
            </w:r>
            <w:r w:rsidRPr="004B02F2">
              <w:rPr>
                <w:color w:val="000000"/>
                <w:sz w:val="16"/>
                <w:szCs w:val="16"/>
                <w:lang w:val="en-US"/>
              </w:rPr>
              <w:br/>
              <w:t>0 (OOC)</w:t>
            </w:r>
            <w:r w:rsidRPr="004B02F2">
              <w:rPr>
                <w:color w:val="000000"/>
                <w:sz w:val="16"/>
                <w:szCs w:val="16"/>
                <w:lang w:val="en-US"/>
              </w:rPr>
              <w:br/>
              <w:t xml:space="preserve">                                                 </w:t>
            </w:r>
          </w:p>
        </w:tc>
        <w:tc>
          <w:tcPr>
            <w:tcW w:w="2089" w:type="dxa"/>
            <w:tcBorders>
              <w:top w:val="single" w:sz="4" w:space="0" w:color="auto"/>
              <w:left w:val="nil"/>
              <w:bottom w:val="nil"/>
              <w:right w:val="single" w:sz="4" w:space="0" w:color="auto"/>
            </w:tcBorders>
          </w:tcPr>
          <w:p w:rsidR="00236E18" w:rsidRPr="004B02F2" w:rsidRDefault="00236E18" w:rsidP="00294272">
            <w:pPr>
              <w:rPr>
                <w:sz w:val="16"/>
                <w:szCs w:val="16"/>
                <w:lang w:val="en-US"/>
              </w:rPr>
            </w:pPr>
            <w:r w:rsidRPr="004B02F2">
              <w:rPr>
                <w:sz w:val="16"/>
                <w:szCs w:val="16"/>
                <w:lang w:val="en-US"/>
              </w:rPr>
              <w:t>2(OOS)</w:t>
            </w:r>
          </w:p>
          <w:p w:rsidR="00236E18" w:rsidRPr="004B02F2" w:rsidRDefault="00236E18" w:rsidP="00294272">
            <w:pPr>
              <w:rPr>
                <w:color w:val="000000"/>
                <w:sz w:val="16"/>
                <w:szCs w:val="16"/>
                <w:lang w:val="en-US"/>
              </w:rPr>
            </w:pPr>
            <w:r w:rsidRPr="004B02F2">
              <w:rPr>
                <w:color w:val="000000"/>
                <w:sz w:val="16"/>
                <w:szCs w:val="16"/>
                <w:lang w:val="en-US"/>
              </w:rPr>
              <w:t>1(OOB)</w:t>
            </w:r>
          </w:p>
          <w:p w:rsidR="00236E18" w:rsidRPr="004B02F2" w:rsidRDefault="00236E18" w:rsidP="00294272">
            <w:pPr>
              <w:rPr>
                <w:sz w:val="16"/>
                <w:szCs w:val="16"/>
                <w:lang w:val="en-US"/>
              </w:rPr>
            </w:pPr>
            <w:r w:rsidRPr="004B02F2">
              <w:rPr>
                <w:color w:val="000000"/>
                <w:sz w:val="16"/>
                <w:szCs w:val="16"/>
                <w:lang w:val="en-US"/>
              </w:rPr>
              <w:t>1(OOJ)</w:t>
            </w:r>
            <w:r w:rsidRPr="004B02F2">
              <w:rPr>
                <w:color w:val="000000"/>
                <w:sz w:val="16"/>
                <w:szCs w:val="16"/>
                <w:lang w:val="en-US"/>
              </w:rPr>
              <w:br/>
              <w:t xml:space="preserve">1(OOR)  </w:t>
            </w:r>
            <w:r w:rsidRPr="004B02F2">
              <w:rPr>
                <w:color w:val="000000"/>
                <w:sz w:val="16"/>
                <w:szCs w:val="16"/>
                <w:lang w:val="en-US"/>
              </w:rPr>
              <w:br/>
              <w:t>1(OOC)</w:t>
            </w:r>
            <w:r w:rsidRPr="004B02F2">
              <w:rPr>
                <w:color w:val="000000"/>
                <w:sz w:val="16"/>
                <w:szCs w:val="16"/>
                <w:lang w:val="en-US"/>
              </w:rPr>
              <w:br/>
            </w:r>
          </w:p>
        </w:tc>
      </w:tr>
      <w:tr w:rsidR="00236E18" w:rsidRPr="004B02F2" w:rsidTr="00294272">
        <w:trPr>
          <w:trHeight w:val="344"/>
        </w:trPr>
        <w:tc>
          <w:tcPr>
            <w:tcW w:w="2380" w:type="dxa"/>
            <w:tcBorders>
              <w:top w:val="nil"/>
              <w:left w:val="single" w:sz="4" w:space="0" w:color="auto"/>
              <w:right w:val="nil"/>
            </w:tcBorders>
            <w:shd w:val="clear" w:color="auto" w:fill="auto"/>
            <w:tcMar>
              <w:top w:w="85" w:type="dxa"/>
            </w:tcMar>
            <w:hideMark/>
          </w:tcPr>
          <w:p w:rsidR="00236E18" w:rsidRPr="004B02F2" w:rsidRDefault="00236E18" w:rsidP="00294272">
            <w:pPr>
              <w:rPr>
                <w:sz w:val="16"/>
                <w:szCs w:val="16"/>
                <w:lang w:val="en-US"/>
              </w:rPr>
            </w:pPr>
            <w:r w:rsidRPr="004B02F2">
              <w:rPr>
                <w:sz w:val="16"/>
                <w:szCs w:val="16"/>
                <w:lang w:val="en-US"/>
              </w:rPr>
              <w:t> </w:t>
            </w:r>
          </w:p>
        </w:tc>
        <w:tc>
          <w:tcPr>
            <w:tcW w:w="2380" w:type="dxa"/>
            <w:tcBorders>
              <w:top w:val="nil"/>
              <w:left w:val="nil"/>
              <w:right w:val="nil"/>
            </w:tcBorders>
          </w:tcPr>
          <w:p w:rsidR="00236E18" w:rsidRPr="004B02F2" w:rsidRDefault="00236E18" w:rsidP="00294272">
            <w:pPr>
              <w:rPr>
                <w:color w:val="000000"/>
                <w:sz w:val="16"/>
                <w:szCs w:val="16"/>
              </w:rPr>
            </w:pPr>
            <w:r w:rsidRPr="004B02F2">
              <w:rPr>
                <w:color w:val="000000"/>
                <w:sz w:val="16"/>
                <w:szCs w:val="16"/>
              </w:rPr>
              <w:t>N</w:t>
            </w:r>
            <w:r>
              <w:rPr>
                <w:color w:val="000000"/>
                <w:sz w:val="16"/>
                <w:szCs w:val="16"/>
              </w:rPr>
              <w:t>º</w:t>
            </w:r>
            <w:r w:rsidRPr="004B02F2">
              <w:rPr>
                <w:color w:val="000000"/>
                <w:sz w:val="16"/>
                <w:szCs w:val="16"/>
              </w:rPr>
              <w:t xml:space="preserve"> de ratificaciones o de adhesiones al Tratado de Beijing.</w:t>
            </w:r>
          </w:p>
          <w:p w:rsidR="00236E18" w:rsidRPr="004B02F2" w:rsidRDefault="00236E18" w:rsidP="00294272">
            <w:pPr>
              <w:rPr>
                <w:color w:val="000000"/>
                <w:sz w:val="16"/>
                <w:szCs w:val="16"/>
              </w:rPr>
            </w:pPr>
          </w:p>
        </w:tc>
        <w:tc>
          <w:tcPr>
            <w:tcW w:w="2380" w:type="dxa"/>
            <w:tcBorders>
              <w:top w:val="nil"/>
              <w:left w:val="nil"/>
              <w:right w:val="nil"/>
            </w:tcBorders>
          </w:tcPr>
          <w:p w:rsidR="00236E18" w:rsidRPr="004B02F2" w:rsidRDefault="00236E18" w:rsidP="00294272">
            <w:pPr>
              <w:rPr>
                <w:color w:val="000000"/>
                <w:sz w:val="16"/>
                <w:szCs w:val="16"/>
              </w:rPr>
            </w:pPr>
            <w:r w:rsidRPr="004B02F2">
              <w:rPr>
                <w:color w:val="000000"/>
                <w:sz w:val="16"/>
                <w:szCs w:val="16"/>
              </w:rPr>
              <w:t>0 (OOS)</w:t>
            </w:r>
            <w:r w:rsidRPr="004B02F2">
              <w:rPr>
                <w:color w:val="000000"/>
                <w:sz w:val="16"/>
                <w:szCs w:val="16"/>
              </w:rPr>
              <w:br/>
              <w:t xml:space="preserve">0 (OOR) </w:t>
            </w:r>
          </w:p>
          <w:p w:rsidR="00236E18" w:rsidRPr="004B02F2" w:rsidRDefault="00236E18" w:rsidP="00294272">
            <w:pPr>
              <w:rPr>
                <w:color w:val="000000"/>
                <w:sz w:val="16"/>
                <w:szCs w:val="16"/>
              </w:rPr>
            </w:pPr>
            <w:r w:rsidRPr="004B02F2">
              <w:rPr>
                <w:color w:val="000000"/>
                <w:sz w:val="16"/>
                <w:szCs w:val="16"/>
              </w:rPr>
              <w:t xml:space="preserve">                          </w:t>
            </w:r>
          </w:p>
        </w:tc>
        <w:tc>
          <w:tcPr>
            <w:tcW w:w="2089" w:type="dxa"/>
            <w:tcBorders>
              <w:top w:val="nil"/>
              <w:left w:val="nil"/>
              <w:right w:val="single" w:sz="4" w:space="0" w:color="auto"/>
            </w:tcBorders>
          </w:tcPr>
          <w:p w:rsidR="00236E18" w:rsidRPr="004B02F2" w:rsidRDefault="00236E18" w:rsidP="00294272">
            <w:pPr>
              <w:rPr>
                <w:sz w:val="16"/>
                <w:szCs w:val="16"/>
              </w:rPr>
            </w:pPr>
            <w:r w:rsidRPr="004B02F2">
              <w:rPr>
                <w:sz w:val="16"/>
                <w:szCs w:val="16"/>
              </w:rPr>
              <w:t>2(OOS)</w:t>
            </w:r>
          </w:p>
          <w:p w:rsidR="00236E18" w:rsidRPr="004B02F2" w:rsidRDefault="00236E18" w:rsidP="00294272">
            <w:pPr>
              <w:rPr>
                <w:sz w:val="16"/>
                <w:szCs w:val="16"/>
              </w:rPr>
            </w:pPr>
            <w:r w:rsidRPr="004B02F2">
              <w:rPr>
                <w:color w:val="000000"/>
                <w:sz w:val="16"/>
                <w:szCs w:val="16"/>
              </w:rPr>
              <w:t xml:space="preserve">1(OOR)  </w:t>
            </w:r>
            <w:r w:rsidRPr="004B02F2">
              <w:rPr>
                <w:color w:val="000000"/>
                <w:sz w:val="16"/>
                <w:szCs w:val="16"/>
              </w:rPr>
              <w:br/>
            </w:r>
            <w:r w:rsidRPr="004B02F2">
              <w:rPr>
                <w:color w:val="000000"/>
                <w:sz w:val="16"/>
                <w:szCs w:val="16"/>
              </w:rPr>
              <w:br/>
            </w:r>
            <w:r w:rsidRPr="004B02F2">
              <w:rPr>
                <w:color w:val="FF0000"/>
                <w:sz w:val="16"/>
                <w:szCs w:val="16"/>
              </w:rPr>
              <w:t> </w:t>
            </w:r>
          </w:p>
        </w:tc>
      </w:tr>
      <w:tr w:rsidR="00236E18" w:rsidRPr="004B02F2" w:rsidTr="00294272">
        <w:trPr>
          <w:trHeight w:val="716"/>
        </w:trPr>
        <w:tc>
          <w:tcPr>
            <w:tcW w:w="2380" w:type="dxa"/>
            <w:tcBorders>
              <w:top w:val="nil"/>
              <w:left w:val="single" w:sz="4" w:space="0" w:color="auto"/>
              <w:right w:val="nil"/>
            </w:tcBorders>
            <w:shd w:val="clear" w:color="auto" w:fill="auto"/>
            <w:tcMar>
              <w:top w:w="85" w:type="dxa"/>
            </w:tcMar>
            <w:hideMark/>
          </w:tcPr>
          <w:p w:rsidR="00236E18" w:rsidRPr="004B02F2" w:rsidRDefault="00236E18" w:rsidP="00294272">
            <w:pPr>
              <w:rPr>
                <w:sz w:val="16"/>
                <w:szCs w:val="16"/>
              </w:rPr>
            </w:pPr>
            <w:r w:rsidRPr="004B02F2">
              <w:rPr>
                <w:sz w:val="16"/>
                <w:szCs w:val="16"/>
              </w:rPr>
              <w:t> </w:t>
            </w:r>
          </w:p>
        </w:tc>
        <w:tc>
          <w:tcPr>
            <w:tcW w:w="2380" w:type="dxa"/>
            <w:tcBorders>
              <w:top w:val="nil"/>
              <w:left w:val="nil"/>
              <w:right w:val="nil"/>
            </w:tcBorders>
          </w:tcPr>
          <w:p w:rsidR="00236E18" w:rsidRPr="004B02F2" w:rsidRDefault="00236E18" w:rsidP="00294272">
            <w:pPr>
              <w:rPr>
                <w:color w:val="000000"/>
                <w:sz w:val="16"/>
                <w:szCs w:val="16"/>
              </w:rPr>
            </w:pPr>
            <w:r w:rsidRPr="004B02F2">
              <w:rPr>
                <w:color w:val="000000"/>
                <w:sz w:val="16"/>
                <w:szCs w:val="16"/>
              </w:rPr>
              <w:t>N</w:t>
            </w:r>
            <w:r>
              <w:rPr>
                <w:color w:val="000000"/>
                <w:sz w:val="16"/>
                <w:szCs w:val="16"/>
              </w:rPr>
              <w:t>º</w:t>
            </w:r>
            <w:r w:rsidRPr="004B02F2">
              <w:rPr>
                <w:color w:val="000000"/>
                <w:sz w:val="16"/>
                <w:szCs w:val="16"/>
              </w:rPr>
              <w:t xml:space="preserve"> de ratificaciones o de adhesiones al Tratado de Singapur.  </w:t>
            </w:r>
          </w:p>
        </w:tc>
        <w:tc>
          <w:tcPr>
            <w:tcW w:w="2380" w:type="dxa"/>
            <w:tcBorders>
              <w:top w:val="nil"/>
              <w:left w:val="nil"/>
              <w:right w:val="nil"/>
            </w:tcBorders>
          </w:tcPr>
          <w:p w:rsidR="00236E18" w:rsidRPr="004B02F2" w:rsidRDefault="00236E18" w:rsidP="00294272">
            <w:pPr>
              <w:rPr>
                <w:color w:val="000000"/>
                <w:sz w:val="16"/>
                <w:szCs w:val="16"/>
              </w:rPr>
            </w:pPr>
            <w:r w:rsidRPr="004B02F2">
              <w:rPr>
                <w:color w:val="000000"/>
                <w:sz w:val="16"/>
                <w:szCs w:val="16"/>
              </w:rPr>
              <w:t>1 (OOS)</w:t>
            </w:r>
            <w:r w:rsidRPr="004B02F2">
              <w:rPr>
                <w:color w:val="000000"/>
                <w:sz w:val="16"/>
                <w:szCs w:val="16"/>
              </w:rPr>
              <w:br/>
              <w:t>0 (OOJ)</w:t>
            </w:r>
          </w:p>
        </w:tc>
        <w:tc>
          <w:tcPr>
            <w:tcW w:w="2089" w:type="dxa"/>
            <w:tcBorders>
              <w:top w:val="nil"/>
              <w:left w:val="nil"/>
              <w:right w:val="single" w:sz="4" w:space="0" w:color="auto"/>
            </w:tcBorders>
          </w:tcPr>
          <w:p w:rsidR="00236E18" w:rsidRPr="004B02F2" w:rsidRDefault="00236E18" w:rsidP="00294272">
            <w:pPr>
              <w:rPr>
                <w:color w:val="000000"/>
                <w:sz w:val="16"/>
                <w:szCs w:val="16"/>
              </w:rPr>
            </w:pPr>
            <w:r w:rsidRPr="004B02F2">
              <w:rPr>
                <w:sz w:val="16"/>
                <w:szCs w:val="16"/>
              </w:rPr>
              <w:t xml:space="preserve">1 </w:t>
            </w:r>
            <w:r w:rsidRPr="004B02F2">
              <w:rPr>
                <w:color w:val="000000"/>
                <w:sz w:val="16"/>
                <w:szCs w:val="16"/>
              </w:rPr>
              <w:t>más (OOS)</w:t>
            </w:r>
          </w:p>
          <w:p w:rsidR="00236E18" w:rsidRPr="004B02F2" w:rsidRDefault="00236E18" w:rsidP="00294272">
            <w:pPr>
              <w:rPr>
                <w:sz w:val="16"/>
                <w:szCs w:val="16"/>
              </w:rPr>
            </w:pPr>
            <w:r w:rsidRPr="004B02F2">
              <w:rPr>
                <w:color w:val="000000"/>
                <w:sz w:val="16"/>
                <w:szCs w:val="16"/>
              </w:rPr>
              <w:t>1 (OOJ)</w:t>
            </w:r>
          </w:p>
        </w:tc>
      </w:tr>
      <w:tr w:rsidR="00236E18" w:rsidRPr="004B02F2" w:rsidTr="00294272">
        <w:trPr>
          <w:trHeight w:val="1625"/>
        </w:trPr>
        <w:tc>
          <w:tcPr>
            <w:tcW w:w="2380" w:type="dxa"/>
            <w:tcBorders>
              <w:left w:val="single" w:sz="4" w:space="0" w:color="auto"/>
              <w:bottom w:val="nil"/>
              <w:right w:val="nil"/>
            </w:tcBorders>
            <w:shd w:val="clear" w:color="auto" w:fill="auto"/>
            <w:tcMar>
              <w:top w:w="85" w:type="dxa"/>
            </w:tcMar>
            <w:hideMark/>
          </w:tcPr>
          <w:p w:rsidR="00236E18" w:rsidRPr="004B02F2" w:rsidRDefault="00236E18" w:rsidP="00294272">
            <w:pPr>
              <w:rPr>
                <w:sz w:val="16"/>
                <w:szCs w:val="16"/>
              </w:rPr>
            </w:pPr>
            <w:r w:rsidRPr="004B02F2">
              <w:rPr>
                <w:sz w:val="16"/>
                <w:szCs w:val="16"/>
              </w:rPr>
              <w:t> </w:t>
            </w:r>
          </w:p>
        </w:tc>
        <w:tc>
          <w:tcPr>
            <w:tcW w:w="2380" w:type="dxa"/>
            <w:tcBorders>
              <w:left w:val="nil"/>
              <w:bottom w:val="nil"/>
              <w:right w:val="nil"/>
            </w:tcBorders>
          </w:tcPr>
          <w:p w:rsidR="00236E18" w:rsidRPr="004B02F2" w:rsidRDefault="00236E18" w:rsidP="00294272">
            <w:pPr>
              <w:rPr>
                <w:color w:val="000000"/>
                <w:sz w:val="16"/>
                <w:szCs w:val="16"/>
              </w:rPr>
            </w:pPr>
            <w:r w:rsidRPr="004B02F2">
              <w:rPr>
                <w:color w:val="000000"/>
                <w:sz w:val="16"/>
                <w:szCs w:val="16"/>
              </w:rPr>
              <w:t>N</w:t>
            </w:r>
            <w:r>
              <w:rPr>
                <w:color w:val="000000"/>
                <w:sz w:val="16"/>
                <w:szCs w:val="16"/>
              </w:rPr>
              <w:t xml:space="preserve">º </w:t>
            </w:r>
            <w:r w:rsidRPr="004B02F2">
              <w:rPr>
                <w:color w:val="000000"/>
                <w:sz w:val="16"/>
                <w:szCs w:val="16"/>
              </w:rPr>
              <w:t>de ratificaciones o de adhesiones a los Tratados Internet.</w:t>
            </w:r>
          </w:p>
        </w:tc>
        <w:tc>
          <w:tcPr>
            <w:tcW w:w="2380" w:type="dxa"/>
            <w:tcBorders>
              <w:left w:val="nil"/>
              <w:bottom w:val="nil"/>
              <w:right w:val="nil"/>
            </w:tcBorders>
          </w:tcPr>
          <w:p w:rsidR="00236E18" w:rsidRPr="004B02F2" w:rsidRDefault="00236E18" w:rsidP="00294272">
            <w:pPr>
              <w:rPr>
                <w:color w:val="000000"/>
                <w:sz w:val="16"/>
                <w:szCs w:val="16"/>
              </w:rPr>
            </w:pPr>
            <w:r w:rsidRPr="004B02F2">
              <w:rPr>
                <w:color w:val="000000"/>
                <w:sz w:val="16"/>
                <w:szCs w:val="16"/>
              </w:rPr>
              <w:t>Tratado de la OMPI sobre Derecho de Autor:</w:t>
            </w:r>
            <w:r w:rsidRPr="004B02F2">
              <w:rPr>
                <w:color w:val="000000"/>
                <w:sz w:val="16"/>
                <w:szCs w:val="16"/>
              </w:rPr>
              <w:br/>
              <w:t xml:space="preserve">4 (OOS).   </w:t>
            </w:r>
            <w:r w:rsidRPr="004B02F2">
              <w:rPr>
                <w:color w:val="000000"/>
                <w:sz w:val="16"/>
                <w:szCs w:val="16"/>
              </w:rPr>
              <w:br/>
              <w:t xml:space="preserve">                                                           </w:t>
            </w:r>
            <w:r w:rsidRPr="004B02F2">
              <w:rPr>
                <w:color w:val="000000"/>
                <w:sz w:val="16"/>
                <w:szCs w:val="16"/>
              </w:rPr>
              <w:br/>
              <w:t>Tratado de la OMPI sobre Interpretación y Ejecución de Fonogramas:</w:t>
            </w:r>
            <w:r w:rsidRPr="004B02F2">
              <w:rPr>
                <w:color w:val="000000"/>
                <w:sz w:val="16"/>
                <w:szCs w:val="16"/>
              </w:rPr>
              <w:br/>
              <w:t xml:space="preserve">4 (OOS).  </w:t>
            </w:r>
            <w:r w:rsidRPr="004B02F2">
              <w:rPr>
                <w:color w:val="000000"/>
                <w:sz w:val="16"/>
                <w:szCs w:val="16"/>
              </w:rPr>
              <w:br/>
              <w:t xml:space="preserve">                          </w:t>
            </w:r>
          </w:p>
        </w:tc>
        <w:tc>
          <w:tcPr>
            <w:tcW w:w="2089" w:type="dxa"/>
            <w:tcBorders>
              <w:left w:val="nil"/>
              <w:bottom w:val="nil"/>
              <w:right w:val="single" w:sz="4" w:space="0" w:color="auto"/>
            </w:tcBorders>
          </w:tcPr>
          <w:p w:rsidR="00236E18" w:rsidRPr="004B02F2" w:rsidRDefault="00236E18" w:rsidP="00294272">
            <w:pPr>
              <w:ind w:firstLineChars="200" w:firstLine="320"/>
              <w:rPr>
                <w:color w:val="FF0000"/>
                <w:sz w:val="16"/>
                <w:szCs w:val="16"/>
              </w:rPr>
            </w:pPr>
            <w:r w:rsidRPr="004B02F2">
              <w:rPr>
                <w:color w:val="FF0000"/>
                <w:sz w:val="16"/>
                <w:szCs w:val="16"/>
              </w:rPr>
              <w:t> </w:t>
            </w:r>
          </w:p>
          <w:p w:rsidR="00236E18" w:rsidRPr="004B02F2" w:rsidRDefault="00236E18" w:rsidP="00294272">
            <w:pPr>
              <w:rPr>
                <w:color w:val="000000"/>
                <w:sz w:val="16"/>
                <w:szCs w:val="16"/>
              </w:rPr>
            </w:pPr>
            <w:r w:rsidRPr="004B02F2">
              <w:rPr>
                <w:color w:val="000000"/>
                <w:sz w:val="16"/>
                <w:szCs w:val="16"/>
              </w:rPr>
              <w:t>1 más (OOS)</w:t>
            </w:r>
          </w:p>
          <w:p w:rsidR="00236E18" w:rsidRPr="004B02F2" w:rsidRDefault="00236E18" w:rsidP="00294272">
            <w:pPr>
              <w:ind w:firstLineChars="200" w:firstLine="320"/>
              <w:rPr>
                <w:color w:val="000000"/>
                <w:sz w:val="16"/>
                <w:szCs w:val="16"/>
              </w:rPr>
            </w:pPr>
          </w:p>
          <w:p w:rsidR="00236E18" w:rsidRPr="004B02F2" w:rsidRDefault="00236E18" w:rsidP="00294272">
            <w:pPr>
              <w:ind w:firstLineChars="200" w:firstLine="320"/>
              <w:rPr>
                <w:color w:val="000000"/>
                <w:sz w:val="16"/>
                <w:szCs w:val="16"/>
              </w:rPr>
            </w:pPr>
          </w:p>
          <w:p w:rsidR="00236E18" w:rsidRPr="004B02F2" w:rsidRDefault="00236E18" w:rsidP="00294272">
            <w:pPr>
              <w:ind w:firstLineChars="200" w:firstLine="320"/>
              <w:rPr>
                <w:color w:val="000000"/>
                <w:sz w:val="16"/>
                <w:szCs w:val="16"/>
              </w:rPr>
            </w:pPr>
          </w:p>
          <w:p w:rsidR="00236E18" w:rsidRPr="004B02F2" w:rsidRDefault="00236E18" w:rsidP="00294272">
            <w:pPr>
              <w:rPr>
                <w:sz w:val="16"/>
                <w:szCs w:val="16"/>
              </w:rPr>
            </w:pPr>
            <w:r w:rsidRPr="004B02F2">
              <w:rPr>
                <w:color w:val="000000"/>
                <w:sz w:val="16"/>
                <w:szCs w:val="16"/>
              </w:rPr>
              <w:t xml:space="preserve">1 más (OOS)   </w:t>
            </w:r>
          </w:p>
        </w:tc>
      </w:tr>
      <w:tr w:rsidR="00236E18" w:rsidRPr="004B02F2" w:rsidTr="00294272">
        <w:trPr>
          <w:trHeight w:val="947"/>
        </w:trPr>
        <w:tc>
          <w:tcPr>
            <w:tcW w:w="2380" w:type="dxa"/>
            <w:tcBorders>
              <w:top w:val="nil"/>
              <w:left w:val="single" w:sz="4" w:space="0" w:color="auto"/>
              <w:right w:val="nil"/>
            </w:tcBorders>
            <w:shd w:val="clear" w:color="auto" w:fill="auto"/>
            <w:tcMar>
              <w:top w:w="85" w:type="dxa"/>
            </w:tcMar>
            <w:hideMark/>
          </w:tcPr>
          <w:p w:rsidR="00236E18" w:rsidRPr="008D0192" w:rsidRDefault="00236E18" w:rsidP="00294272">
            <w:pPr>
              <w:rPr>
                <w:sz w:val="16"/>
                <w:szCs w:val="16"/>
              </w:rPr>
            </w:pPr>
            <w:r w:rsidRPr="008D0192">
              <w:rPr>
                <w:sz w:val="16"/>
                <w:szCs w:val="16"/>
              </w:rPr>
              <w:t xml:space="preserve">II.1  </w:t>
            </w:r>
            <w:r w:rsidRPr="008D0192">
              <w:rPr>
                <w:sz w:val="16"/>
                <w:szCs w:val="16"/>
                <w:lang w:val="es-ES_tradnl"/>
              </w:rPr>
              <w:t>Mayor y más eficaz utilización del Sistema del PCT para presentar solicitudes internacionales de patentes</w:t>
            </w:r>
          </w:p>
        </w:tc>
        <w:tc>
          <w:tcPr>
            <w:tcW w:w="2380" w:type="dxa"/>
            <w:tcBorders>
              <w:top w:val="nil"/>
              <w:left w:val="nil"/>
              <w:right w:val="nil"/>
            </w:tcBorders>
          </w:tcPr>
          <w:p w:rsidR="00236E18" w:rsidRPr="004B02F2" w:rsidRDefault="00236E18" w:rsidP="00294272">
            <w:pPr>
              <w:rPr>
                <w:color w:val="000000"/>
                <w:sz w:val="16"/>
                <w:szCs w:val="16"/>
              </w:rPr>
            </w:pPr>
            <w:r w:rsidRPr="004B02F2">
              <w:rPr>
                <w:color w:val="000000"/>
                <w:sz w:val="16"/>
                <w:szCs w:val="16"/>
              </w:rPr>
              <w:t>N</w:t>
            </w:r>
            <w:r>
              <w:rPr>
                <w:color w:val="000000"/>
                <w:sz w:val="16"/>
                <w:szCs w:val="16"/>
              </w:rPr>
              <w:t>º</w:t>
            </w:r>
            <w:r w:rsidRPr="004B02F2">
              <w:rPr>
                <w:color w:val="000000"/>
                <w:sz w:val="16"/>
                <w:szCs w:val="16"/>
              </w:rPr>
              <w:t xml:space="preserve"> de solicitudes PCT.</w:t>
            </w:r>
          </w:p>
        </w:tc>
        <w:tc>
          <w:tcPr>
            <w:tcW w:w="2380" w:type="dxa"/>
            <w:tcBorders>
              <w:top w:val="nil"/>
              <w:left w:val="nil"/>
              <w:right w:val="nil"/>
            </w:tcBorders>
          </w:tcPr>
          <w:p w:rsidR="00236E18" w:rsidRPr="004B02F2" w:rsidRDefault="00236E18" w:rsidP="00294272">
            <w:pPr>
              <w:rPr>
                <w:color w:val="000000"/>
                <w:sz w:val="16"/>
                <w:szCs w:val="16"/>
              </w:rPr>
            </w:pPr>
            <w:r w:rsidRPr="004B02F2">
              <w:rPr>
                <w:color w:val="000000"/>
                <w:sz w:val="16"/>
                <w:szCs w:val="16"/>
              </w:rPr>
              <w:t>1.387 (en 2014) (OOS)</w:t>
            </w:r>
            <w:r w:rsidRPr="004B02F2">
              <w:rPr>
                <w:color w:val="000000"/>
                <w:sz w:val="16"/>
                <w:szCs w:val="16"/>
              </w:rPr>
              <w:br/>
              <w:t xml:space="preserve">581 (en 2014) (OOB)  </w:t>
            </w:r>
            <w:r w:rsidRPr="004B02F2">
              <w:rPr>
                <w:color w:val="000000"/>
                <w:sz w:val="16"/>
                <w:szCs w:val="16"/>
              </w:rPr>
              <w:br/>
              <w:t>42.459 (en 2014) (OOJ)</w:t>
            </w:r>
            <w:r w:rsidRPr="004B02F2">
              <w:rPr>
                <w:i/>
                <w:iCs/>
                <w:color w:val="000000"/>
                <w:sz w:val="16"/>
                <w:szCs w:val="16"/>
              </w:rPr>
              <w:br/>
            </w:r>
            <w:r w:rsidRPr="004B02F2">
              <w:rPr>
                <w:color w:val="000000"/>
                <w:sz w:val="16"/>
                <w:szCs w:val="16"/>
              </w:rPr>
              <w:t>890 (en 2014) (OOR)</w:t>
            </w:r>
            <w:r w:rsidRPr="004B02F2">
              <w:rPr>
                <w:i/>
                <w:iCs/>
                <w:color w:val="000000"/>
                <w:sz w:val="16"/>
                <w:szCs w:val="16"/>
              </w:rPr>
              <w:br/>
            </w:r>
            <w:r w:rsidRPr="004B02F2">
              <w:rPr>
                <w:color w:val="000000"/>
                <w:sz w:val="16"/>
                <w:szCs w:val="16"/>
              </w:rPr>
              <w:t xml:space="preserve">25.539 (en 2014)  (OOC). </w:t>
            </w:r>
          </w:p>
        </w:tc>
        <w:tc>
          <w:tcPr>
            <w:tcW w:w="2089" w:type="dxa"/>
            <w:tcBorders>
              <w:top w:val="nil"/>
              <w:left w:val="nil"/>
              <w:right w:val="single" w:sz="4" w:space="0" w:color="auto"/>
            </w:tcBorders>
          </w:tcPr>
          <w:p w:rsidR="00236E18" w:rsidRPr="004B02F2" w:rsidRDefault="00236E18" w:rsidP="00294272">
            <w:pPr>
              <w:rPr>
                <w:sz w:val="16"/>
                <w:szCs w:val="16"/>
              </w:rPr>
            </w:pPr>
            <w:r w:rsidRPr="004B02F2">
              <w:rPr>
                <w:sz w:val="16"/>
                <w:szCs w:val="16"/>
              </w:rPr>
              <w:t>Incremento anual del 2% (todas las Oficinas)</w:t>
            </w:r>
          </w:p>
        </w:tc>
      </w:tr>
      <w:tr w:rsidR="00236E18" w:rsidRPr="004B02F2" w:rsidTr="00294272">
        <w:trPr>
          <w:trHeight w:val="1305"/>
        </w:trPr>
        <w:tc>
          <w:tcPr>
            <w:tcW w:w="2380" w:type="dxa"/>
            <w:tcBorders>
              <w:top w:val="nil"/>
              <w:left w:val="single" w:sz="4" w:space="0" w:color="auto"/>
              <w:right w:val="nil"/>
            </w:tcBorders>
            <w:shd w:val="clear" w:color="auto" w:fill="auto"/>
            <w:tcMar>
              <w:top w:w="85" w:type="dxa"/>
            </w:tcMar>
            <w:hideMark/>
          </w:tcPr>
          <w:p w:rsidR="00236E18" w:rsidRPr="008D0192" w:rsidRDefault="00236E18" w:rsidP="00294272">
            <w:pPr>
              <w:rPr>
                <w:sz w:val="16"/>
                <w:szCs w:val="16"/>
              </w:rPr>
            </w:pPr>
            <w:r w:rsidRPr="008D0192">
              <w:rPr>
                <w:sz w:val="16"/>
                <w:szCs w:val="16"/>
              </w:rPr>
              <w:t> </w:t>
            </w:r>
          </w:p>
        </w:tc>
        <w:tc>
          <w:tcPr>
            <w:tcW w:w="2380" w:type="dxa"/>
            <w:tcBorders>
              <w:top w:val="nil"/>
              <w:left w:val="nil"/>
              <w:right w:val="nil"/>
            </w:tcBorders>
          </w:tcPr>
          <w:p w:rsidR="00236E18" w:rsidRPr="004B02F2" w:rsidRDefault="00236E18" w:rsidP="00294272">
            <w:pPr>
              <w:rPr>
                <w:color w:val="000000"/>
                <w:sz w:val="16"/>
                <w:szCs w:val="16"/>
              </w:rPr>
            </w:pPr>
            <w:r w:rsidRPr="004B02F2">
              <w:rPr>
                <w:color w:val="000000"/>
                <w:sz w:val="16"/>
                <w:szCs w:val="16"/>
              </w:rPr>
              <w:t>Porcentaje de encargados de la adopción de políticas, funcionarios g</w:t>
            </w:r>
            <w:r>
              <w:rPr>
                <w:color w:val="000000"/>
                <w:sz w:val="16"/>
                <w:szCs w:val="16"/>
              </w:rPr>
              <w:t>u</w:t>
            </w:r>
            <w:r w:rsidRPr="004B02F2">
              <w:rPr>
                <w:color w:val="000000"/>
                <w:sz w:val="16"/>
                <w:szCs w:val="16"/>
              </w:rPr>
              <w:t>bernamentales, profesionales de la P.I. y participantes en talleres con un mayor conocimiento del PCT y los temas conexos.</w:t>
            </w:r>
          </w:p>
        </w:tc>
        <w:tc>
          <w:tcPr>
            <w:tcW w:w="2380" w:type="dxa"/>
            <w:tcBorders>
              <w:top w:val="nil"/>
              <w:left w:val="nil"/>
              <w:right w:val="nil"/>
            </w:tcBorders>
          </w:tcPr>
          <w:p w:rsidR="00236E18" w:rsidRPr="004B02F2" w:rsidRDefault="00236E18" w:rsidP="00294272">
            <w:pPr>
              <w:rPr>
                <w:color w:val="000000"/>
                <w:sz w:val="16"/>
                <w:szCs w:val="16"/>
              </w:rPr>
            </w:pPr>
            <w:r w:rsidRPr="004B02F2">
              <w:rPr>
                <w:color w:val="000000"/>
                <w:sz w:val="16"/>
                <w:szCs w:val="16"/>
              </w:rPr>
              <w:t xml:space="preserve">93% (OOS) </w:t>
            </w:r>
          </w:p>
          <w:p w:rsidR="00236E18" w:rsidRPr="004B02F2" w:rsidRDefault="00236E18" w:rsidP="00294272">
            <w:pPr>
              <w:rPr>
                <w:color w:val="000000"/>
                <w:sz w:val="16"/>
                <w:szCs w:val="16"/>
              </w:rPr>
            </w:pPr>
            <w:r w:rsidRPr="004B02F2">
              <w:rPr>
                <w:color w:val="000000"/>
                <w:sz w:val="16"/>
                <w:szCs w:val="16"/>
              </w:rPr>
              <w:t>75% (OOB)</w:t>
            </w:r>
          </w:p>
          <w:p w:rsidR="00236E18" w:rsidRPr="004B02F2" w:rsidRDefault="00236E18" w:rsidP="00294272">
            <w:pPr>
              <w:rPr>
                <w:color w:val="000000"/>
                <w:sz w:val="16"/>
                <w:szCs w:val="16"/>
              </w:rPr>
            </w:pPr>
            <w:r w:rsidRPr="004B02F2">
              <w:rPr>
                <w:color w:val="000000"/>
                <w:sz w:val="16"/>
                <w:szCs w:val="16"/>
              </w:rPr>
              <w:t>94% (OOJ)</w:t>
            </w:r>
            <w:r w:rsidRPr="004B02F2">
              <w:rPr>
                <w:color w:val="000000"/>
                <w:sz w:val="16"/>
                <w:szCs w:val="16"/>
              </w:rPr>
              <w:br/>
            </w:r>
          </w:p>
        </w:tc>
        <w:tc>
          <w:tcPr>
            <w:tcW w:w="2089" w:type="dxa"/>
            <w:tcBorders>
              <w:top w:val="nil"/>
              <w:left w:val="nil"/>
              <w:right w:val="single" w:sz="4" w:space="0" w:color="auto"/>
            </w:tcBorders>
          </w:tcPr>
          <w:p w:rsidR="00236E18" w:rsidRPr="004B02F2" w:rsidRDefault="00236E18" w:rsidP="00294272">
            <w:pPr>
              <w:rPr>
                <w:sz w:val="16"/>
                <w:szCs w:val="16"/>
              </w:rPr>
            </w:pPr>
            <w:r w:rsidRPr="004B02F2">
              <w:rPr>
                <w:sz w:val="16"/>
                <w:szCs w:val="16"/>
              </w:rPr>
              <w:t>75% (todas las Oficinas)</w:t>
            </w:r>
          </w:p>
        </w:tc>
      </w:tr>
      <w:tr w:rsidR="00236E18" w:rsidRPr="004B02F2" w:rsidTr="00294272">
        <w:trPr>
          <w:trHeight w:val="707"/>
        </w:trPr>
        <w:tc>
          <w:tcPr>
            <w:tcW w:w="2380" w:type="dxa"/>
            <w:tcBorders>
              <w:left w:val="single" w:sz="4" w:space="0" w:color="auto"/>
              <w:right w:val="nil"/>
            </w:tcBorders>
            <w:shd w:val="clear" w:color="auto" w:fill="auto"/>
            <w:tcMar>
              <w:top w:w="85" w:type="dxa"/>
            </w:tcMar>
            <w:hideMark/>
          </w:tcPr>
          <w:p w:rsidR="00236E18" w:rsidRPr="008D0192" w:rsidRDefault="00236E18" w:rsidP="00294272">
            <w:pPr>
              <w:rPr>
                <w:sz w:val="16"/>
                <w:szCs w:val="16"/>
              </w:rPr>
            </w:pPr>
            <w:r w:rsidRPr="008D0192">
              <w:rPr>
                <w:sz w:val="16"/>
                <w:szCs w:val="16"/>
              </w:rPr>
              <w:t xml:space="preserve">II.4  </w:t>
            </w:r>
            <w:r w:rsidRPr="008D0192">
              <w:rPr>
                <w:sz w:val="16"/>
                <w:szCs w:val="16"/>
                <w:lang w:val="es-ES_tradnl"/>
              </w:rPr>
              <w:t>Mayor y más eficaz utilización del Sistema de La Haya, entre otros, por los países en desarrollo y los PMA</w:t>
            </w:r>
          </w:p>
        </w:tc>
        <w:tc>
          <w:tcPr>
            <w:tcW w:w="2380" w:type="dxa"/>
            <w:tcBorders>
              <w:left w:val="nil"/>
              <w:right w:val="nil"/>
            </w:tcBorders>
          </w:tcPr>
          <w:p w:rsidR="00236E18" w:rsidRPr="004B02F2" w:rsidRDefault="00236E18" w:rsidP="00294272">
            <w:pPr>
              <w:rPr>
                <w:color w:val="000000"/>
                <w:sz w:val="16"/>
                <w:szCs w:val="16"/>
              </w:rPr>
            </w:pPr>
            <w:r w:rsidRPr="004B02F2">
              <w:rPr>
                <w:color w:val="000000"/>
                <w:sz w:val="16"/>
                <w:szCs w:val="16"/>
              </w:rPr>
              <w:t>N</w:t>
            </w:r>
            <w:r>
              <w:rPr>
                <w:color w:val="000000"/>
                <w:sz w:val="16"/>
                <w:szCs w:val="16"/>
              </w:rPr>
              <w:t>º</w:t>
            </w:r>
            <w:r w:rsidRPr="004B02F2">
              <w:rPr>
                <w:color w:val="000000"/>
                <w:sz w:val="16"/>
                <w:szCs w:val="16"/>
              </w:rPr>
              <w:t xml:space="preserve"> de miembros del Acta de Ginebra (1999).</w:t>
            </w:r>
          </w:p>
        </w:tc>
        <w:tc>
          <w:tcPr>
            <w:tcW w:w="2380" w:type="dxa"/>
            <w:tcBorders>
              <w:left w:val="nil"/>
              <w:right w:val="nil"/>
            </w:tcBorders>
          </w:tcPr>
          <w:p w:rsidR="00236E18" w:rsidRPr="004B02F2" w:rsidRDefault="00236E18" w:rsidP="00294272">
            <w:pPr>
              <w:rPr>
                <w:color w:val="000000"/>
                <w:sz w:val="16"/>
                <w:szCs w:val="16"/>
              </w:rPr>
            </w:pPr>
            <w:r w:rsidRPr="004B02F2">
              <w:rPr>
                <w:color w:val="000000"/>
                <w:sz w:val="16"/>
                <w:szCs w:val="16"/>
              </w:rPr>
              <w:t>2 (OOS)</w:t>
            </w:r>
            <w:r w:rsidRPr="004B02F2">
              <w:rPr>
                <w:color w:val="000000"/>
                <w:sz w:val="16"/>
                <w:szCs w:val="16"/>
              </w:rPr>
              <w:br/>
              <w:t>0 (OOR)</w:t>
            </w:r>
          </w:p>
        </w:tc>
        <w:tc>
          <w:tcPr>
            <w:tcW w:w="2089" w:type="dxa"/>
            <w:tcBorders>
              <w:left w:val="nil"/>
              <w:right w:val="single" w:sz="4" w:space="0" w:color="auto"/>
            </w:tcBorders>
          </w:tcPr>
          <w:p w:rsidR="00236E18" w:rsidRPr="004B02F2" w:rsidRDefault="00236E18" w:rsidP="00294272">
            <w:pPr>
              <w:rPr>
                <w:sz w:val="16"/>
                <w:szCs w:val="16"/>
              </w:rPr>
            </w:pPr>
            <w:r w:rsidRPr="004B02F2">
              <w:rPr>
                <w:sz w:val="16"/>
                <w:szCs w:val="16"/>
              </w:rPr>
              <w:t>3 más (OOS)</w:t>
            </w:r>
          </w:p>
          <w:p w:rsidR="00236E18" w:rsidRPr="004B02F2" w:rsidRDefault="00236E18" w:rsidP="00294272">
            <w:pPr>
              <w:rPr>
                <w:sz w:val="16"/>
                <w:szCs w:val="16"/>
              </w:rPr>
            </w:pPr>
            <w:r w:rsidRPr="004B02F2">
              <w:rPr>
                <w:color w:val="000000"/>
                <w:sz w:val="16"/>
                <w:szCs w:val="16"/>
              </w:rPr>
              <w:t>0 (OOR).</w:t>
            </w:r>
          </w:p>
        </w:tc>
      </w:tr>
      <w:tr w:rsidR="00236E18" w:rsidRPr="004B02F2" w:rsidTr="00294272">
        <w:trPr>
          <w:trHeight w:val="491"/>
        </w:trPr>
        <w:tc>
          <w:tcPr>
            <w:tcW w:w="2380" w:type="dxa"/>
            <w:tcBorders>
              <w:left w:val="single" w:sz="4" w:space="0" w:color="auto"/>
              <w:right w:val="nil"/>
            </w:tcBorders>
            <w:shd w:val="clear" w:color="auto" w:fill="auto"/>
            <w:tcMar>
              <w:top w:w="85" w:type="dxa"/>
            </w:tcMar>
            <w:hideMark/>
          </w:tcPr>
          <w:p w:rsidR="00236E18" w:rsidRPr="004B02F2" w:rsidRDefault="00236E18" w:rsidP="00294272">
            <w:pPr>
              <w:rPr>
                <w:sz w:val="16"/>
                <w:szCs w:val="16"/>
              </w:rPr>
            </w:pPr>
            <w:r w:rsidRPr="004B02F2">
              <w:rPr>
                <w:sz w:val="16"/>
                <w:szCs w:val="16"/>
              </w:rPr>
              <w:t> </w:t>
            </w:r>
          </w:p>
        </w:tc>
        <w:tc>
          <w:tcPr>
            <w:tcW w:w="2380" w:type="dxa"/>
            <w:tcBorders>
              <w:left w:val="nil"/>
              <w:right w:val="nil"/>
            </w:tcBorders>
          </w:tcPr>
          <w:p w:rsidR="00236E18" w:rsidRPr="004B02F2" w:rsidRDefault="00236E18" w:rsidP="00294272">
            <w:pPr>
              <w:rPr>
                <w:color w:val="000000"/>
                <w:sz w:val="16"/>
                <w:szCs w:val="16"/>
              </w:rPr>
            </w:pPr>
            <w:r w:rsidRPr="004B02F2">
              <w:rPr>
                <w:color w:val="000000"/>
                <w:sz w:val="16"/>
                <w:szCs w:val="16"/>
              </w:rPr>
              <w:t>N</w:t>
            </w:r>
            <w:r>
              <w:rPr>
                <w:color w:val="000000"/>
                <w:sz w:val="16"/>
                <w:szCs w:val="16"/>
              </w:rPr>
              <w:t>º</w:t>
            </w:r>
            <w:r w:rsidRPr="004B02F2">
              <w:rPr>
                <w:color w:val="000000"/>
                <w:sz w:val="16"/>
                <w:szCs w:val="16"/>
              </w:rPr>
              <w:t xml:space="preserve"> de solicitudes del Sistema de La Haya.</w:t>
            </w:r>
          </w:p>
        </w:tc>
        <w:tc>
          <w:tcPr>
            <w:tcW w:w="2380" w:type="dxa"/>
            <w:tcBorders>
              <w:left w:val="nil"/>
              <w:right w:val="nil"/>
            </w:tcBorders>
          </w:tcPr>
          <w:p w:rsidR="00236E18" w:rsidRPr="004B02F2" w:rsidRDefault="00236E18" w:rsidP="00294272">
            <w:pPr>
              <w:rPr>
                <w:color w:val="000000"/>
                <w:sz w:val="16"/>
                <w:szCs w:val="16"/>
              </w:rPr>
            </w:pPr>
            <w:r w:rsidRPr="004B02F2">
              <w:rPr>
                <w:color w:val="000000"/>
                <w:sz w:val="16"/>
                <w:szCs w:val="16"/>
              </w:rPr>
              <w:t>50 (OOS)</w:t>
            </w:r>
            <w:r w:rsidRPr="004B02F2">
              <w:rPr>
                <w:color w:val="000000"/>
                <w:sz w:val="16"/>
                <w:szCs w:val="16"/>
              </w:rPr>
              <w:br/>
              <w:t>0 (OOJ)</w:t>
            </w:r>
          </w:p>
        </w:tc>
        <w:tc>
          <w:tcPr>
            <w:tcW w:w="2089" w:type="dxa"/>
            <w:tcBorders>
              <w:left w:val="nil"/>
              <w:right w:val="single" w:sz="4" w:space="0" w:color="auto"/>
            </w:tcBorders>
          </w:tcPr>
          <w:p w:rsidR="00236E18" w:rsidRPr="004B02F2" w:rsidRDefault="00236E18" w:rsidP="00294272">
            <w:pPr>
              <w:rPr>
                <w:sz w:val="16"/>
                <w:szCs w:val="16"/>
              </w:rPr>
            </w:pPr>
            <w:r w:rsidRPr="004B02F2">
              <w:rPr>
                <w:sz w:val="16"/>
                <w:szCs w:val="16"/>
              </w:rPr>
              <w:t>Crecimiento anual del 2%.</w:t>
            </w:r>
          </w:p>
        </w:tc>
      </w:tr>
      <w:tr w:rsidR="00236E18" w:rsidRPr="004B02F2" w:rsidTr="00294272">
        <w:trPr>
          <w:trHeight w:val="123"/>
        </w:trPr>
        <w:tc>
          <w:tcPr>
            <w:tcW w:w="2380" w:type="dxa"/>
            <w:tcBorders>
              <w:top w:val="nil"/>
              <w:left w:val="single" w:sz="4" w:space="0" w:color="auto"/>
              <w:bottom w:val="single" w:sz="4" w:space="0" w:color="auto"/>
              <w:right w:val="nil"/>
            </w:tcBorders>
            <w:shd w:val="clear" w:color="auto" w:fill="auto"/>
            <w:tcMar>
              <w:top w:w="85" w:type="dxa"/>
            </w:tcMar>
            <w:hideMark/>
          </w:tcPr>
          <w:p w:rsidR="00236E18" w:rsidRPr="004B02F2" w:rsidRDefault="00236E18" w:rsidP="00294272">
            <w:pPr>
              <w:rPr>
                <w:sz w:val="16"/>
                <w:szCs w:val="16"/>
              </w:rPr>
            </w:pPr>
            <w:r w:rsidRPr="004B02F2">
              <w:rPr>
                <w:sz w:val="16"/>
                <w:szCs w:val="16"/>
              </w:rPr>
              <w:t> </w:t>
            </w:r>
          </w:p>
        </w:tc>
        <w:tc>
          <w:tcPr>
            <w:tcW w:w="2380" w:type="dxa"/>
            <w:tcBorders>
              <w:top w:val="nil"/>
              <w:left w:val="nil"/>
              <w:bottom w:val="single" w:sz="4" w:space="0" w:color="auto"/>
              <w:right w:val="nil"/>
            </w:tcBorders>
          </w:tcPr>
          <w:p w:rsidR="00236E18" w:rsidRPr="004B02F2" w:rsidRDefault="00236E18" w:rsidP="00294272">
            <w:pPr>
              <w:rPr>
                <w:color w:val="000000"/>
                <w:sz w:val="16"/>
                <w:szCs w:val="16"/>
              </w:rPr>
            </w:pPr>
            <w:r w:rsidRPr="004B02F2">
              <w:rPr>
                <w:color w:val="000000"/>
                <w:sz w:val="16"/>
                <w:szCs w:val="16"/>
              </w:rPr>
              <w:t>Porcentaje de encargados de la adopción de políticas, funcionarios gubernamentales, profesionales de la P.I. y participantes en talleres con un mayor conocimiento del Sistema de La Haya.</w:t>
            </w:r>
          </w:p>
          <w:p w:rsidR="00236E18" w:rsidRPr="004B02F2" w:rsidRDefault="00236E18" w:rsidP="00294272">
            <w:pPr>
              <w:rPr>
                <w:color w:val="000000"/>
                <w:sz w:val="12"/>
                <w:szCs w:val="12"/>
              </w:rPr>
            </w:pPr>
          </w:p>
        </w:tc>
        <w:tc>
          <w:tcPr>
            <w:tcW w:w="2380" w:type="dxa"/>
            <w:tcBorders>
              <w:top w:val="nil"/>
              <w:left w:val="nil"/>
              <w:bottom w:val="single" w:sz="4" w:space="0" w:color="auto"/>
              <w:right w:val="nil"/>
            </w:tcBorders>
          </w:tcPr>
          <w:p w:rsidR="00236E18" w:rsidRPr="004B02F2" w:rsidRDefault="00236E18" w:rsidP="00294272">
            <w:pPr>
              <w:rPr>
                <w:color w:val="000000"/>
                <w:sz w:val="16"/>
                <w:szCs w:val="16"/>
              </w:rPr>
            </w:pPr>
            <w:r w:rsidRPr="004B02F2">
              <w:rPr>
                <w:color w:val="000000"/>
                <w:sz w:val="16"/>
                <w:szCs w:val="16"/>
              </w:rPr>
              <w:t xml:space="preserve">85% (OOS) </w:t>
            </w:r>
          </w:p>
          <w:p w:rsidR="00236E18" w:rsidRPr="004B02F2" w:rsidRDefault="00236E18" w:rsidP="00294272">
            <w:pPr>
              <w:rPr>
                <w:color w:val="000000"/>
                <w:sz w:val="16"/>
                <w:szCs w:val="16"/>
              </w:rPr>
            </w:pPr>
            <w:r w:rsidRPr="004B02F2">
              <w:rPr>
                <w:color w:val="000000"/>
                <w:sz w:val="16"/>
                <w:szCs w:val="16"/>
              </w:rPr>
              <w:t>75% (OOB)</w:t>
            </w:r>
          </w:p>
          <w:p w:rsidR="00236E18" w:rsidRPr="004B02F2" w:rsidRDefault="00236E18" w:rsidP="00294272">
            <w:pPr>
              <w:rPr>
                <w:color w:val="000000"/>
                <w:sz w:val="16"/>
                <w:szCs w:val="16"/>
              </w:rPr>
            </w:pPr>
            <w:r w:rsidRPr="004B02F2">
              <w:rPr>
                <w:color w:val="000000"/>
                <w:sz w:val="16"/>
                <w:szCs w:val="16"/>
              </w:rPr>
              <w:t>94% (OOJ)</w:t>
            </w:r>
          </w:p>
        </w:tc>
        <w:tc>
          <w:tcPr>
            <w:tcW w:w="2089" w:type="dxa"/>
            <w:tcBorders>
              <w:top w:val="nil"/>
              <w:left w:val="nil"/>
              <w:bottom w:val="single" w:sz="4" w:space="0" w:color="auto"/>
              <w:right w:val="single" w:sz="4" w:space="0" w:color="auto"/>
            </w:tcBorders>
          </w:tcPr>
          <w:p w:rsidR="00236E18" w:rsidRPr="004B02F2" w:rsidRDefault="00236E18" w:rsidP="00294272">
            <w:pPr>
              <w:rPr>
                <w:sz w:val="16"/>
                <w:szCs w:val="16"/>
              </w:rPr>
            </w:pPr>
            <w:r w:rsidRPr="004B02F2">
              <w:rPr>
                <w:sz w:val="16"/>
                <w:szCs w:val="16"/>
              </w:rPr>
              <w:t>75%.</w:t>
            </w:r>
          </w:p>
        </w:tc>
      </w:tr>
      <w:tr w:rsidR="00236E18" w:rsidRPr="004B02F2" w:rsidTr="00294272">
        <w:trPr>
          <w:trHeight w:val="536"/>
        </w:trPr>
        <w:tc>
          <w:tcPr>
            <w:tcW w:w="2380" w:type="dxa"/>
            <w:tcBorders>
              <w:top w:val="single" w:sz="4" w:space="0" w:color="auto"/>
              <w:left w:val="single" w:sz="4" w:space="0" w:color="auto"/>
              <w:bottom w:val="nil"/>
              <w:right w:val="nil"/>
            </w:tcBorders>
            <w:shd w:val="clear" w:color="auto" w:fill="auto"/>
            <w:tcMar>
              <w:top w:w="85" w:type="dxa"/>
            </w:tcMar>
            <w:hideMark/>
          </w:tcPr>
          <w:p w:rsidR="00236E18" w:rsidRPr="008D0192" w:rsidRDefault="00236E18" w:rsidP="00294272">
            <w:pPr>
              <w:rPr>
                <w:sz w:val="16"/>
                <w:szCs w:val="16"/>
              </w:rPr>
            </w:pPr>
            <w:r w:rsidRPr="008D0192">
              <w:rPr>
                <w:sz w:val="16"/>
                <w:szCs w:val="16"/>
              </w:rPr>
              <w:lastRenderedPageBreak/>
              <w:t xml:space="preserve">II.6  </w:t>
            </w:r>
            <w:r w:rsidRPr="008D0192">
              <w:rPr>
                <w:sz w:val="16"/>
                <w:szCs w:val="16"/>
                <w:lang w:val="es-ES_tradnl"/>
              </w:rPr>
              <w:t>Mayor y más eficaz utilización del Sistema de Madrid, entre otros, por los países en desarrollo y los PMA</w:t>
            </w:r>
          </w:p>
        </w:tc>
        <w:tc>
          <w:tcPr>
            <w:tcW w:w="2380" w:type="dxa"/>
            <w:tcBorders>
              <w:top w:val="single" w:sz="4" w:space="0" w:color="auto"/>
              <w:left w:val="nil"/>
              <w:bottom w:val="nil"/>
              <w:right w:val="nil"/>
            </w:tcBorders>
          </w:tcPr>
          <w:p w:rsidR="00236E18" w:rsidRPr="004B02F2" w:rsidRDefault="00236E18" w:rsidP="00294272">
            <w:pPr>
              <w:rPr>
                <w:color w:val="000000"/>
                <w:sz w:val="16"/>
                <w:szCs w:val="16"/>
              </w:rPr>
            </w:pPr>
            <w:r w:rsidRPr="004B02F2">
              <w:rPr>
                <w:color w:val="000000"/>
                <w:sz w:val="16"/>
                <w:szCs w:val="16"/>
              </w:rPr>
              <w:t>N</w:t>
            </w:r>
            <w:r>
              <w:rPr>
                <w:color w:val="000000"/>
                <w:sz w:val="16"/>
                <w:szCs w:val="16"/>
              </w:rPr>
              <w:t>º</w:t>
            </w:r>
            <w:r w:rsidRPr="004B02F2">
              <w:rPr>
                <w:color w:val="000000"/>
                <w:sz w:val="16"/>
                <w:szCs w:val="16"/>
              </w:rPr>
              <w:t xml:space="preserve"> total de miembros del Sistema de Madrid.</w:t>
            </w:r>
          </w:p>
          <w:p w:rsidR="00236E18" w:rsidRPr="004B02F2" w:rsidRDefault="00236E18" w:rsidP="00294272">
            <w:pPr>
              <w:rPr>
                <w:color w:val="000000"/>
                <w:sz w:val="16"/>
                <w:szCs w:val="16"/>
              </w:rPr>
            </w:pPr>
          </w:p>
          <w:p w:rsidR="00236E18" w:rsidRPr="004B02F2" w:rsidRDefault="00236E18" w:rsidP="00294272">
            <w:pPr>
              <w:rPr>
                <w:color w:val="000000"/>
                <w:sz w:val="16"/>
                <w:szCs w:val="16"/>
              </w:rPr>
            </w:pPr>
            <w:r w:rsidRPr="004B02F2">
              <w:rPr>
                <w:color w:val="000000"/>
                <w:sz w:val="16"/>
                <w:szCs w:val="16"/>
              </w:rPr>
              <w:t>N</w:t>
            </w:r>
            <w:r>
              <w:rPr>
                <w:color w:val="000000"/>
                <w:sz w:val="16"/>
                <w:szCs w:val="16"/>
              </w:rPr>
              <w:t>º</w:t>
            </w:r>
            <w:r w:rsidRPr="004B02F2">
              <w:rPr>
                <w:color w:val="000000"/>
                <w:sz w:val="16"/>
                <w:szCs w:val="16"/>
              </w:rPr>
              <w:t xml:space="preserve"> de solicitudes del Sistema de Madrid.</w:t>
            </w:r>
          </w:p>
        </w:tc>
        <w:tc>
          <w:tcPr>
            <w:tcW w:w="2380" w:type="dxa"/>
            <w:tcBorders>
              <w:top w:val="single" w:sz="4" w:space="0" w:color="auto"/>
              <w:left w:val="nil"/>
              <w:bottom w:val="nil"/>
              <w:right w:val="nil"/>
            </w:tcBorders>
          </w:tcPr>
          <w:p w:rsidR="00236E18" w:rsidRPr="004B02F2" w:rsidRDefault="00236E18" w:rsidP="00294272">
            <w:pPr>
              <w:rPr>
                <w:color w:val="000000"/>
                <w:sz w:val="16"/>
                <w:szCs w:val="16"/>
                <w:lang w:val="en-US"/>
              </w:rPr>
            </w:pPr>
            <w:r w:rsidRPr="004B02F2">
              <w:rPr>
                <w:color w:val="000000"/>
                <w:sz w:val="16"/>
                <w:szCs w:val="16"/>
                <w:lang w:val="en-US"/>
              </w:rPr>
              <w:t>4 (OOS)</w:t>
            </w:r>
            <w:r w:rsidRPr="004B02F2">
              <w:rPr>
                <w:color w:val="000000"/>
                <w:sz w:val="16"/>
                <w:szCs w:val="16"/>
                <w:lang w:val="en-US"/>
              </w:rPr>
              <w:br/>
              <w:t xml:space="preserve"> </w:t>
            </w:r>
          </w:p>
          <w:p w:rsidR="00236E18" w:rsidRPr="004B02F2" w:rsidRDefault="00236E18" w:rsidP="00294272">
            <w:pPr>
              <w:rPr>
                <w:color w:val="000000"/>
                <w:sz w:val="16"/>
                <w:szCs w:val="16"/>
                <w:lang w:val="en-US"/>
              </w:rPr>
            </w:pPr>
          </w:p>
          <w:p w:rsidR="00236E18" w:rsidRPr="004B02F2" w:rsidRDefault="00236E18" w:rsidP="00294272">
            <w:pPr>
              <w:rPr>
                <w:color w:val="000000"/>
                <w:sz w:val="16"/>
                <w:szCs w:val="16"/>
                <w:lang w:val="en-US"/>
              </w:rPr>
            </w:pPr>
            <w:r w:rsidRPr="004B02F2">
              <w:rPr>
                <w:color w:val="000000"/>
                <w:sz w:val="16"/>
                <w:szCs w:val="16"/>
                <w:lang w:val="en-US"/>
              </w:rPr>
              <w:t>351 (OOS)</w:t>
            </w:r>
            <w:r w:rsidRPr="004B02F2">
              <w:rPr>
                <w:color w:val="000000"/>
                <w:sz w:val="16"/>
                <w:szCs w:val="16"/>
                <w:lang w:val="en-US"/>
              </w:rPr>
              <w:br/>
              <w:t>0 (OOB)</w:t>
            </w:r>
            <w:r w:rsidRPr="004B02F2">
              <w:rPr>
                <w:color w:val="000000"/>
                <w:sz w:val="16"/>
                <w:szCs w:val="16"/>
                <w:lang w:val="en-US"/>
              </w:rPr>
              <w:br/>
              <w:t>2.033 (OOJ)</w:t>
            </w:r>
            <w:r w:rsidRPr="004B02F2">
              <w:rPr>
                <w:color w:val="000000"/>
                <w:sz w:val="16"/>
                <w:szCs w:val="16"/>
                <w:lang w:val="en-US"/>
              </w:rPr>
              <w:br/>
              <w:t xml:space="preserve">1.543 (OOR) </w:t>
            </w:r>
            <w:r w:rsidRPr="004B02F2">
              <w:rPr>
                <w:color w:val="000000"/>
                <w:sz w:val="16"/>
                <w:szCs w:val="16"/>
                <w:lang w:val="en-US"/>
              </w:rPr>
              <w:br/>
              <w:t>2.140 (</w:t>
            </w:r>
            <w:r>
              <w:rPr>
                <w:color w:val="000000"/>
                <w:sz w:val="16"/>
                <w:szCs w:val="16"/>
                <w:lang w:val="en-US"/>
              </w:rPr>
              <w:t>OOC</w:t>
            </w:r>
            <w:r w:rsidRPr="004B02F2">
              <w:rPr>
                <w:color w:val="000000"/>
                <w:sz w:val="16"/>
                <w:szCs w:val="16"/>
                <w:lang w:val="en-US"/>
              </w:rPr>
              <w:t>)</w:t>
            </w:r>
          </w:p>
        </w:tc>
        <w:tc>
          <w:tcPr>
            <w:tcW w:w="2089" w:type="dxa"/>
            <w:tcBorders>
              <w:top w:val="single" w:sz="4" w:space="0" w:color="auto"/>
              <w:left w:val="nil"/>
              <w:bottom w:val="nil"/>
              <w:right w:val="single" w:sz="4" w:space="0" w:color="auto"/>
            </w:tcBorders>
          </w:tcPr>
          <w:p w:rsidR="00236E18" w:rsidRPr="004B02F2" w:rsidRDefault="00236E18" w:rsidP="00294272">
            <w:pPr>
              <w:rPr>
                <w:sz w:val="16"/>
                <w:szCs w:val="16"/>
              </w:rPr>
            </w:pPr>
            <w:r w:rsidRPr="004B02F2">
              <w:rPr>
                <w:sz w:val="16"/>
                <w:szCs w:val="16"/>
              </w:rPr>
              <w:t>5 más (OOS).</w:t>
            </w:r>
            <w:r w:rsidRPr="004B02F2">
              <w:rPr>
                <w:sz w:val="16"/>
                <w:szCs w:val="16"/>
              </w:rPr>
              <w:br/>
            </w:r>
          </w:p>
          <w:p w:rsidR="00236E18" w:rsidRPr="004B02F2" w:rsidRDefault="00236E18" w:rsidP="00294272">
            <w:pPr>
              <w:rPr>
                <w:sz w:val="16"/>
                <w:szCs w:val="16"/>
              </w:rPr>
            </w:pPr>
          </w:p>
          <w:p w:rsidR="00236E18" w:rsidRPr="004B02F2" w:rsidRDefault="00236E18" w:rsidP="00294272">
            <w:pPr>
              <w:rPr>
                <w:sz w:val="16"/>
                <w:szCs w:val="16"/>
              </w:rPr>
            </w:pPr>
            <w:r w:rsidRPr="004B02F2">
              <w:rPr>
                <w:sz w:val="16"/>
                <w:szCs w:val="16"/>
              </w:rPr>
              <w:t>Crecimiento anual del 2% (todas las Oficinas).</w:t>
            </w:r>
          </w:p>
          <w:p w:rsidR="00236E18" w:rsidRPr="004B02F2" w:rsidRDefault="00236E18" w:rsidP="00294272">
            <w:pPr>
              <w:rPr>
                <w:sz w:val="16"/>
                <w:szCs w:val="16"/>
              </w:rPr>
            </w:pPr>
          </w:p>
        </w:tc>
      </w:tr>
      <w:tr w:rsidR="00236E18" w:rsidRPr="004B02F2" w:rsidTr="00294272">
        <w:trPr>
          <w:trHeight w:val="1337"/>
        </w:trPr>
        <w:tc>
          <w:tcPr>
            <w:tcW w:w="2380" w:type="dxa"/>
            <w:tcBorders>
              <w:top w:val="nil"/>
              <w:left w:val="single" w:sz="4" w:space="0" w:color="auto"/>
              <w:right w:val="nil"/>
            </w:tcBorders>
            <w:shd w:val="clear" w:color="auto" w:fill="auto"/>
            <w:tcMar>
              <w:top w:w="85" w:type="dxa"/>
            </w:tcMar>
            <w:hideMark/>
          </w:tcPr>
          <w:p w:rsidR="00236E18" w:rsidRPr="008D0192" w:rsidRDefault="00236E18" w:rsidP="00294272">
            <w:pPr>
              <w:rPr>
                <w:sz w:val="16"/>
                <w:szCs w:val="16"/>
              </w:rPr>
            </w:pPr>
            <w:r w:rsidRPr="008D0192">
              <w:rPr>
                <w:sz w:val="16"/>
                <w:szCs w:val="16"/>
              </w:rPr>
              <w:t> </w:t>
            </w:r>
          </w:p>
        </w:tc>
        <w:tc>
          <w:tcPr>
            <w:tcW w:w="2380" w:type="dxa"/>
            <w:tcBorders>
              <w:top w:val="nil"/>
              <w:left w:val="nil"/>
              <w:right w:val="nil"/>
            </w:tcBorders>
          </w:tcPr>
          <w:p w:rsidR="00236E18" w:rsidRPr="004B02F2" w:rsidRDefault="00236E18" w:rsidP="00294272">
            <w:pPr>
              <w:rPr>
                <w:color w:val="000000"/>
                <w:sz w:val="16"/>
                <w:szCs w:val="16"/>
              </w:rPr>
            </w:pPr>
            <w:r w:rsidRPr="004B02F2">
              <w:rPr>
                <w:color w:val="000000"/>
                <w:sz w:val="16"/>
                <w:szCs w:val="16"/>
              </w:rPr>
              <w:t>Porcentaje de encargados de la adopción de políticas, funcionarios gubernamentales, profesionales de la P.I. y participantes en talleres con un mayor conocimiento del Sistema de Madrid.</w:t>
            </w:r>
          </w:p>
        </w:tc>
        <w:tc>
          <w:tcPr>
            <w:tcW w:w="2380" w:type="dxa"/>
            <w:tcBorders>
              <w:top w:val="nil"/>
              <w:left w:val="nil"/>
              <w:right w:val="nil"/>
            </w:tcBorders>
          </w:tcPr>
          <w:p w:rsidR="00236E18" w:rsidRPr="004B02F2" w:rsidRDefault="00236E18" w:rsidP="00294272">
            <w:pPr>
              <w:rPr>
                <w:color w:val="000000"/>
                <w:sz w:val="16"/>
                <w:szCs w:val="16"/>
              </w:rPr>
            </w:pPr>
            <w:r w:rsidRPr="004B02F2">
              <w:rPr>
                <w:color w:val="000000"/>
                <w:sz w:val="16"/>
                <w:szCs w:val="16"/>
              </w:rPr>
              <w:t>89% sobre la base de comentarios de los participantes (OOS)</w:t>
            </w:r>
          </w:p>
        </w:tc>
        <w:tc>
          <w:tcPr>
            <w:tcW w:w="2089" w:type="dxa"/>
            <w:tcBorders>
              <w:top w:val="nil"/>
              <w:left w:val="nil"/>
              <w:right w:val="single" w:sz="4" w:space="0" w:color="auto"/>
            </w:tcBorders>
          </w:tcPr>
          <w:p w:rsidR="00236E18" w:rsidRPr="004B02F2" w:rsidRDefault="00236E18" w:rsidP="00294272">
            <w:pPr>
              <w:rPr>
                <w:sz w:val="16"/>
                <w:szCs w:val="16"/>
              </w:rPr>
            </w:pPr>
            <w:r w:rsidRPr="004B02F2">
              <w:rPr>
                <w:sz w:val="16"/>
                <w:szCs w:val="16"/>
              </w:rPr>
              <w:t>75%.</w:t>
            </w:r>
          </w:p>
        </w:tc>
      </w:tr>
      <w:tr w:rsidR="00236E18" w:rsidRPr="004B02F2" w:rsidTr="00294272">
        <w:trPr>
          <w:trHeight w:val="1860"/>
        </w:trPr>
        <w:tc>
          <w:tcPr>
            <w:tcW w:w="2380" w:type="dxa"/>
            <w:tcBorders>
              <w:left w:val="single" w:sz="4" w:space="0" w:color="auto"/>
              <w:right w:val="nil"/>
            </w:tcBorders>
            <w:shd w:val="clear" w:color="auto" w:fill="auto"/>
            <w:tcMar>
              <w:top w:w="85" w:type="dxa"/>
            </w:tcMar>
            <w:hideMark/>
          </w:tcPr>
          <w:p w:rsidR="00236E18" w:rsidRPr="008D0192" w:rsidRDefault="00236E18" w:rsidP="00294272">
            <w:pPr>
              <w:rPr>
                <w:sz w:val="16"/>
                <w:szCs w:val="16"/>
              </w:rPr>
            </w:pPr>
            <w:r w:rsidRPr="008D0192">
              <w:rPr>
                <w:sz w:val="16"/>
                <w:szCs w:val="16"/>
              </w:rPr>
              <w:t xml:space="preserve">III.2  </w:t>
            </w:r>
            <w:r w:rsidRPr="008D0192">
              <w:rPr>
                <w:sz w:val="16"/>
                <w:szCs w:val="16"/>
                <w:lang w:val="es-ES_tradnl"/>
              </w:rPr>
              <w:t>Aumento de las capacidades en recursos humanos para hacer frente a la gran diversidad de exigencias que supone la utilización eficaz de la P.I. para fomentar el desarrollo en los países en desarrollo, PMA y países con economías en transición</w:t>
            </w:r>
          </w:p>
        </w:tc>
        <w:tc>
          <w:tcPr>
            <w:tcW w:w="2380" w:type="dxa"/>
            <w:tcBorders>
              <w:left w:val="nil"/>
              <w:right w:val="nil"/>
            </w:tcBorders>
          </w:tcPr>
          <w:p w:rsidR="00236E18" w:rsidRPr="004B02F2" w:rsidRDefault="00236E18" w:rsidP="00294272">
            <w:pPr>
              <w:rPr>
                <w:color w:val="000000"/>
                <w:sz w:val="16"/>
                <w:szCs w:val="16"/>
              </w:rPr>
            </w:pPr>
            <w:r w:rsidRPr="004B02F2">
              <w:rPr>
                <w:color w:val="000000"/>
                <w:sz w:val="16"/>
                <w:szCs w:val="16"/>
              </w:rPr>
              <w:t xml:space="preserve">Porcentaje de encargados de la adopción de políticas, funcionarios </w:t>
            </w:r>
            <w:proofErr w:type="spellStart"/>
            <w:r w:rsidRPr="004B02F2">
              <w:rPr>
                <w:color w:val="000000"/>
                <w:sz w:val="16"/>
                <w:szCs w:val="16"/>
              </w:rPr>
              <w:t>gubernamen</w:t>
            </w:r>
            <w:proofErr w:type="spellEnd"/>
            <w:r>
              <w:rPr>
                <w:color w:val="000000"/>
                <w:sz w:val="16"/>
                <w:szCs w:val="16"/>
              </w:rPr>
              <w:t>-</w:t>
            </w:r>
            <w:r w:rsidRPr="004B02F2">
              <w:rPr>
                <w:color w:val="000000"/>
                <w:sz w:val="16"/>
                <w:szCs w:val="16"/>
              </w:rPr>
              <w:t>tales, profesionales de la P.I. y otros grupos destinatarios, incluidas las universidades, organismos de gestión colectiva y periodistas con un mayor conocimiento de las políticas de P.I. y de cómo utilizar efectivamente la P.I. en pro del desarrollo.</w:t>
            </w:r>
          </w:p>
        </w:tc>
        <w:tc>
          <w:tcPr>
            <w:tcW w:w="2380" w:type="dxa"/>
            <w:tcBorders>
              <w:left w:val="nil"/>
              <w:right w:val="nil"/>
            </w:tcBorders>
          </w:tcPr>
          <w:p w:rsidR="00236E18" w:rsidRPr="004B02F2" w:rsidRDefault="00236E18" w:rsidP="00294272">
            <w:pPr>
              <w:rPr>
                <w:color w:val="000000"/>
                <w:sz w:val="16"/>
                <w:szCs w:val="16"/>
              </w:rPr>
            </w:pPr>
            <w:r w:rsidRPr="004B02F2">
              <w:rPr>
                <w:color w:val="000000"/>
                <w:sz w:val="16"/>
                <w:szCs w:val="16"/>
              </w:rPr>
              <w:t xml:space="preserve">El 100% de los participantes está de acuerdo en que las competencias y conocimientos adquiridos en el seminario añadieron valor a su organización (OOS) </w:t>
            </w:r>
          </w:p>
          <w:p w:rsidR="00236E18" w:rsidRPr="004B02F2" w:rsidRDefault="00236E18" w:rsidP="00294272">
            <w:pPr>
              <w:rPr>
                <w:color w:val="000000"/>
                <w:sz w:val="16"/>
                <w:szCs w:val="16"/>
              </w:rPr>
            </w:pPr>
            <w:r w:rsidRPr="004B02F2">
              <w:rPr>
                <w:color w:val="000000"/>
                <w:sz w:val="16"/>
                <w:szCs w:val="16"/>
              </w:rPr>
              <w:t xml:space="preserve">75% (OOB) </w:t>
            </w:r>
          </w:p>
          <w:p w:rsidR="00236E18" w:rsidRPr="004B02F2" w:rsidRDefault="00236E18" w:rsidP="00294272">
            <w:pPr>
              <w:rPr>
                <w:color w:val="000000"/>
                <w:sz w:val="16"/>
                <w:szCs w:val="16"/>
              </w:rPr>
            </w:pPr>
            <w:proofErr w:type="spellStart"/>
            <w:r w:rsidRPr="004B02F2">
              <w:rPr>
                <w:color w:val="000000"/>
                <w:sz w:val="16"/>
                <w:szCs w:val="16"/>
              </w:rPr>
              <w:t>n.d</w:t>
            </w:r>
            <w:proofErr w:type="spellEnd"/>
            <w:r w:rsidRPr="004B02F2">
              <w:rPr>
                <w:color w:val="000000"/>
                <w:sz w:val="16"/>
                <w:szCs w:val="16"/>
              </w:rPr>
              <w:t>. (en 2014 la OOJ no organizó seminarios) (OOJ).</w:t>
            </w:r>
          </w:p>
        </w:tc>
        <w:tc>
          <w:tcPr>
            <w:tcW w:w="2089" w:type="dxa"/>
            <w:tcBorders>
              <w:left w:val="nil"/>
              <w:right w:val="single" w:sz="4" w:space="0" w:color="auto"/>
            </w:tcBorders>
          </w:tcPr>
          <w:p w:rsidR="00236E18" w:rsidRPr="004B02F2" w:rsidRDefault="00236E18" w:rsidP="00294272">
            <w:pPr>
              <w:ind w:leftChars="-1" w:hangingChars="1" w:hanging="2"/>
              <w:rPr>
                <w:sz w:val="16"/>
                <w:szCs w:val="16"/>
              </w:rPr>
            </w:pPr>
            <w:r w:rsidRPr="004B02F2">
              <w:rPr>
                <w:sz w:val="16"/>
                <w:szCs w:val="16"/>
              </w:rPr>
              <w:t> 75%.</w:t>
            </w:r>
          </w:p>
        </w:tc>
      </w:tr>
      <w:tr w:rsidR="00236E18" w:rsidRPr="004B02F2" w:rsidTr="00294272">
        <w:trPr>
          <w:trHeight w:val="3143"/>
        </w:trPr>
        <w:tc>
          <w:tcPr>
            <w:tcW w:w="2380" w:type="dxa"/>
            <w:tcBorders>
              <w:top w:val="nil"/>
              <w:left w:val="single" w:sz="4" w:space="0" w:color="auto"/>
              <w:right w:val="nil"/>
            </w:tcBorders>
            <w:shd w:val="clear" w:color="auto" w:fill="auto"/>
            <w:tcMar>
              <w:top w:w="85" w:type="dxa"/>
            </w:tcMar>
            <w:hideMark/>
          </w:tcPr>
          <w:p w:rsidR="00236E18" w:rsidRPr="008D0192" w:rsidRDefault="00236E18" w:rsidP="00294272">
            <w:pPr>
              <w:rPr>
                <w:sz w:val="16"/>
                <w:szCs w:val="16"/>
              </w:rPr>
            </w:pPr>
            <w:r w:rsidRPr="008D0192">
              <w:rPr>
                <w:sz w:val="16"/>
                <w:szCs w:val="16"/>
              </w:rPr>
              <w:t xml:space="preserve">IV.2  </w:t>
            </w:r>
            <w:r w:rsidRPr="008D0192">
              <w:rPr>
                <w:sz w:val="16"/>
                <w:szCs w:val="16"/>
                <w:lang w:val="es-ES_tradnl"/>
              </w:rPr>
              <w:t>Mejora del acceso y uso de información de P.I. por parte de instituciones de P.I. y el público para fomentar la innovación y la creatividad</w:t>
            </w:r>
          </w:p>
        </w:tc>
        <w:tc>
          <w:tcPr>
            <w:tcW w:w="2380" w:type="dxa"/>
            <w:tcBorders>
              <w:top w:val="nil"/>
              <w:left w:val="nil"/>
              <w:right w:val="nil"/>
            </w:tcBorders>
          </w:tcPr>
          <w:p w:rsidR="00236E18" w:rsidRPr="004B02F2" w:rsidRDefault="00236E18" w:rsidP="00294272">
            <w:pPr>
              <w:rPr>
                <w:color w:val="000000"/>
                <w:sz w:val="16"/>
                <w:szCs w:val="16"/>
              </w:rPr>
            </w:pPr>
            <w:r>
              <w:rPr>
                <w:color w:val="000000"/>
                <w:sz w:val="16"/>
                <w:szCs w:val="16"/>
              </w:rPr>
              <w:t>Nº</w:t>
            </w:r>
            <w:r w:rsidRPr="004B02F2">
              <w:rPr>
                <w:color w:val="000000"/>
                <w:sz w:val="16"/>
                <w:szCs w:val="16"/>
              </w:rPr>
              <w:t xml:space="preserve"> de usuarios de las bases </w:t>
            </w:r>
            <w:r>
              <w:rPr>
                <w:color w:val="000000"/>
                <w:sz w:val="16"/>
                <w:szCs w:val="16"/>
              </w:rPr>
              <w:t xml:space="preserve">mundiales </w:t>
            </w:r>
            <w:r w:rsidRPr="004B02F2">
              <w:rPr>
                <w:color w:val="000000"/>
                <w:sz w:val="16"/>
                <w:szCs w:val="16"/>
              </w:rPr>
              <w:t xml:space="preserve">de datos de la OMPI: PATENTSCOPE, base </w:t>
            </w:r>
            <w:r>
              <w:rPr>
                <w:color w:val="000000"/>
                <w:sz w:val="16"/>
                <w:szCs w:val="16"/>
              </w:rPr>
              <w:t xml:space="preserve">mundial </w:t>
            </w:r>
            <w:r w:rsidRPr="004B02F2">
              <w:rPr>
                <w:color w:val="000000"/>
                <w:sz w:val="16"/>
                <w:szCs w:val="16"/>
              </w:rPr>
              <w:t xml:space="preserve">de datos sobre marcas, base </w:t>
            </w:r>
            <w:r>
              <w:rPr>
                <w:color w:val="000000"/>
                <w:sz w:val="16"/>
                <w:szCs w:val="16"/>
              </w:rPr>
              <w:t xml:space="preserve">mundial de datos </w:t>
            </w:r>
            <w:r w:rsidRPr="004B02F2">
              <w:rPr>
                <w:color w:val="000000"/>
                <w:sz w:val="16"/>
                <w:szCs w:val="16"/>
              </w:rPr>
              <w:t>sobre diseños industriales.</w:t>
            </w:r>
          </w:p>
        </w:tc>
        <w:tc>
          <w:tcPr>
            <w:tcW w:w="2380" w:type="dxa"/>
            <w:tcBorders>
              <w:top w:val="nil"/>
              <w:left w:val="nil"/>
              <w:right w:val="nil"/>
            </w:tcBorders>
          </w:tcPr>
          <w:p w:rsidR="00236E18" w:rsidRPr="004B02F2" w:rsidRDefault="00236E18" w:rsidP="00294272">
            <w:pPr>
              <w:rPr>
                <w:color w:val="000000"/>
                <w:sz w:val="16"/>
                <w:szCs w:val="16"/>
              </w:rPr>
            </w:pPr>
            <w:r w:rsidRPr="004B02F2">
              <w:rPr>
                <w:color w:val="000000"/>
                <w:sz w:val="16"/>
                <w:szCs w:val="16"/>
              </w:rPr>
              <w:t xml:space="preserve">PATENTSCOPE: </w:t>
            </w:r>
            <w:r w:rsidRPr="004B02F2">
              <w:rPr>
                <w:color w:val="000000"/>
                <w:sz w:val="16"/>
                <w:szCs w:val="16"/>
              </w:rPr>
              <w:br/>
              <w:t xml:space="preserve">8.054 (OOS) </w:t>
            </w:r>
            <w:r w:rsidRPr="004B02F2">
              <w:rPr>
                <w:color w:val="000000"/>
                <w:sz w:val="16"/>
                <w:szCs w:val="16"/>
              </w:rPr>
              <w:br/>
              <w:t>4.688 (OOB)</w:t>
            </w:r>
            <w:r w:rsidRPr="004B02F2">
              <w:rPr>
                <w:color w:val="000000"/>
                <w:sz w:val="16"/>
                <w:szCs w:val="16"/>
              </w:rPr>
              <w:br/>
              <w:t>14.711 (OOJ)</w:t>
            </w:r>
            <w:r w:rsidRPr="004B02F2">
              <w:rPr>
                <w:color w:val="000000"/>
                <w:sz w:val="16"/>
                <w:szCs w:val="16"/>
              </w:rPr>
              <w:br/>
              <w:t>6.257 (OOR)</w:t>
            </w:r>
            <w:r w:rsidRPr="004B02F2">
              <w:rPr>
                <w:color w:val="000000"/>
                <w:sz w:val="16"/>
                <w:szCs w:val="16"/>
              </w:rPr>
              <w:br/>
              <w:t>56.355 (O</w:t>
            </w:r>
            <w:r>
              <w:rPr>
                <w:color w:val="000000"/>
                <w:sz w:val="16"/>
                <w:szCs w:val="16"/>
              </w:rPr>
              <w:t>OC</w:t>
            </w:r>
            <w:r w:rsidRPr="004B02F2">
              <w:rPr>
                <w:color w:val="000000"/>
                <w:sz w:val="16"/>
                <w:szCs w:val="16"/>
              </w:rPr>
              <w:t>)</w:t>
            </w:r>
            <w:r w:rsidRPr="004B02F2">
              <w:rPr>
                <w:color w:val="000000"/>
                <w:sz w:val="16"/>
                <w:szCs w:val="16"/>
              </w:rPr>
              <w:br/>
            </w:r>
            <w:r w:rsidRPr="004B02F2">
              <w:rPr>
                <w:color w:val="000000"/>
                <w:sz w:val="16"/>
                <w:szCs w:val="16"/>
              </w:rPr>
              <w:br/>
              <w:t xml:space="preserve">Base </w:t>
            </w:r>
            <w:r>
              <w:rPr>
                <w:color w:val="000000"/>
                <w:sz w:val="16"/>
                <w:szCs w:val="16"/>
              </w:rPr>
              <w:t xml:space="preserve">mundial </w:t>
            </w:r>
            <w:r w:rsidRPr="004B02F2">
              <w:rPr>
                <w:color w:val="000000"/>
                <w:sz w:val="16"/>
                <w:szCs w:val="16"/>
              </w:rPr>
              <w:t>de datos sobre marcas:</w:t>
            </w:r>
            <w:r w:rsidRPr="004B02F2">
              <w:rPr>
                <w:color w:val="000000"/>
                <w:sz w:val="16"/>
                <w:szCs w:val="16"/>
              </w:rPr>
              <w:br/>
              <w:t xml:space="preserve">9.162 (OOS) </w:t>
            </w:r>
            <w:r w:rsidRPr="004B02F2">
              <w:rPr>
                <w:color w:val="000000"/>
                <w:sz w:val="16"/>
                <w:szCs w:val="16"/>
              </w:rPr>
              <w:br/>
              <w:t>596 (OOB)</w:t>
            </w:r>
            <w:r w:rsidRPr="004B02F2">
              <w:rPr>
                <w:color w:val="000000"/>
                <w:sz w:val="16"/>
                <w:szCs w:val="16"/>
              </w:rPr>
              <w:br/>
              <w:t>2.</w:t>
            </w:r>
            <w:r>
              <w:rPr>
                <w:color w:val="000000"/>
                <w:sz w:val="16"/>
                <w:szCs w:val="16"/>
              </w:rPr>
              <w:t>871 (OOJ)</w:t>
            </w:r>
            <w:r>
              <w:rPr>
                <w:color w:val="000000"/>
                <w:sz w:val="16"/>
                <w:szCs w:val="16"/>
              </w:rPr>
              <w:br/>
              <w:t>2.352 (OOR)</w:t>
            </w:r>
            <w:r>
              <w:rPr>
                <w:color w:val="000000"/>
                <w:sz w:val="16"/>
                <w:szCs w:val="16"/>
              </w:rPr>
              <w:br/>
              <w:t>3.398 (OOC</w:t>
            </w:r>
            <w:r w:rsidRPr="004B02F2">
              <w:rPr>
                <w:color w:val="000000"/>
                <w:sz w:val="16"/>
                <w:szCs w:val="16"/>
              </w:rPr>
              <w:t>)</w:t>
            </w:r>
            <w:r w:rsidRPr="004B02F2">
              <w:rPr>
                <w:color w:val="000000"/>
                <w:sz w:val="16"/>
                <w:szCs w:val="16"/>
              </w:rPr>
              <w:br/>
            </w:r>
            <w:r w:rsidRPr="004B02F2">
              <w:rPr>
                <w:color w:val="000000"/>
                <w:sz w:val="16"/>
                <w:szCs w:val="16"/>
              </w:rPr>
              <w:br/>
              <w:t xml:space="preserve">Base </w:t>
            </w:r>
            <w:r>
              <w:rPr>
                <w:color w:val="000000"/>
                <w:sz w:val="16"/>
                <w:szCs w:val="16"/>
              </w:rPr>
              <w:t xml:space="preserve">mundial </w:t>
            </w:r>
            <w:r w:rsidRPr="004B02F2">
              <w:rPr>
                <w:color w:val="000000"/>
                <w:sz w:val="16"/>
                <w:szCs w:val="16"/>
              </w:rPr>
              <w:t xml:space="preserve">de datos sobre diseños industriales: </w:t>
            </w:r>
            <w:proofErr w:type="spellStart"/>
            <w:r w:rsidRPr="004B02F2">
              <w:rPr>
                <w:color w:val="000000"/>
                <w:sz w:val="16"/>
                <w:szCs w:val="16"/>
              </w:rPr>
              <w:t>n.d</w:t>
            </w:r>
            <w:proofErr w:type="spellEnd"/>
            <w:r w:rsidRPr="004B02F2">
              <w:rPr>
                <w:color w:val="000000"/>
                <w:sz w:val="16"/>
                <w:szCs w:val="16"/>
              </w:rPr>
              <w:t>.</w:t>
            </w:r>
          </w:p>
        </w:tc>
        <w:tc>
          <w:tcPr>
            <w:tcW w:w="2089" w:type="dxa"/>
            <w:tcBorders>
              <w:top w:val="nil"/>
              <w:left w:val="nil"/>
              <w:right w:val="single" w:sz="4" w:space="0" w:color="auto"/>
            </w:tcBorders>
          </w:tcPr>
          <w:p w:rsidR="00236E18" w:rsidRPr="004B02F2" w:rsidRDefault="00236E18" w:rsidP="00294272">
            <w:pPr>
              <w:rPr>
                <w:sz w:val="16"/>
                <w:szCs w:val="16"/>
              </w:rPr>
            </w:pPr>
            <w:r w:rsidRPr="004B02F2">
              <w:rPr>
                <w:sz w:val="16"/>
                <w:szCs w:val="16"/>
              </w:rPr>
              <w:t>Incremento del 5%.</w:t>
            </w:r>
          </w:p>
          <w:p w:rsidR="00236E18" w:rsidRPr="004B02F2" w:rsidRDefault="00236E18" w:rsidP="00294272">
            <w:pPr>
              <w:rPr>
                <w:sz w:val="16"/>
                <w:szCs w:val="16"/>
              </w:rPr>
            </w:pPr>
          </w:p>
          <w:p w:rsidR="00236E18" w:rsidRPr="004B02F2" w:rsidRDefault="00236E18" w:rsidP="00294272">
            <w:pPr>
              <w:rPr>
                <w:sz w:val="16"/>
                <w:szCs w:val="16"/>
              </w:rPr>
            </w:pPr>
          </w:p>
          <w:p w:rsidR="00236E18" w:rsidRPr="004B02F2" w:rsidRDefault="00236E18" w:rsidP="00294272">
            <w:pPr>
              <w:rPr>
                <w:sz w:val="16"/>
                <w:szCs w:val="16"/>
              </w:rPr>
            </w:pPr>
          </w:p>
          <w:p w:rsidR="00236E18" w:rsidRPr="004B02F2" w:rsidRDefault="00236E18" w:rsidP="00294272">
            <w:pPr>
              <w:rPr>
                <w:sz w:val="16"/>
                <w:szCs w:val="16"/>
              </w:rPr>
            </w:pPr>
          </w:p>
          <w:p w:rsidR="00236E18" w:rsidRPr="004B02F2" w:rsidRDefault="00236E18" w:rsidP="00294272">
            <w:pPr>
              <w:rPr>
                <w:sz w:val="16"/>
                <w:szCs w:val="16"/>
              </w:rPr>
            </w:pPr>
          </w:p>
          <w:p w:rsidR="00236E18" w:rsidRPr="004B02F2" w:rsidRDefault="00236E18" w:rsidP="00294272">
            <w:pPr>
              <w:rPr>
                <w:sz w:val="16"/>
                <w:szCs w:val="16"/>
              </w:rPr>
            </w:pPr>
          </w:p>
          <w:p w:rsidR="00236E18" w:rsidRPr="004B02F2" w:rsidRDefault="00236E18" w:rsidP="00294272">
            <w:pPr>
              <w:rPr>
                <w:sz w:val="16"/>
                <w:szCs w:val="16"/>
              </w:rPr>
            </w:pPr>
            <w:r w:rsidRPr="004B02F2">
              <w:rPr>
                <w:sz w:val="16"/>
                <w:szCs w:val="16"/>
              </w:rPr>
              <w:t>Incremento del 5%.</w:t>
            </w:r>
          </w:p>
          <w:p w:rsidR="00236E18" w:rsidRPr="004B02F2" w:rsidRDefault="00236E18" w:rsidP="00294272">
            <w:pPr>
              <w:rPr>
                <w:sz w:val="16"/>
                <w:szCs w:val="16"/>
              </w:rPr>
            </w:pPr>
          </w:p>
          <w:p w:rsidR="00236E18" w:rsidRPr="004B02F2" w:rsidRDefault="00236E18" w:rsidP="00294272">
            <w:pPr>
              <w:rPr>
                <w:sz w:val="16"/>
                <w:szCs w:val="16"/>
              </w:rPr>
            </w:pPr>
          </w:p>
          <w:p w:rsidR="00236E18" w:rsidRPr="004B02F2" w:rsidRDefault="00236E18" w:rsidP="00294272">
            <w:pPr>
              <w:rPr>
                <w:sz w:val="16"/>
                <w:szCs w:val="16"/>
              </w:rPr>
            </w:pPr>
          </w:p>
          <w:p w:rsidR="00236E18" w:rsidRPr="004B02F2" w:rsidRDefault="00236E18" w:rsidP="00294272">
            <w:pPr>
              <w:rPr>
                <w:sz w:val="16"/>
                <w:szCs w:val="16"/>
              </w:rPr>
            </w:pPr>
          </w:p>
          <w:p w:rsidR="00236E18" w:rsidRPr="004B02F2" w:rsidRDefault="00236E18" w:rsidP="00294272">
            <w:pPr>
              <w:rPr>
                <w:sz w:val="16"/>
                <w:szCs w:val="16"/>
              </w:rPr>
            </w:pPr>
          </w:p>
          <w:p w:rsidR="00236E18" w:rsidRPr="004B02F2" w:rsidRDefault="00236E18" w:rsidP="00294272">
            <w:pPr>
              <w:rPr>
                <w:sz w:val="16"/>
                <w:szCs w:val="16"/>
              </w:rPr>
            </w:pPr>
          </w:p>
          <w:p w:rsidR="00236E18" w:rsidRPr="004B02F2" w:rsidRDefault="00236E18" w:rsidP="00294272">
            <w:pPr>
              <w:rPr>
                <w:sz w:val="12"/>
                <w:szCs w:val="12"/>
              </w:rPr>
            </w:pPr>
          </w:p>
        </w:tc>
      </w:tr>
      <w:tr w:rsidR="00236E18" w:rsidRPr="004B02F2" w:rsidTr="00294272">
        <w:trPr>
          <w:trHeight w:val="370"/>
        </w:trPr>
        <w:tc>
          <w:tcPr>
            <w:tcW w:w="2380" w:type="dxa"/>
            <w:tcBorders>
              <w:left w:val="single" w:sz="4" w:space="0" w:color="auto"/>
              <w:right w:val="nil"/>
            </w:tcBorders>
            <w:shd w:val="clear" w:color="auto" w:fill="auto"/>
            <w:tcMar>
              <w:top w:w="85" w:type="dxa"/>
            </w:tcMar>
            <w:hideMark/>
          </w:tcPr>
          <w:p w:rsidR="00236E18" w:rsidRPr="004B02F2" w:rsidRDefault="00236E18" w:rsidP="00294272">
            <w:pPr>
              <w:rPr>
                <w:sz w:val="16"/>
                <w:szCs w:val="16"/>
              </w:rPr>
            </w:pPr>
            <w:r w:rsidRPr="004B02F2">
              <w:rPr>
                <w:sz w:val="16"/>
                <w:szCs w:val="16"/>
              </w:rPr>
              <w:t> </w:t>
            </w:r>
          </w:p>
        </w:tc>
        <w:tc>
          <w:tcPr>
            <w:tcW w:w="2380" w:type="dxa"/>
            <w:tcBorders>
              <w:left w:val="nil"/>
              <w:right w:val="nil"/>
            </w:tcBorders>
          </w:tcPr>
          <w:p w:rsidR="00236E18" w:rsidRPr="004B02F2" w:rsidRDefault="00236E18" w:rsidP="00294272">
            <w:pPr>
              <w:rPr>
                <w:color w:val="000000"/>
                <w:sz w:val="16"/>
                <w:szCs w:val="16"/>
              </w:rPr>
            </w:pPr>
            <w:r w:rsidRPr="004B02F2">
              <w:rPr>
                <w:color w:val="000000"/>
                <w:sz w:val="16"/>
                <w:szCs w:val="16"/>
              </w:rPr>
              <w:t>N</w:t>
            </w:r>
            <w:r>
              <w:rPr>
                <w:color w:val="000000"/>
                <w:sz w:val="16"/>
                <w:szCs w:val="16"/>
              </w:rPr>
              <w:t>º</w:t>
            </w:r>
            <w:r w:rsidRPr="004B02F2">
              <w:rPr>
                <w:color w:val="000000"/>
                <w:sz w:val="16"/>
                <w:szCs w:val="16"/>
              </w:rPr>
              <w:t xml:space="preserve"> de redes nacionales sostenibles de CATI.</w:t>
            </w:r>
          </w:p>
        </w:tc>
        <w:tc>
          <w:tcPr>
            <w:tcW w:w="2380" w:type="dxa"/>
            <w:tcBorders>
              <w:left w:val="nil"/>
              <w:right w:val="nil"/>
            </w:tcBorders>
          </w:tcPr>
          <w:p w:rsidR="00236E18" w:rsidRPr="004B02F2" w:rsidRDefault="00236E18" w:rsidP="00294272">
            <w:pPr>
              <w:rPr>
                <w:color w:val="000000"/>
                <w:sz w:val="16"/>
                <w:szCs w:val="16"/>
              </w:rPr>
            </w:pPr>
            <w:r>
              <w:rPr>
                <w:color w:val="000000"/>
                <w:sz w:val="16"/>
                <w:szCs w:val="16"/>
              </w:rPr>
              <w:t>2 (OOS)</w:t>
            </w:r>
            <w:r>
              <w:rPr>
                <w:color w:val="000000"/>
                <w:sz w:val="16"/>
                <w:szCs w:val="16"/>
              </w:rPr>
              <w:br/>
              <w:t>0 (OOC</w:t>
            </w:r>
            <w:r w:rsidRPr="004B02F2">
              <w:rPr>
                <w:color w:val="000000"/>
                <w:sz w:val="16"/>
                <w:szCs w:val="16"/>
              </w:rPr>
              <w:t>)</w:t>
            </w:r>
          </w:p>
        </w:tc>
        <w:tc>
          <w:tcPr>
            <w:tcW w:w="2089" w:type="dxa"/>
            <w:tcBorders>
              <w:left w:val="nil"/>
              <w:right w:val="single" w:sz="4" w:space="0" w:color="auto"/>
            </w:tcBorders>
          </w:tcPr>
          <w:p w:rsidR="00236E18" w:rsidRPr="004B02F2" w:rsidRDefault="00236E18" w:rsidP="00294272">
            <w:pPr>
              <w:rPr>
                <w:sz w:val="16"/>
                <w:szCs w:val="16"/>
              </w:rPr>
            </w:pPr>
            <w:r w:rsidRPr="004B02F2">
              <w:rPr>
                <w:sz w:val="16"/>
                <w:szCs w:val="16"/>
              </w:rPr>
              <w:t>2 más (OOS)</w:t>
            </w:r>
          </w:p>
          <w:p w:rsidR="00236E18" w:rsidRPr="004B02F2" w:rsidRDefault="00236E18" w:rsidP="00294272">
            <w:pPr>
              <w:rPr>
                <w:sz w:val="16"/>
                <w:szCs w:val="16"/>
              </w:rPr>
            </w:pPr>
            <w:r>
              <w:rPr>
                <w:color w:val="000000"/>
                <w:sz w:val="16"/>
                <w:szCs w:val="16"/>
              </w:rPr>
              <w:t>1 (</w:t>
            </w:r>
            <w:r w:rsidRPr="004B02F2">
              <w:rPr>
                <w:color w:val="000000"/>
                <w:sz w:val="16"/>
                <w:szCs w:val="16"/>
              </w:rPr>
              <w:t>O</w:t>
            </w:r>
            <w:r>
              <w:rPr>
                <w:color w:val="000000"/>
                <w:sz w:val="16"/>
                <w:szCs w:val="16"/>
              </w:rPr>
              <w:t>OC</w:t>
            </w:r>
            <w:r w:rsidRPr="004B02F2">
              <w:rPr>
                <w:color w:val="000000"/>
                <w:sz w:val="16"/>
                <w:szCs w:val="16"/>
              </w:rPr>
              <w:t>)</w:t>
            </w:r>
          </w:p>
        </w:tc>
      </w:tr>
      <w:tr w:rsidR="00236E18" w:rsidRPr="004B02F2" w:rsidTr="00294272">
        <w:trPr>
          <w:trHeight w:val="265"/>
        </w:trPr>
        <w:tc>
          <w:tcPr>
            <w:tcW w:w="2380" w:type="dxa"/>
            <w:tcBorders>
              <w:left w:val="single" w:sz="4" w:space="0" w:color="auto"/>
              <w:right w:val="nil"/>
            </w:tcBorders>
            <w:shd w:val="clear" w:color="auto" w:fill="auto"/>
            <w:tcMar>
              <w:top w:w="85" w:type="dxa"/>
            </w:tcMar>
            <w:hideMark/>
          </w:tcPr>
          <w:p w:rsidR="00236E18" w:rsidRPr="004B02F2" w:rsidRDefault="00236E18" w:rsidP="00294272">
            <w:pPr>
              <w:rPr>
                <w:sz w:val="16"/>
                <w:szCs w:val="16"/>
              </w:rPr>
            </w:pPr>
            <w:r w:rsidRPr="004B02F2">
              <w:rPr>
                <w:sz w:val="16"/>
                <w:szCs w:val="16"/>
              </w:rPr>
              <w:t>IV.</w:t>
            </w:r>
            <w:r w:rsidRPr="008D0192">
              <w:rPr>
                <w:sz w:val="16"/>
                <w:szCs w:val="16"/>
              </w:rPr>
              <w:t xml:space="preserve">4  </w:t>
            </w:r>
            <w:r w:rsidRPr="008D0192">
              <w:rPr>
                <w:sz w:val="16"/>
                <w:szCs w:val="16"/>
                <w:lang w:val="es-ES_tradnl"/>
              </w:rPr>
              <w:t>Mejora de la infraestructura técnica y de conocimientos de las Oficinas y demás instituciones de P.I. que les permita prestar mejores servicios (más baratos, más rápidos y de mejor calidad) a los sectores interesados y mejores resultados en la administración de la P.I.</w:t>
            </w:r>
            <w:r>
              <w:rPr>
                <w:sz w:val="16"/>
                <w:szCs w:val="16"/>
                <w:lang w:val="es-ES_tradnl"/>
              </w:rPr>
              <w:br/>
            </w:r>
          </w:p>
        </w:tc>
        <w:tc>
          <w:tcPr>
            <w:tcW w:w="2380" w:type="dxa"/>
            <w:tcBorders>
              <w:left w:val="nil"/>
              <w:right w:val="nil"/>
            </w:tcBorders>
          </w:tcPr>
          <w:p w:rsidR="00236E18" w:rsidRPr="004B02F2" w:rsidRDefault="00236E18" w:rsidP="00294272">
            <w:pPr>
              <w:rPr>
                <w:color w:val="000000"/>
                <w:sz w:val="16"/>
                <w:szCs w:val="16"/>
              </w:rPr>
            </w:pPr>
            <w:r w:rsidRPr="004B02F2">
              <w:rPr>
                <w:color w:val="000000"/>
                <w:sz w:val="16"/>
                <w:szCs w:val="16"/>
              </w:rPr>
              <w:t>N</w:t>
            </w:r>
            <w:r>
              <w:rPr>
                <w:color w:val="000000"/>
                <w:sz w:val="16"/>
                <w:szCs w:val="16"/>
              </w:rPr>
              <w:t>º</w:t>
            </w:r>
            <w:r w:rsidRPr="004B02F2">
              <w:rPr>
                <w:color w:val="000000"/>
                <w:sz w:val="16"/>
                <w:szCs w:val="16"/>
              </w:rPr>
              <w:t xml:space="preserve"> de oficinas que utilizan las plataformas de infraestructura de la OMPI.</w:t>
            </w:r>
          </w:p>
          <w:p w:rsidR="00236E18" w:rsidRPr="004B02F2" w:rsidRDefault="00236E18" w:rsidP="00294272">
            <w:pPr>
              <w:rPr>
                <w:color w:val="000000"/>
                <w:sz w:val="16"/>
                <w:szCs w:val="16"/>
              </w:rPr>
            </w:pPr>
          </w:p>
        </w:tc>
        <w:tc>
          <w:tcPr>
            <w:tcW w:w="2380" w:type="dxa"/>
            <w:tcBorders>
              <w:left w:val="nil"/>
              <w:right w:val="nil"/>
            </w:tcBorders>
          </w:tcPr>
          <w:p w:rsidR="00236E18" w:rsidRPr="004B02F2" w:rsidRDefault="00236E18" w:rsidP="00294272">
            <w:pPr>
              <w:rPr>
                <w:color w:val="000000"/>
                <w:sz w:val="16"/>
                <w:szCs w:val="16"/>
              </w:rPr>
            </w:pPr>
            <w:r w:rsidRPr="004B02F2">
              <w:rPr>
                <w:color w:val="000000"/>
                <w:sz w:val="16"/>
                <w:szCs w:val="16"/>
              </w:rPr>
              <w:t>7 (OOS)</w:t>
            </w:r>
          </w:p>
          <w:p w:rsidR="00236E18" w:rsidRPr="004B02F2" w:rsidRDefault="00236E18" w:rsidP="00294272">
            <w:pPr>
              <w:rPr>
                <w:color w:val="000000"/>
                <w:sz w:val="16"/>
                <w:szCs w:val="16"/>
              </w:rPr>
            </w:pPr>
            <w:r w:rsidRPr="004B02F2">
              <w:rPr>
                <w:color w:val="000000"/>
                <w:sz w:val="16"/>
                <w:szCs w:val="16"/>
              </w:rPr>
              <w:t>0 (OOB)</w:t>
            </w:r>
          </w:p>
        </w:tc>
        <w:tc>
          <w:tcPr>
            <w:tcW w:w="2089" w:type="dxa"/>
            <w:tcBorders>
              <w:left w:val="nil"/>
              <w:right w:val="single" w:sz="4" w:space="0" w:color="auto"/>
            </w:tcBorders>
          </w:tcPr>
          <w:p w:rsidR="00236E18" w:rsidRPr="004B02F2" w:rsidRDefault="00236E18" w:rsidP="00294272">
            <w:pPr>
              <w:rPr>
                <w:sz w:val="16"/>
                <w:szCs w:val="16"/>
              </w:rPr>
            </w:pPr>
            <w:r w:rsidRPr="004B02F2">
              <w:rPr>
                <w:sz w:val="16"/>
                <w:szCs w:val="16"/>
              </w:rPr>
              <w:t>Por determinar (OOS)</w:t>
            </w:r>
          </w:p>
          <w:p w:rsidR="00236E18" w:rsidRPr="004B02F2" w:rsidRDefault="00236E18" w:rsidP="00294272">
            <w:pPr>
              <w:rPr>
                <w:sz w:val="16"/>
                <w:szCs w:val="16"/>
              </w:rPr>
            </w:pPr>
            <w:r w:rsidRPr="004B02F2">
              <w:rPr>
                <w:sz w:val="16"/>
                <w:szCs w:val="16"/>
              </w:rPr>
              <w:t>1 (OOB)</w:t>
            </w:r>
          </w:p>
        </w:tc>
      </w:tr>
      <w:tr w:rsidR="00236E18" w:rsidRPr="004B02F2" w:rsidTr="00294272">
        <w:trPr>
          <w:trHeight w:val="1901"/>
        </w:trPr>
        <w:tc>
          <w:tcPr>
            <w:tcW w:w="2380" w:type="dxa"/>
            <w:tcBorders>
              <w:left w:val="single" w:sz="4" w:space="0" w:color="auto"/>
              <w:bottom w:val="single" w:sz="4" w:space="0" w:color="auto"/>
              <w:right w:val="nil"/>
            </w:tcBorders>
            <w:shd w:val="clear" w:color="auto" w:fill="auto"/>
            <w:tcMar>
              <w:top w:w="85" w:type="dxa"/>
            </w:tcMar>
            <w:hideMark/>
          </w:tcPr>
          <w:p w:rsidR="00236E18" w:rsidRPr="008D0192" w:rsidRDefault="00236E18" w:rsidP="00294272">
            <w:pPr>
              <w:rPr>
                <w:sz w:val="16"/>
                <w:szCs w:val="16"/>
              </w:rPr>
            </w:pPr>
            <w:r w:rsidRPr="008D0192">
              <w:rPr>
                <w:sz w:val="16"/>
                <w:szCs w:val="16"/>
              </w:rPr>
              <w:t xml:space="preserve">VII.2  </w:t>
            </w:r>
            <w:r w:rsidRPr="008D0192">
              <w:rPr>
                <w:sz w:val="16"/>
                <w:szCs w:val="16"/>
                <w:lang w:val="es-ES_tradnl"/>
              </w:rPr>
              <w:t>Plataformas y herramientas de P.I. utilizadas para la transferencia de conocimiento y la adaptación y difusión de tecnología de los países desarrollados a los países en desarrollo, en particular, a los menos adelantados, con el fin de atender los desafíos mundiales</w:t>
            </w:r>
            <w:r>
              <w:rPr>
                <w:sz w:val="16"/>
                <w:szCs w:val="16"/>
                <w:lang w:val="es-ES_tradnl"/>
              </w:rPr>
              <w:br/>
            </w:r>
          </w:p>
        </w:tc>
        <w:tc>
          <w:tcPr>
            <w:tcW w:w="2380" w:type="dxa"/>
            <w:tcBorders>
              <w:left w:val="nil"/>
              <w:bottom w:val="single" w:sz="4" w:space="0" w:color="auto"/>
              <w:right w:val="nil"/>
            </w:tcBorders>
          </w:tcPr>
          <w:p w:rsidR="00236E18" w:rsidRPr="004B02F2" w:rsidRDefault="00236E18" w:rsidP="00294272">
            <w:pPr>
              <w:rPr>
                <w:color w:val="000000"/>
                <w:sz w:val="16"/>
                <w:szCs w:val="16"/>
              </w:rPr>
            </w:pPr>
            <w:r w:rsidRPr="004B02F2">
              <w:rPr>
                <w:color w:val="000000"/>
                <w:sz w:val="16"/>
                <w:szCs w:val="16"/>
              </w:rPr>
              <w:t xml:space="preserve">Participación de los sectores interesados en plataformas de la OMPI como </w:t>
            </w:r>
            <w:r w:rsidRPr="004252B2">
              <w:rPr>
                <w:i/>
                <w:color w:val="000000"/>
                <w:sz w:val="16"/>
                <w:szCs w:val="16"/>
              </w:rPr>
              <w:t>WIPO GREEN</w:t>
            </w:r>
            <w:r w:rsidRPr="004B02F2">
              <w:rPr>
                <w:color w:val="000000"/>
                <w:sz w:val="16"/>
                <w:szCs w:val="16"/>
              </w:rPr>
              <w:t xml:space="preserve"> y </w:t>
            </w:r>
            <w:r w:rsidRPr="004252B2">
              <w:rPr>
                <w:i/>
                <w:color w:val="000000"/>
                <w:sz w:val="16"/>
                <w:szCs w:val="16"/>
              </w:rPr>
              <w:t xml:space="preserve">WIPO </w:t>
            </w:r>
            <w:proofErr w:type="spellStart"/>
            <w:r w:rsidRPr="004252B2">
              <w:rPr>
                <w:i/>
                <w:color w:val="000000"/>
                <w:sz w:val="16"/>
                <w:szCs w:val="16"/>
              </w:rPr>
              <w:t>Re</w:t>
            </w:r>
            <w:proofErr w:type="gramStart"/>
            <w:r w:rsidRPr="004252B2">
              <w:rPr>
                <w:i/>
                <w:color w:val="000000"/>
                <w:sz w:val="16"/>
                <w:szCs w:val="16"/>
              </w:rPr>
              <w:t>:Search</w:t>
            </w:r>
            <w:proofErr w:type="spellEnd"/>
            <w:proofErr w:type="gramEnd"/>
            <w:r w:rsidRPr="004B02F2">
              <w:rPr>
                <w:color w:val="000000"/>
                <w:sz w:val="16"/>
                <w:szCs w:val="16"/>
              </w:rPr>
              <w:t>.</w:t>
            </w:r>
          </w:p>
        </w:tc>
        <w:tc>
          <w:tcPr>
            <w:tcW w:w="2380" w:type="dxa"/>
            <w:tcBorders>
              <w:left w:val="nil"/>
              <w:bottom w:val="single" w:sz="4" w:space="0" w:color="auto"/>
              <w:right w:val="nil"/>
            </w:tcBorders>
          </w:tcPr>
          <w:p w:rsidR="00236E18" w:rsidRPr="004B02F2" w:rsidRDefault="00236E18" w:rsidP="00294272">
            <w:pPr>
              <w:rPr>
                <w:color w:val="000000"/>
                <w:sz w:val="16"/>
                <w:szCs w:val="16"/>
              </w:rPr>
            </w:pPr>
            <w:r w:rsidRPr="004252B2">
              <w:rPr>
                <w:i/>
                <w:color w:val="000000"/>
                <w:sz w:val="16"/>
                <w:szCs w:val="16"/>
              </w:rPr>
              <w:t>WIPO GREEN</w:t>
            </w:r>
            <w:r w:rsidRPr="004B02F2">
              <w:rPr>
                <w:color w:val="000000"/>
                <w:sz w:val="16"/>
                <w:szCs w:val="16"/>
              </w:rPr>
              <w:t xml:space="preserve"> 3</w:t>
            </w:r>
          </w:p>
          <w:p w:rsidR="00236E18" w:rsidRPr="004B02F2" w:rsidRDefault="00236E18" w:rsidP="00294272">
            <w:pPr>
              <w:rPr>
                <w:color w:val="000000"/>
                <w:sz w:val="16"/>
                <w:szCs w:val="16"/>
              </w:rPr>
            </w:pPr>
            <w:r w:rsidRPr="004B02F2">
              <w:rPr>
                <w:color w:val="000000"/>
                <w:sz w:val="16"/>
                <w:szCs w:val="16"/>
              </w:rPr>
              <w:t xml:space="preserve">21 (OOS) </w:t>
            </w:r>
          </w:p>
          <w:p w:rsidR="00236E18" w:rsidRPr="004B02F2" w:rsidRDefault="00236E18" w:rsidP="00294272">
            <w:pPr>
              <w:rPr>
                <w:color w:val="000000"/>
                <w:sz w:val="16"/>
                <w:szCs w:val="16"/>
              </w:rPr>
            </w:pPr>
            <w:r w:rsidRPr="004B02F2">
              <w:rPr>
                <w:color w:val="000000"/>
                <w:sz w:val="16"/>
                <w:szCs w:val="16"/>
              </w:rPr>
              <w:t>48 región de América Latina y el Caribe (OOB)</w:t>
            </w:r>
          </w:p>
          <w:p w:rsidR="00236E18" w:rsidRPr="004B02F2" w:rsidRDefault="00236E18" w:rsidP="00294272">
            <w:pPr>
              <w:rPr>
                <w:color w:val="000000"/>
                <w:sz w:val="16"/>
                <w:szCs w:val="16"/>
                <w:lang w:val="en-US"/>
              </w:rPr>
            </w:pPr>
            <w:r w:rsidRPr="004B02F2">
              <w:rPr>
                <w:color w:val="000000"/>
                <w:sz w:val="16"/>
                <w:szCs w:val="16"/>
                <w:lang w:val="en-US"/>
              </w:rPr>
              <w:t xml:space="preserve">45 (OOJ) </w:t>
            </w:r>
          </w:p>
          <w:p w:rsidR="00236E18" w:rsidRPr="004B02F2" w:rsidRDefault="00236E18" w:rsidP="00294272">
            <w:pPr>
              <w:rPr>
                <w:color w:val="000000"/>
                <w:sz w:val="16"/>
                <w:szCs w:val="16"/>
                <w:lang w:val="en-US"/>
              </w:rPr>
            </w:pPr>
            <w:r w:rsidRPr="004B02F2">
              <w:rPr>
                <w:color w:val="000000"/>
                <w:sz w:val="16"/>
                <w:szCs w:val="16"/>
                <w:lang w:val="en-US"/>
              </w:rPr>
              <w:t>1 (OOR)</w:t>
            </w:r>
          </w:p>
          <w:p w:rsidR="00236E18" w:rsidRPr="004B02F2" w:rsidRDefault="00236E18" w:rsidP="00294272">
            <w:pPr>
              <w:rPr>
                <w:color w:val="000000"/>
                <w:sz w:val="16"/>
                <w:szCs w:val="16"/>
                <w:lang w:val="en-US"/>
              </w:rPr>
            </w:pPr>
            <w:r w:rsidRPr="004B02F2">
              <w:rPr>
                <w:color w:val="000000"/>
                <w:sz w:val="16"/>
                <w:szCs w:val="16"/>
                <w:lang w:val="en-US"/>
              </w:rPr>
              <w:t>29 (OOC)</w:t>
            </w:r>
          </w:p>
          <w:p w:rsidR="00236E18" w:rsidRPr="004B02F2" w:rsidRDefault="00236E18" w:rsidP="00294272">
            <w:pPr>
              <w:rPr>
                <w:color w:val="000000"/>
                <w:sz w:val="16"/>
                <w:szCs w:val="16"/>
                <w:lang w:val="en-US"/>
              </w:rPr>
            </w:pPr>
            <w:r w:rsidRPr="004B02F2">
              <w:rPr>
                <w:color w:val="000000"/>
                <w:sz w:val="16"/>
                <w:szCs w:val="16"/>
                <w:lang w:val="en-US"/>
              </w:rPr>
              <w:br/>
            </w:r>
            <w:r w:rsidRPr="004252B2">
              <w:rPr>
                <w:i/>
                <w:color w:val="000000"/>
                <w:sz w:val="16"/>
                <w:szCs w:val="16"/>
                <w:lang w:val="en-US"/>
              </w:rPr>
              <w:t xml:space="preserve">WIPO </w:t>
            </w:r>
            <w:proofErr w:type="spellStart"/>
            <w:r w:rsidRPr="004252B2">
              <w:rPr>
                <w:i/>
                <w:color w:val="000000"/>
                <w:sz w:val="16"/>
                <w:szCs w:val="16"/>
                <w:lang w:val="en-US"/>
              </w:rPr>
              <w:t>Re:Search</w:t>
            </w:r>
            <w:proofErr w:type="spellEnd"/>
            <w:r w:rsidRPr="004B02F2">
              <w:rPr>
                <w:color w:val="000000"/>
                <w:sz w:val="16"/>
                <w:szCs w:val="16"/>
                <w:lang w:val="en-US"/>
              </w:rPr>
              <w:t xml:space="preserve">: </w:t>
            </w:r>
            <w:proofErr w:type="spellStart"/>
            <w:r w:rsidRPr="004B02F2">
              <w:rPr>
                <w:color w:val="000000"/>
                <w:sz w:val="16"/>
                <w:szCs w:val="16"/>
                <w:lang w:val="en-US"/>
              </w:rPr>
              <w:t>n.d.</w:t>
            </w:r>
            <w:proofErr w:type="spellEnd"/>
            <w:r w:rsidRPr="004B02F2">
              <w:rPr>
                <w:color w:val="000000"/>
                <w:sz w:val="16"/>
                <w:szCs w:val="16"/>
                <w:lang w:val="en-US"/>
              </w:rPr>
              <w:t xml:space="preserve"> </w:t>
            </w:r>
          </w:p>
        </w:tc>
        <w:tc>
          <w:tcPr>
            <w:tcW w:w="2089" w:type="dxa"/>
            <w:tcBorders>
              <w:left w:val="nil"/>
              <w:bottom w:val="single" w:sz="4" w:space="0" w:color="auto"/>
              <w:right w:val="single" w:sz="4" w:space="0" w:color="auto"/>
            </w:tcBorders>
          </w:tcPr>
          <w:p w:rsidR="00236E18" w:rsidRPr="004B02F2" w:rsidRDefault="00236E18" w:rsidP="00294272">
            <w:pPr>
              <w:rPr>
                <w:sz w:val="16"/>
                <w:szCs w:val="16"/>
              </w:rPr>
            </w:pPr>
            <w:r w:rsidRPr="004B02F2">
              <w:rPr>
                <w:sz w:val="16"/>
                <w:szCs w:val="16"/>
              </w:rPr>
              <w:t xml:space="preserve">Aumento del 20% en </w:t>
            </w:r>
            <w:r w:rsidRPr="004252B2">
              <w:rPr>
                <w:i/>
                <w:sz w:val="16"/>
                <w:szCs w:val="16"/>
              </w:rPr>
              <w:t>WIPO GREEN</w:t>
            </w:r>
            <w:r w:rsidRPr="004B02F2">
              <w:rPr>
                <w:sz w:val="16"/>
                <w:szCs w:val="16"/>
              </w:rPr>
              <w:t xml:space="preserve"> y </w:t>
            </w:r>
            <w:r w:rsidRPr="009572EA">
              <w:rPr>
                <w:i/>
                <w:sz w:val="16"/>
                <w:szCs w:val="16"/>
              </w:rPr>
              <w:t xml:space="preserve">WIPO </w:t>
            </w:r>
            <w:proofErr w:type="spellStart"/>
            <w:r w:rsidRPr="009572EA">
              <w:rPr>
                <w:i/>
                <w:sz w:val="16"/>
                <w:szCs w:val="16"/>
              </w:rPr>
              <w:t>Re:Search</w:t>
            </w:r>
            <w:proofErr w:type="spellEnd"/>
            <w:r w:rsidRPr="004B02F2">
              <w:rPr>
                <w:sz w:val="16"/>
                <w:szCs w:val="16"/>
              </w:rPr>
              <w:t xml:space="preserve"> </w:t>
            </w:r>
          </w:p>
          <w:p w:rsidR="00236E18" w:rsidRPr="004B02F2" w:rsidRDefault="00236E18" w:rsidP="00294272">
            <w:pPr>
              <w:rPr>
                <w:sz w:val="16"/>
                <w:szCs w:val="16"/>
              </w:rPr>
            </w:pPr>
            <w:r w:rsidRPr="004B02F2">
              <w:rPr>
                <w:color w:val="000000"/>
                <w:sz w:val="16"/>
                <w:szCs w:val="16"/>
              </w:rPr>
              <w:t>(</w:t>
            </w:r>
            <w:proofErr w:type="gramStart"/>
            <w:r w:rsidRPr="004B02F2">
              <w:rPr>
                <w:color w:val="000000"/>
                <w:sz w:val="16"/>
                <w:szCs w:val="16"/>
              </w:rPr>
              <w:t>todas</w:t>
            </w:r>
            <w:proofErr w:type="gramEnd"/>
            <w:r w:rsidRPr="004B02F2">
              <w:rPr>
                <w:color w:val="000000"/>
                <w:sz w:val="16"/>
                <w:szCs w:val="16"/>
              </w:rPr>
              <w:t xml:space="preserve"> las Oficinas).</w:t>
            </w:r>
          </w:p>
        </w:tc>
      </w:tr>
      <w:tr w:rsidR="00236E18" w:rsidRPr="004B02F2" w:rsidTr="00294272">
        <w:trPr>
          <w:trHeight w:val="915"/>
        </w:trPr>
        <w:tc>
          <w:tcPr>
            <w:tcW w:w="2380" w:type="dxa"/>
            <w:tcBorders>
              <w:top w:val="single" w:sz="4" w:space="0" w:color="auto"/>
              <w:left w:val="single" w:sz="4" w:space="0" w:color="auto"/>
              <w:bottom w:val="nil"/>
              <w:right w:val="nil"/>
            </w:tcBorders>
            <w:shd w:val="clear" w:color="auto" w:fill="auto"/>
            <w:tcMar>
              <w:top w:w="85" w:type="dxa"/>
            </w:tcMar>
            <w:hideMark/>
          </w:tcPr>
          <w:p w:rsidR="00236E18" w:rsidRPr="008D0192" w:rsidRDefault="00236E18" w:rsidP="00294272">
            <w:pPr>
              <w:rPr>
                <w:sz w:val="16"/>
                <w:szCs w:val="16"/>
              </w:rPr>
            </w:pPr>
            <w:r w:rsidRPr="008D0192">
              <w:rPr>
                <w:sz w:val="16"/>
                <w:szCs w:val="16"/>
              </w:rPr>
              <w:lastRenderedPageBreak/>
              <w:t xml:space="preserve">VIII.1  </w:t>
            </w:r>
            <w:r w:rsidRPr="008D0192">
              <w:rPr>
                <w:sz w:val="16"/>
                <w:szCs w:val="16"/>
                <w:lang w:val="es-ES_tradnl"/>
              </w:rPr>
              <w:t>Comunicación más eficaz con el público en general acerca de la P.I. y la función de la OMPI</w:t>
            </w:r>
          </w:p>
        </w:tc>
        <w:tc>
          <w:tcPr>
            <w:tcW w:w="2380" w:type="dxa"/>
            <w:tcBorders>
              <w:top w:val="single" w:sz="4" w:space="0" w:color="auto"/>
              <w:left w:val="nil"/>
              <w:bottom w:val="nil"/>
              <w:right w:val="nil"/>
            </w:tcBorders>
          </w:tcPr>
          <w:p w:rsidR="00236E18" w:rsidRPr="004B02F2" w:rsidRDefault="00236E18" w:rsidP="00294272">
            <w:pPr>
              <w:rPr>
                <w:color w:val="000000"/>
                <w:sz w:val="16"/>
                <w:szCs w:val="16"/>
              </w:rPr>
            </w:pPr>
            <w:r w:rsidRPr="004B02F2">
              <w:rPr>
                <w:color w:val="000000"/>
                <w:sz w:val="16"/>
                <w:szCs w:val="16"/>
              </w:rPr>
              <w:t>Aumento del tráfico en el sitio web de las Oficinas de la OMPI en el exterior.</w:t>
            </w:r>
            <w:r w:rsidRPr="004B02F2">
              <w:rPr>
                <w:color w:val="000000"/>
                <w:sz w:val="16"/>
                <w:szCs w:val="16"/>
              </w:rPr>
              <w:br/>
            </w:r>
          </w:p>
        </w:tc>
        <w:tc>
          <w:tcPr>
            <w:tcW w:w="2380" w:type="dxa"/>
            <w:tcBorders>
              <w:top w:val="single" w:sz="4" w:space="0" w:color="auto"/>
              <w:left w:val="nil"/>
              <w:bottom w:val="nil"/>
              <w:right w:val="nil"/>
            </w:tcBorders>
          </w:tcPr>
          <w:p w:rsidR="00236E18" w:rsidRPr="004B02F2" w:rsidRDefault="00236E18" w:rsidP="00294272">
            <w:pPr>
              <w:rPr>
                <w:color w:val="000000"/>
                <w:sz w:val="16"/>
                <w:szCs w:val="16"/>
              </w:rPr>
            </w:pPr>
            <w:r w:rsidRPr="004B02F2">
              <w:rPr>
                <w:color w:val="000000"/>
                <w:sz w:val="16"/>
                <w:szCs w:val="16"/>
              </w:rPr>
              <w:t>9.882 (OOS)</w:t>
            </w:r>
            <w:r w:rsidRPr="004B02F2">
              <w:rPr>
                <w:color w:val="000000"/>
                <w:sz w:val="16"/>
                <w:szCs w:val="16"/>
              </w:rPr>
              <w:br/>
              <w:t>OOB y OOJ: por determinar</w:t>
            </w:r>
          </w:p>
          <w:p w:rsidR="00236E18" w:rsidRPr="004B02F2" w:rsidRDefault="00236E18" w:rsidP="00294272">
            <w:pPr>
              <w:rPr>
                <w:color w:val="000000"/>
                <w:sz w:val="16"/>
                <w:szCs w:val="16"/>
              </w:rPr>
            </w:pPr>
            <w:r w:rsidRPr="004B02F2">
              <w:rPr>
                <w:color w:val="000000"/>
                <w:sz w:val="16"/>
                <w:szCs w:val="16"/>
              </w:rPr>
              <w:t xml:space="preserve">0 (OOR) </w:t>
            </w:r>
          </w:p>
          <w:p w:rsidR="00236E18" w:rsidRPr="004B02F2" w:rsidRDefault="00236E18" w:rsidP="00294272">
            <w:pPr>
              <w:rPr>
                <w:color w:val="000000"/>
                <w:sz w:val="16"/>
                <w:szCs w:val="16"/>
              </w:rPr>
            </w:pPr>
            <w:r w:rsidRPr="004B02F2">
              <w:rPr>
                <w:color w:val="000000"/>
                <w:sz w:val="16"/>
                <w:szCs w:val="16"/>
              </w:rPr>
              <w:t>0 (O</w:t>
            </w:r>
            <w:r>
              <w:rPr>
                <w:color w:val="000000"/>
                <w:sz w:val="16"/>
                <w:szCs w:val="16"/>
              </w:rPr>
              <w:t>OC</w:t>
            </w:r>
            <w:r w:rsidRPr="004B02F2">
              <w:rPr>
                <w:color w:val="000000"/>
                <w:sz w:val="16"/>
                <w:szCs w:val="16"/>
              </w:rPr>
              <w:t xml:space="preserve">) </w:t>
            </w:r>
            <w:r w:rsidRPr="004B02F2">
              <w:rPr>
                <w:color w:val="000000"/>
                <w:sz w:val="16"/>
                <w:szCs w:val="16"/>
              </w:rPr>
              <w:br/>
            </w:r>
          </w:p>
        </w:tc>
        <w:tc>
          <w:tcPr>
            <w:tcW w:w="2089" w:type="dxa"/>
            <w:tcBorders>
              <w:top w:val="single" w:sz="4" w:space="0" w:color="auto"/>
              <w:left w:val="nil"/>
              <w:bottom w:val="nil"/>
              <w:right w:val="single" w:sz="4" w:space="0" w:color="auto"/>
            </w:tcBorders>
          </w:tcPr>
          <w:p w:rsidR="00236E18" w:rsidRPr="004B02F2" w:rsidRDefault="00236E18" w:rsidP="00294272">
            <w:pPr>
              <w:rPr>
                <w:sz w:val="16"/>
                <w:szCs w:val="16"/>
              </w:rPr>
            </w:pPr>
            <w:r w:rsidRPr="004B02F2">
              <w:rPr>
                <w:sz w:val="16"/>
                <w:szCs w:val="16"/>
              </w:rPr>
              <w:t>Aumento del 5% en todas las Oficinas.</w:t>
            </w:r>
          </w:p>
        </w:tc>
      </w:tr>
      <w:tr w:rsidR="00236E18" w:rsidRPr="004B02F2" w:rsidTr="00294272">
        <w:trPr>
          <w:trHeight w:val="660"/>
        </w:trPr>
        <w:tc>
          <w:tcPr>
            <w:tcW w:w="2380" w:type="dxa"/>
            <w:tcBorders>
              <w:top w:val="nil"/>
              <w:left w:val="single" w:sz="4" w:space="0" w:color="auto"/>
              <w:right w:val="nil"/>
            </w:tcBorders>
            <w:shd w:val="clear" w:color="auto" w:fill="auto"/>
            <w:tcMar>
              <w:top w:w="85" w:type="dxa"/>
            </w:tcMar>
            <w:hideMark/>
          </w:tcPr>
          <w:p w:rsidR="00236E18" w:rsidRPr="008D0192" w:rsidRDefault="00236E18" w:rsidP="00294272">
            <w:pPr>
              <w:rPr>
                <w:sz w:val="16"/>
                <w:szCs w:val="16"/>
              </w:rPr>
            </w:pPr>
            <w:r w:rsidRPr="008D0192">
              <w:rPr>
                <w:sz w:val="16"/>
                <w:szCs w:val="16"/>
              </w:rPr>
              <w:t xml:space="preserve">VIII.2  </w:t>
            </w:r>
            <w:r w:rsidRPr="008D0192">
              <w:rPr>
                <w:sz w:val="16"/>
                <w:szCs w:val="16"/>
                <w:lang w:val="es-ES_tradnl"/>
              </w:rPr>
              <w:t>Mejora en la prestación de servicios y la atención de consultas</w:t>
            </w:r>
          </w:p>
        </w:tc>
        <w:tc>
          <w:tcPr>
            <w:tcW w:w="2380" w:type="dxa"/>
            <w:tcBorders>
              <w:top w:val="nil"/>
              <w:left w:val="nil"/>
              <w:right w:val="nil"/>
            </w:tcBorders>
          </w:tcPr>
          <w:p w:rsidR="00236E18" w:rsidRPr="004B02F2" w:rsidRDefault="00236E18" w:rsidP="00294272">
            <w:pPr>
              <w:rPr>
                <w:color w:val="000000"/>
                <w:sz w:val="16"/>
                <w:szCs w:val="16"/>
              </w:rPr>
            </w:pPr>
            <w:r w:rsidRPr="004B02F2">
              <w:rPr>
                <w:color w:val="000000"/>
                <w:sz w:val="16"/>
                <w:szCs w:val="16"/>
              </w:rPr>
              <w:t>Tiempo de tramitación de las consultas.</w:t>
            </w:r>
          </w:p>
        </w:tc>
        <w:tc>
          <w:tcPr>
            <w:tcW w:w="2380" w:type="dxa"/>
            <w:tcBorders>
              <w:top w:val="nil"/>
              <w:left w:val="nil"/>
              <w:right w:val="nil"/>
            </w:tcBorders>
          </w:tcPr>
          <w:p w:rsidR="00236E18" w:rsidRPr="004B02F2" w:rsidRDefault="00236E18" w:rsidP="00294272">
            <w:pPr>
              <w:rPr>
                <w:color w:val="000000"/>
                <w:sz w:val="16"/>
                <w:szCs w:val="16"/>
              </w:rPr>
            </w:pPr>
            <w:r w:rsidRPr="004B02F2">
              <w:rPr>
                <w:color w:val="000000"/>
                <w:sz w:val="16"/>
                <w:szCs w:val="16"/>
              </w:rPr>
              <w:t>48h (todas las Oficinas).</w:t>
            </w:r>
          </w:p>
        </w:tc>
        <w:tc>
          <w:tcPr>
            <w:tcW w:w="2089" w:type="dxa"/>
            <w:tcBorders>
              <w:top w:val="nil"/>
              <w:left w:val="nil"/>
              <w:right w:val="single" w:sz="4" w:space="0" w:color="auto"/>
            </w:tcBorders>
          </w:tcPr>
          <w:p w:rsidR="00236E18" w:rsidRPr="004B02F2" w:rsidRDefault="00236E18" w:rsidP="00294272">
            <w:pPr>
              <w:rPr>
                <w:sz w:val="16"/>
                <w:szCs w:val="16"/>
              </w:rPr>
            </w:pPr>
            <w:r w:rsidRPr="004B02F2">
              <w:rPr>
                <w:sz w:val="16"/>
                <w:szCs w:val="16"/>
              </w:rPr>
              <w:t xml:space="preserve">36h </w:t>
            </w:r>
            <w:r w:rsidRPr="004B02F2">
              <w:rPr>
                <w:color w:val="000000"/>
                <w:sz w:val="16"/>
                <w:szCs w:val="16"/>
              </w:rPr>
              <w:t>(todas las Oficinas).</w:t>
            </w:r>
          </w:p>
        </w:tc>
      </w:tr>
      <w:tr w:rsidR="00236E18" w:rsidRPr="00112CCF" w:rsidTr="00294272">
        <w:trPr>
          <w:trHeight w:val="626"/>
        </w:trPr>
        <w:tc>
          <w:tcPr>
            <w:tcW w:w="2380" w:type="dxa"/>
            <w:tcBorders>
              <w:top w:val="nil"/>
              <w:left w:val="single" w:sz="4" w:space="0" w:color="auto"/>
              <w:bottom w:val="single" w:sz="4" w:space="0" w:color="auto"/>
              <w:right w:val="nil"/>
            </w:tcBorders>
            <w:shd w:val="clear" w:color="auto" w:fill="auto"/>
            <w:tcMar>
              <w:top w:w="85" w:type="dxa"/>
            </w:tcMar>
            <w:hideMark/>
          </w:tcPr>
          <w:p w:rsidR="00236E18" w:rsidRPr="008D0192" w:rsidRDefault="00236E18" w:rsidP="00294272">
            <w:pPr>
              <w:rPr>
                <w:sz w:val="16"/>
                <w:szCs w:val="16"/>
              </w:rPr>
            </w:pPr>
            <w:r w:rsidRPr="008D0192">
              <w:rPr>
                <w:sz w:val="16"/>
                <w:szCs w:val="16"/>
              </w:rPr>
              <w:t xml:space="preserve">VIII.5  </w:t>
            </w:r>
            <w:r w:rsidRPr="008D0192">
              <w:rPr>
                <w:sz w:val="16"/>
                <w:szCs w:val="16"/>
                <w:lang w:val="es-ES_tradnl"/>
              </w:rPr>
              <w:t>La OMPI participa y colabora eficazmente en los procesos y negociaciones de las NN.UU. y otras OIG</w:t>
            </w:r>
          </w:p>
          <w:p w:rsidR="00236E18" w:rsidRPr="008D0192" w:rsidRDefault="00236E18" w:rsidP="00294272">
            <w:pPr>
              <w:rPr>
                <w:sz w:val="16"/>
                <w:szCs w:val="16"/>
              </w:rPr>
            </w:pPr>
          </w:p>
        </w:tc>
        <w:tc>
          <w:tcPr>
            <w:tcW w:w="2380" w:type="dxa"/>
            <w:tcBorders>
              <w:top w:val="nil"/>
              <w:left w:val="nil"/>
              <w:bottom w:val="single" w:sz="4" w:space="0" w:color="auto"/>
              <w:right w:val="nil"/>
            </w:tcBorders>
          </w:tcPr>
          <w:p w:rsidR="00236E18" w:rsidRPr="004B02F2" w:rsidRDefault="00236E18" w:rsidP="00294272">
            <w:pPr>
              <w:rPr>
                <w:color w:val="000000"/>
                <w:sz w:val="16"/>
                <w:szCs w:val="16"/>
              </w:rPr>
            </w:pPr>
            <w:r>
              <w:rPr>
                <w:color w:val="000000"/>
                <w:sz w:val="16"/>
                <w:szCs w:val="16"/>
              </w:rPr>
              <w:t>Nº</w:t>
            </w:r>
            <w:r w:rsidRPr="004B02F2">
              <w:rPr>
                <w:color w:val="000000"/>
                <w:sz w:val="16"/>
                <w:szCs w:val="16"/>
              </w:rPr>
              <w:t xml:space="preserve"> de actividades comunes con la Secretaría de la ASEAN, ECAP/OA</w:t>
            </w:r>
            <w:r>
              <w:rPr>
                <w:color w:val="000000"/>
                <w:sz w:val="16"/>
                <w:szCs w:val="16"/>
              </w:rPr>
              <w:t>M</w:t>
            </w:r>
            <w:r w:rsidRPr="004B02F2">
              <w:rPr>
                <w:color w:val="000000"/>
                <w:sz w:val="16"/>
                <w:szCs w:val="16"/>
              </w:rPr>
              <w:t>I, Fundación Asia/Europa, AANZFTA.</w:t>
            </w:r>
            <w:r>
              <w:rPr>
                <w:color w:val="000000"/>
                <w:sz w:val="16"/>
                <w:szCs w:val="16"/>
              </w:rPr>
              <w:br/>
            </w:r>
          </w:p>
        </w:tc>
        <w:tc>
          <w:tcPr>
            <w:tcW w:w="2380" w:type="dxa"/>
            <w:tcBorders>
              <w:top w:val="nil"/>
              <w:left w:val="nil"/>
              <w:bottom w:val="single" w:sz="4" w:space="0" w:color="auto"/>
              <w:right w:val="nil"/>
            </w:tcBorders>
          </w:tcPr>
          <w:p w:rsidR="00236E18" w:rsidRPr="004B02F2" w:rsidRDefault="00236E18" w:rsidP="00294272">
            <w:pPr>
              <w:rPr>
                <w:color w:val="000000"/>
                <w:sz w:val="16"/>
                <w:szCs w:val="16"/>
              </w:rPr>
            </w:pPr>
            <w:r w:rsidRPr="004B02F2">
              <w:rPr>
                <w:color w:val="000000"/>
                <w:sz w:val="16"/>
                <w:szCs w:val="16"/>
              </w:rPr>
              <w:t>11 (OOS).</w:t>
            </w:r>
          </w:p>
        </w:tc>
        <w:tc>
          <w:tcPr>
            <w:tcW w:w="2089" w:type="dxa"/>
            <w:tcBorders>
              <w:top w:val="nil"/>
              <w:left w:val="nil"/>
              <w:bottom w:val="single" w:sz="4" w:space="0" w:color="auto"/>
              <w:right w:val="single" w:sz="4" w:space="0" w:color="auto"/>
            </w:tcBorders>
          </w:tcPr>
          <w:p w:rsidR="00236E18" w:rsidRPr="00ED4DE9" w:rsidRDefault="00236E18" w:rsidP="00294272">
            <w:pPr>
              <w:rPr>
                <w:sz w:val="16"/>
                <w:szCs w:val="16"/>
              </w:rPr>
            </w:pPr>
            <w:r w:rsidRPr="004B02F2">
              <w:rPr>
                <w:sz w:val="16"/>
                <w:szCs w:val="16"/>
              </w:rPr>
              <w:t>8 más.</w:t>
            </w:r>
          </w:p>
        </w:tc>
      </w:tr>
    </w:tbl>
    <w:p w:rsidR="00236E18" w:rsidRPr="00ED4DE9" w:rsidRDefault="00236E18" w:rsidP="00236E18">
      <w:pPr>
        <w:jc w:val="both"/>
      </w:pPr>
    </w:p>
    <w:p w:rsidR="00236E18" w:rsidRDefault="00236E18" w:rsidP="00236E18">
      <w:pPr>
        <w:keepNext/>
        <w:keepLines/>
        <w:jc w:val="both"/>
      </w:pPr>
      <w:r>
        <w:t>RECURSOS PARA EL PROGRAMA</w:t>
      </w:r>
      <w:r w:rsidRPr="00ED4DE9">
        <w:t xml:space="preserve"> 20</w:t>
      </w:r>
    </w:p>
    <w:p w:rsidR="00236E18" w:rsidRDefault="00236E18" w:rsidP="00236E18">
      <w:pPr>
        <w:keepNext/>
        <w:keepLines/>
        <w:jc w:val="both"/>
      </w:pPr>
    </w:p>
    <w:p w:rsidR="00236E18" w:rsidRPr="00946E40" w:rsidRDefault="00236E18" w:rsidP="00236E18">
      <w:pPr>
        <w:numPr>
          <w:ilvl w:val="0"/>
          <w:numId w:val="35"/>
        </w:numPr>
        <w:jc w:val="both"/>
        <w:rPr>
          <w:sz w:val="20"/>
        </w:rPr>
      </w:pPr>
      <w:r>
        <w:rPr>
          <w:sz w:val="20"/>
        </w:rPr>
        <w:t>Los recursos necesarios para continuar con el actual modelo de funcionamiento de la Oficina de Coordinación de la OMPI en Nueva York, durante el bienio 2016/17, provendrán de las eficiencias en materia de costos y de las economías que se obtengan durante la ejecución global del presupuesto por programas de la OMPI</w:t>
      </w:r>
      <w:r w:rsidRPr="00946E40">
        <w:rPr>
          <w:sz w:val="20"/>
        </w:rPr>
        <w:t>.</w:t>
      </w:r>
    </w:p>
    <w:p w:rsidR="00236E18" w:rsidRPr="00946E40" w:rsidRDefault="00236E18" w:rsidP="00236E18">
      <w:pPr>
        <w:keepNext/>
        <w:keepLines/>
        <w:jc w:val="both"/>
        <w:rPr>
          <w:sz w:val="20"/>
        </w:rPr>
      </w:pPr>
    </w:p>
    <w:p w:rsidR="00236E18" w:rsidRPr="00946E40" w:rsidRDefault="00236E18" w:rsidP="00236E18">
      <w:pPr>
        <w:numPr>
          <w:ilvl w:val="0"/>
          <w:numId w:val="35"/>
        </w:numPr>
        <w:jc w:val="both"/>
        <w:rPr>
          <w:sz w:val="20"/>
        </w:rPr>
      </w:pPr>
      <w:r w:rsidRPr="00946E40">
        <w:rPr>
          <w:sz w:val="20"/>
        </w:rPr>
        <w:t>Las variaciones en los recursos que se muestran en los resultados previstos, en comparación con el presupuesto de 2014/2015 tras las transferencias se deben en gran medida al hecho de haber alineado con mayor precisión los recursos con los resultados previstos respecto de todas las oficinas de la OMPI en el exterior de cara al bienio 2016/17</w:t>
      </w:r>
      <w:r>
        <w:rPr>
          <w:sz w:val="20"/>
        </w:rPr>
        <w:t>.</w:t>
      </w:r>
    </w:p>
    <w:p w:rsidR="00236E18" w:rsidRPr="00946E40" w:rsidRDefault="00236E18" w:rsidP="00236E18">
      <w:pPr>
        <w:jc w:val="both"/>
        <w:rPr>
          <w:sz w:val="20"/>
        </w:rPr>
      </w:pPr>
    </w:p>
    <w:p w:rsidR="00236E18" w:rsidRDefault="00236E18" w:rsidP="00236E18">
      <w:pPr>
        <w:rPr>
          <w:b/>
          <w:sz w:val="20"/>
          <w:szCs w:val="24"/>
        </w:rPr>
      </w:pPr>
      <w:r>
        <w:rPr>
          <w:b/>
          <w:sz w:val="20"/>
          <w:szCs w:val="24"/>
        </w:rPr>
        <w:br w:type="page"/>
      </w:r>
    </w:p>
    <w:p w:rsidR="00236E18" w:rsidRPr="00ED4DE9" w:rsidRDefault="00236E18" w:rsidP="00236E18">
      <w:pPr>
        <w:keepNext/>
        <w:keepLines/>
        <w:tabs>
          <w:tab w:val="left" w:pos="1427"/>
        </w:tabs>
        <w:jc w:val="center"/>
        <w:rPr>
          <w:sz w:val="20"/>
        </w:rPr>
      </w:pPr>
      <w:r w:rsidRPr="00ED4DE9">
        <w:rPr>
          <w:b/>
          <w:sz w:val="20"/>
          <w:szCs w:val="24"/>
        </w:rPr>
        <w:lastRenderedPageBreak/>
        <w:t>Program</w:t>
      </w:r>
      <w:r>
        <w:rPr>
          <w:b/>
          <w:sz w:val="20"/>
          <w:szCs w:val="24"/>
        </w:rPr>
        <w:t>a</w:t>
      </w:r>
      <w:r w:rsidRPr="00ED4DE9">
        <w:rPr>
          <w:b/>
          <w:sz w:val="20"/>
          <w:szCs w:val="24"/>
        </w:rPr>
        <w:t xml:space="preserve"> 20</w:t>
      </w:r>
      <w:proofErr w:type="gramStart"/>
      <w:r w:rsidRPr="00ED4DE9">
        <w:rPr>
          <w:b/>
          <w:sz w:val="20"/>
          <w:szCs w:val="24"/>
        </w:rPr>
        <w:t xml:space="preserve">:  </w:t>
      </w:r>
      <w:r>
        <w:rPr>
          <w:b/>
          <w:sz w:val="20"/>
          <w:szCs w:val="24"/>
        </w:rPr>
        <w:t>Recursos</w:t>
      </w:r>
      <w:proofErr w:type="gramEnd"/>
      <w:r>
        <w:rPr>
          <w:b/>
          <w:sz w:val="20"/>
          <w:szCs w:val="24"/>
        </w:rPr>
        <w:t xml:space="preserve"> por resultado</w:t>
      </w:r>
    </w:p>
    <w:p w:rsidR="00236E18" w:rsidRPr="00ED4DE9" w:rsidRDefault="00236E18" w:rsidP="00236E18">
      <w:pPr>
        <w:keepNext/>
        <w:keepLines/>
        <w:tabs>
          <w:tab w:val="left" w:pos="1427"/>
        </w:tabs>
        <w:jc w:val="center"/>
        <w:rPr>
          <w:i/>
          <w:sz w:val="20"/>
          <w:szCs w:val="24"/>
        </w:rPr>
      </w:pPr>
      <w:r w:rsidRPr="00ED4DE9">
        <w:rPr>
          <w:i/>
          <w:sz w:val="20"/>
          <w:szCs w:val="24"/>
        </w:rPr>
        <w:t>(</w:t>
      </w:r>
      <w:proofErr w:type="gramStart"/>
      <w:r>
        <w:rPr>
          <w:i/>
          <w:sz w:val="20"/>
          <w:szCs w:val="24"/>
        </w:rPr>
        <w:t>en</w:t>
      </w:r>
      <w:proofErr w:type="gramEnd"/>
      <w:r>
        <w:rPr>
          <w:i/>
          <w:sz w:val="20"/>
          <w:szCs w:val="24"/>
        </w:rPr>
        <w:t xml:space="preserve"> miles de francos suizos</w:t>
      </w:r>
      <w:r w:rsidRPr="00ED4DE9">
        <w:rPr>
          <w:i/>
          <w:sz w:val="20"/>
          <w:szCs w:val="24"/>
        </w:rPr>
        <w:t>)</w:t>
      </w:r>
    </w:p>
    <w:p w:rsidR="00236E18" w:rsidRPr="00ED4DE9" w:rsidRDefault="00236E18" w:rsidP="00236E18">
      <w:pPr>
        <w:keepNext/>
        <w:keepLines/>
        <w:tabs>
          <w:tab w:val="left" w:pos="1427"/>
        </w:tabs>
        <w:jc w:val="center"/>
        <w:rPr>
          <w:i/>
          <w:sz w:val="20"/>
          <w:szCs w:val="24"/>
        </w:rPr>
      </w:pPr>
    </w:p>
    <w:p w:rsidR="00236E18" w:rsidRDefault="00236E18" w:rsidP="00236E18">
      <w:pPr>
        <w:keepNext/>
        <w:keepLines/>
        <w:tabs>
          <w:tab w:val="left" w:pos="1427"/>
        </w:tabs>
        <w:jc w:val="center"/>
      </w:pPr>
      <w:r w:rsidRPr="000278D6">
        <w:rPr>
          <w:noProof/>
          <w:lang w:val="en-US" w:eastAsia="en-US"/>
        </w:rPr>
        <w:drawing>
          <wp:inline distT="0" distB="0" distL="0" distR="0" wp14:anchorId="547915FD" wp14:editId="444D808D">
            <wp:extent cx="5676265" cy="8514080"/>
            <wp:effectExtent l="0" t="0" r="635" b="127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676265" cy="8514080"/>
                    </a:xfrm>
                    <a:prstGeom prst="rect">
                      <a:avLst/>
                    </a:prstGeom>
                    <a:noFill/>
                    <a:ln>
                      <a:noFill/>
                    </a:ln>
                  </pic:spPr>
                </pic:pic>
              </a:graphicData>
            </a:graphic>
          </wp:inline>
        </w:drawing>
      </w:r>
      <w:r w:rsidRPr="008C5F94">
        <w:t xml:space="preserve"> </w:t>
      </w:r>
    </w:p>
    <w:p w:rsidR="00236E18" w:rsidRPr="00ED4DE9" w:rsidRDefault="00236E18" w:rsidP="00236E18">
      <w:pPr>
        <w:tabs>
          <w:tab w:val="left" w:pos="1427"/>
        </w:tabs>
        <w:rPr>
          <w:b/>
          <w:sz w:val="20"/>
          <w:szCs w:val="24"/>
        </w:rPr>
      </w:pPr>
      <w:r w:rsidRPr="00ED4DE9">
        <w:rPr>
          <w:b/>
          <w:sz w:val="20"/>
          <w:szCs w:val="24"/>
        </w:rPr>
        <w:br w:type="page"/>
      </w:r>
    </w:p>
    <w:p w:rsidR="00236E18" w:rsidRPr="00ED4DE9" w:rsidRDefault="00236E18" w:rsidP="00236E18">
      <w:pPr>
        <w:keepNext/>
        <w:keepLines/>
        <w:tabs>
          <w:tab w:val="left" w:pos="1427"/>
        </w:tabs>
        <w:jc w:val="center"/>
        <w:rPr>
          <w:sz w:val="20"/>
        </w:rPr>
      </w:pPr>
      <w:r w:rsidRPr="00ED4DE9">
        <w:rPr>
          <w:b/>
          <w:sz w:val="20"/>
          <w:szCs w:val="24"/>
        </w:rPr>
        <w:lastRenderedPageBreak/>
        <w:t>Program</w:t>
      </w:r>
      <w:r>
        <w:rPr>
          <w:b/>
          <w:sz w:val="20"/>
          <w:szCs w:val="24"/>
        </w:rPr>
        <w:t>a</w:t>
      </w:r>
      <w:r w:rsidRPr="00ED4DE9">
        <w:rPr>
          <w:b/>
          <w:sz w:val="20"/>
          <w:szCs w:val="24"/>
        </w:rPr>
        <w:t xml:space="preserve"> 20</w:t>
      </w:r>
      <w:proofErr w:type="gramStart"/>
      <w:r w:rsidRPr="00ED4DE9">
        <w:rPr>
          <w:b/>
          <w:sz w:val="20"/>
          <w:szCs w:val="24"/>
        </w:rPr>
        <w:t xml:space="preserve">:  </w:t>
      </w:r>
      <w:r>
        <w:rPr>
          <w:b/>
          <w:sz w:val="20"/>
          <w:szCs w:val="24"/>
        </w:rPr>
        <w:t>Recursos</w:t>
      </w:r>
      <w:proofErr w:type="gramEnd"/>
      <w:r>
        <w:rPr>
          <w:b/>
          <w:sz w:val="20"/>
          <w:szCs w:val="24"/>
        </w:rPr>
        <w:t xml:space="preserve"> por objeto de gasto</w:t>
      </w:r>
    </w:p>
    <w:p w:rsidR="00236E18" w:rsidRPr="00ED4DE9" w:rsidRDefault="00236E18" w:rsidP="00236E18">
      <w:pPr>
        <w:keepNext/>
        <w:keepLines/>
        <w:tabs>
          <w:tab w:val="left" w:pos="1427"/>
        </w:tabs>
        <w:jc w:val="center"/>
        <w:rPr>
          <w:i/>
          <w:sz w:val="20"/>
          <w:szCs w:val="24"/>
        </w:rPr>
      </w:pPr>
      <w:r w:rsidRPr="00ED4DE9">
        <w:rPr>
          <w:i/>
          <w:sz w:val="20"/>
          <w:szCs w:val="24"/>
        </w:rPr>
        <w:t>(</w:t>
      </w:r>
      <w:proofErr w:type="gramStart"/>
      <w:r>
        <w:rPr>
          <w:i/>
          <w:sz w:val="20"/>
          <w:szCs w:val="24"/>
        </w:rPr>
        <w:t>en</w:t>
      </w:r>
      <w:proofErr w:type="gramEnd"/>
      <w:r>
        <w:rPr>
          <w:i/>
          <w:sz w:val="20"/>
          <w:szCs w:val="24"/>
        </w:rPr>
        <w:t xml:space="preserve"> miles de francos suizos</w:t>
      </w:r>
      <w:r w:rsidRPr="00ED4DE9">
        <w:rPr>
          <w:i/>
          <w:sz w:val="20"/>
          <w:szCs w:val="24"/>
        </w:rPr>
        <w:t>)</w:t>
      </w:r>
    </w:p>
    <w:p w:rsidR="00236E18" w:rsidRPr="00ED4DE9" w:rsidRDefault="00236E18" w:rsidP="00236E18">
      <w:pPr>
        <w:keepNext/>
        <w:keepLines/>
        <w:tabs>
          <w:tab w:val="left" w:pos="1427"/>
        </w:tabs>
        <w:jc w:val="center"/>
        <w:rPr>
          <w:i/>
          <w:sz w:val="20"/>
          <w:szCs w:val="24"/>
        </w:rPr>
      </w:pPr>
    </w:p>
    <w:p w:rsidR="00236E18" w:rsidRPr="00ED4DE9" w:rsidRDefault="00236E18" w:rsidP="00236E18">
      <w:pPr>
        <w:jc w:val="center"/>
        <w:rPr>
          <w:sz w:val="20"/>
        </w:rPr>
      </w:pPr>
      <w:r w:rsidRPr="006E13F6">
        <w:rPr>
          <w:noProof/>
          <w:lang w:val="en-US" w:eastAsia="en-US"/>
        </w:rPr>
        <w:drawing>
          <wp:inline distT="0" distB="0" distL="0" distR="0" wp14:anchorId="45FEE4C7" wp14:editId="5E9B926A">
            <wp:extent cx="5520481" cy="5688000"/>
            <wp:effectExtent l="0" t="0" r="444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520481" cy="5688000"/>
                    </a:xfrm>
                    <a:prstGeom prst="rect">
                      <a:avLst/>
                    </a:prstGeom>
                    <a:noFill/>
                    <a:ln>
                      <a:noFill/>
                    </a:ln>
                  </pic:spPr>
                </pic:pic>
              </a:graphicData>
            </a:graphic>
          </wp:inline>
        </w:drawing>
      </w:r>
      <w:r w:rsidRPr="006E13F6">
        <w:rPr>
          <w:rStyle w:val="FootnoteReference"/>
          <w:sz w:val="2"/>
          <w:szCs w:val="2"/>
        </w:rPr>
        <w:footnoteReference w:id="24"/>
      </w:r>
    </w:p>
    <w:p w:rsidR="00236E18" w:rsidRPr="00ED4DE9" w:rsidRDefault="00236E18" w:rsidP="00236E18">
      <w:pPr>
        <w:jc w:val="center"/>
        <w:rPr>
          <w:sz w:val="20"/>
        </w:rPr>
      </w:pPr>
    </w:p>
    <w:p w:rsidR="00236E18" w:rsidRPr="00ED4DE9" w:rsidRDefault="00236E18" w:rsidP="00236E18">
      <w:pPr>
        <w:keepNext/>
        <w:keepLines/>
        <w:jc w:val="center"/>
        <w:rPr>
          <w:b/>
          <w:sz w:val="20"/>
        </w:rPr>
      </w:pPr>
      <w:r>
        <w:rPr>
          <w:b/>
          <w:sz w:val="20"/>
        </w:rPr>
        <w:t>Recursos de fondos fiduciarios disponibles potencialmente para su utilización</w:t>
      </w:r>
      <w:r w:rsidRPr="00ED4DE9">
        <w:rPr>
          <w:b/>
          <w:sz w:val="20"/>
        </w:rPr>
        <w:t xml:space="preserve"> 2016/17</w:t>
      </w:r>
      <w:r>
        <w:rPr>
          <w:b/>
          <w:sz w:val="20"/>
        </w:rPr>
        <w:br/>
      </w:r>
      <w:r w:rsidRPr="00ED4DE9">
        <w:rPr>
          <w:b/>
          <w:sz w:val="20"/>
        </w:rPr>
        <w:t>(</w:t>
      </w:r>
      <w:r>
        <w:rPr>
          <w:b/>
          <w:sz w:val="20"/>
        </w:rPr>
        <w:t>POR</w:t>
      </w:r>
      <w:r w:rsidRPr="00ED4DE9">
        <w:rPr>
          <w:b/>
          <w:sz w:val="20"/>
        </w:rPr>
        <w:t xml:space="preserve"> PROGRAM</w:t>
      </w:r>
      <w:r>
        <w:rPr>
          <w:b/>
          <w:sz w:val="20"/>
        </w:rPr>
        <w:t>A</w:t>
      </w:r>
      <w:r w:rsidRPr="00ED4DE9">
        <w:rPr>
          <w:b/>
          <w:sz w:val="20"/>
        </w:rPr>
        <w:t>)</w:t>
      </w:r>
      <w:r w:rsidRPr="00ED4DE9">
        <w:rPr>
          <w:sz w:val="20"/>
          <w:vertAlign w:val="superscript"/>
        </w:rPr>
        <w:t>1</w:t>
      </w:r>
    </w:p>
    <w:p w:rsidR="00236E18" w:rsidRPr="00ED4DE9" w:rsidRDefault="00236E18" w:rsidP="00236E18">
      <w:pPr>
        <w:keepNext/>
        <w:keepLines/>
        <w:jc w:val="center"/>
        <w:rPr>
          <w:i/>
          <w:sz w:val="20"/>
        </w:rPr>
      </w:pPr>
      <w:r w:rsidRPr="00ED4DE9">
        <w:rPr>
          <w:i/>
          <w:sz w:val="20"/>
        </w:rPr>
        <w:t>(</w:t>
      </w:r>
      <w:proofErr w:type="gramStart"/>
      <w:r>
        <w:rPr>
          <w:i/>
          <w:sz w:val="20"/>
        </w:rPr>
        <w:t>en</w:t>
      </w:r>
      <w:proofErr w:type="gramEnd"/>
      <w:r>
        <w:rPr>
          <w:i/>
          <w:sz w:val="20"/>
        </w:rPr>
        <w:t xml:space="preserve"> miles de francos suizos</w:t>
      </w:r>
      <w:r w:rsidRPr="00ED4DE9">
        <w:rPr>
          <w:i/>
          <w:sz w:val="20"/>
        </w:rPr>
        <w:t>)</w:t>
      </w:r>
    </w:p>
    <w:p w:rsidR="00236E18" w:rsidRPr="00ED4DE9" w:rsidRDefault="00236E18" w:rsidP="00236E18">
      <w:pPr>
        <w:keepNext/>
        <w:keepLines/>
        <w:jc w:val="center"/>
        <w:rPr>
          <w:sz w:val="20"/>
        </w:rPr>
      </w:pPr>
    </w:p>
    <w:p w:rsidR="00236E18" w:rsidRPr="00ED4DE9" w:rsidRDefault="00236E18" w:rsidP="00236E18">
      <w:pPr>
        <w:keepNext/>
        <w:keepLines/>
        <w:rPr>
          <w:sz w:val="20"/>
        </w:rPr>
      </w:pPr>
      <w:r w:rsidRPr="00150FA5">
        <w:rPr>
          <w:noProof/>
          <w:lang w:val="en-US" w:eastAsia="en-US"/>
        </w:rPr>
        <w:drawing>
          <wp:inline distT="0" distB="0" distL="0" distR="0" wp14:anchorId="272CFF6F" wp14:editId="0450107B">
            <wp:extent cx="5940425" cy="906737"/>
            <wp:effectExtent l="0" t="0" r="317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940425" cy="906737"/>
                    </a:xfrm>
                    <a:prstGeom prst="rect">
                      <a:avLst/>
                    </a:prstGeom>
                    <a:noFill/>
                    <a:ln>
                      <a:noFill/>
                    </a:ln>
                  </pic:spPr>
                </pic:pic>
              </a:graphicData>
            </a:graphic>
          </wp:inline>
        </w:drawing>
      </w:r>
    </w:p>
    <w:p w:rsidR="00236E18" w:rsidRPr="00ED4DE9" w:rsidRDefault="00236E18" w:rsidP="00236E18">
      <w:pPr>
        <w:keepNext/>
        <w:keepLines/>
        <w:jc w:val="both"/>
        <w:rPr>
          <w:bCs/>
          <w:sz w:val="20"/>
        </w:rPr>
      </w:pPr>
    </w:p>
    <w:p w:rsidR="00236E18" w:rsidRPr="00ED4DE9" w:rsidRDefault="00236E18" w:rsidP="00236E18">
      <w:pPr>
        <w:keepNext/>
        <w:keepLines/>
        <w:spacing w:after="60"/>
        <w:rPr>
          <w:i/>
          <w:sz w:val="16"/>
          <w:szCs w:val="14"/>
        </w:rPr>
      </w:pPr>
      <w:r w:rsidRPr="00ED4DE9">
        <w:rPr>
          <w:i/>
          <w:sz w:val="16"/>
          <w:szCs w:val="14"/>
          <w:vertAlign w:val="superscript"/>
        </w:rPr>
        <w:t>1</w:t>
      </w:r>
      <w:r>
        <w:rPr>
          <w:i/>
          <w:sz w:val="16"/>
          <w:szCs w:val="14"/>
        </w:rPr>
        <w:t>En las cifras no se han incluido los intereses ni los ajustes cambiarios</w:t>
      </w:r>
      <w:r w:rsidRPr="00ED4DE9">
        <w:rPr>
          <w:i/>
          <w:sz w:val="16"/>
          <w:szCs w:val="14"/>
        </w:rPr>
        <w:t xml:space="preserve">.  </w:t>
      </w:r>
      <w:r>
        <w:rPr>
          <w:i/>
          <w:sz w:val="16"/>
          <w:szCs w:val="14"/>
        </w:rPr>
        <w:t>Cabe observar asimismo que estos fondos se destinan generalmente a actividades que cubren un período que va más allá de un solo bienio, a medida que se reciben los ingresos y se incurre en gastos</w:t>
      </w:r>
      <w:r w:rsidRPr="00ED4DE9">
        <w:rPr>
          <w:i/>
          <w:sz w:val="16"/>
          <w:szCs w:val="14"/>
        </w:rPr>
        <w:t>.</w:t>
      </w:r>
    </w:p>
    <w:p w:rsidR="00236E18" w:rsidRPr="00DB2A74" w:rsidRDefault="00236E18" w:rsidP="00236E18">
      <w:pPr>
        <w:rPr>
          <w:sz w:val="20"/>
          <w:szCs w:val="21"/>
        </w:rPr>
      </w:pPr>
      <w:r w:rsidRPr="00ED4DE9">
        <w:rPr>
          <w:i/>
          <w:sz w:val="16"/>
          <w:szCs w:val="14"/>
          <w:vertAlign w:val="superscript"/>
        </w:rPr>
        <w:t>2</w:t>
      </w:r>
      <w:r>
        <w:rPr>
          <w:i/>
          <w:sz w:val="16"/>
          <w:szCs w:val="14"/>
        </w:rPr>
        <w:t>Estas cifras son puramente indicativas y se basan en patrones de financiación anteriores</w:t>
      </w:r>
      <w:r w:rsidRPr="00ED4DE9">
        <w:rPr>
          <w:i/>
          <w:sz w:val="16"/>
          <w:szCs w:val="14"/>
        </w:rPr>
        <w:t xml:space="preserve">.  </w:t>
      </w:r>
      <w:r>
        <w:rPr>
          <w:i/>
          <w:sz w:val="16"/>
          <w:szCs w:val="14"/>
        </w:rPr>
        <w:t>No representan los compromisos de los Estados miembros salvo cuando quedan incluidos en el acuerdo de fondos fiduciarios</w:t>
      </w:r>
      <w:r w:rsidRPr="00ED4DE9">
        <w:rPr>
          <w:i/>
          <w:sz w:val="16"/>
          <w:szCs w:val="14"/>
        </w:rPr>
        <w:t>.</w:t>
      </w:r>
      <w:r w:rsidRPr="00DB2A74">
        <w:rPr>
          <w:sz w:val="20"/>
          <w:szCs w:val="21"/>
        </w:rPr>
        <w:br w:type="page"/>
      </w:r>
    </w:p>
    <w:p w:rsidR="00236E18" w:rsidRPr="001F6DC8" w:rsidRDefault="00236E18" w:rsidP="00236E18">
      <w:pPr>
        <w:shd w:val="clear" w:color="auto" w:fill="FFFFFF"/>
        <w:tabs>
          <w:tab w:val="left" w:pos="709"/>
        </w:tabs>
        <w:suppressAutoHyphens/>
        <w:jc w:val="both"/>
        <w:rPr>
          <w:sz w:val="20"/>
          <w:szCs w:val="21"/>
        </w:rPr>
      </w:pPr>
    </w:p>
    <w:p w:rsidR="00236E18" w:rsidRPr="000278D6" w:rsidRDefault="00236E18" w:rsidP="00236E18">
      <w:pPr>
        <w:pStyle w:val="StyleStyleHeading3ComplexItalicLatin12pt"/>
        <w:tabs>
          <w:tab w:val="left" w:pos="3402"/>
        </w:tabs>
        <w:ind w:left="3402" w:hanging="3402"/>
        <w:rPr>
          <w:rStyle w:val="StyleStyleHeading3ComplexItalicLatin12ptChar"/>
          <w:rFonts w:eastAsia="SimSun"/>
          <w:b/>
          <w:highlight w:val="lightGray"/>
          <w:lang w:val="es-ES_tradnl"/>
        </w:rPr>
      </w:pPr>
      <w:bookmarkStart w:id="111" w:name="_Toc367350601"/>
      <w:bookmarkStart w:id="112" w:name="_Toc419283270"/>
      <w:bookmarkStart w:id="113" w:name="_Toc431573569"/>
      <w:bookmarkStart w:id="114" w:name="_Toc431573970"/>
      <w:r w:rsidRPr="000278D6">
        <w:rPr>
          <w:rStyle w:val="StyleStyleHeading3ComplexItalicLatin12ptChar"/>
          <w:rFonts w:eastAsia="SimSun"/>
          <w:b/>
          <w:lang w:val="es-ES_tradnl"/>
        </w:rPr>
        <w:t>META ESTRATÉGICA IX</w:t>
      </w:r>
      <w:r w:rsidRPr="000278D6">
        <w:rPr>
          <w:rStyle w:val="StyleStyleHeading3ComplexItalicLatin12ptChar"/>
          <w:rFonts w:eastAsia="SimSun"/>
          <w:b/>
          <w:lang w:val="es-ES_tradnl"/>
        </w:rPr>
        <w:tab/>
      </w:r>
      <w:bookmarkEnd w:id="111"/>
      <w:bookmarkEnd w:id="112"/>
      <w:r w:rsidRPr="000278D6">
        <w:rPr>
          <w:rStyle w:val="StyleStyleHeading3ComplexItalicLatin12ptChar"/>
          <w:rFonts w:eastAsia="SimSun"/>
          <w:b/>
          <w:lang w:val="es-ES_tradnl"/>
        </w:rPr>
        <w:t>APOYO ADMINISTRATIVO Y FINANCIERO EFICIENTE</w:t>
      </w:r>
      <w:bookmarkEnd w:id="113"/>
      <w:bookmarkEnd w:id="114"/>
    </w:p>
    <w:p w:rsidR="00236E18" w:rsidRPr="000278D6" w:rsidRDefault="00236E18" w:rsidP="00236E18">
      <w:pPr>
        <w:tabs>
          <w:tab w:val="left" w:pos="1701"/>
        </w:tabs>
        <w:ind w:left="1701" w:hanging="1701"/>
        <w:rPr>
          <w:b/>
          <w:bCs/>
          <w:caps/>
          <w:sz w:val="20"/>
          <w:highlight w:val="lightGray"/>
          <w:lang w:val="es-ES_tradnl"/>
        </w:rPr>
      </w:pPr>
    </w:p>
    <w:p w:rsidR="00236E18" w:rsidRPr="001F6DC8" w:rsidRDefault="00236E18" w:rsidP="00236E18">
      <w:pPr>
        <w:tabs>
          <w:tab w:val="left" w:pos="1701"/>
        </w:tabs>
        <w:ind w:left="1701" w:hanging="1701"/>
        <w:rPr>
          <w:bCs/>
          <w:caps/>
          <w:sz w:val="20"/>
          <w:highlight w:val="lightGray"/>
          <w:lang w:val="es-ES_tradnl"/>
        </w:rPr>
      </w:pPr>
    </w:p>
    <w:p w:rsidR="00236E18" w:rsidRPr="001F6DC8" w:rsidRDefault="00236E18" w:rsidP="00236E18">
      <w:pPr>
        <w:tabs>
          <w:tab w:val="left" w:pos="0"/>
        </w:tabs>
        <w:jc w:val="both"/>
        <w:rPr>
          <w:b/>
          <w:bCs/>
          <w:i/>
          <w:iCs/>
          <w:caps/>
          <w:sz w:val="20"/>
          <w:highlight w:val="lightGray"/>
          <w:lang w:val="es-ES_tradnl"/>
        </w:rPr>
      </w:pPr>
      <w:r w:rsidRPr="001F6DC8">
        <w:rPr>
          <w:sz w:val="20"/>
        </w:rPr>
        <w:t>La meta estratégica IX es la segunda de las dos metas coadyuvantes.  Refleja y satisface la necesidad de la Organización de contar con una estructura de apoyo administrativo, financiero y de gestión que coadyuve la ejecución de los programas y cuyos principios rectores sean la eficiencia y la transparencia.  Esta meta estratégica también abarca la reforma institucional amplia (programa de alineación estratégica) que mejorará el apoyo que brinda la OMPI, haciéndolo más eficiente y económico, y favorecerá un mejor rendimiento en la Organización.</w:t>
      </w:r>
    </w:p>
    <w:p w:rsidR="00236E18" w:rsidRPr="001F6DC8" w:rsidRDefault="00236E18" w:rsidP="00236E18">
      <w:pPr>
        <w:tabs>
          <w:tab w:val="left" w:pos="1701"/>
        </w:tabs>
        <w:ind w:left="1701" w:hanging="1701"/>
        <w:rPr>
          <w:b/>
          <w:bCs/>
          <w:caps/>
          <w:sz w:val="20"/>
          <w:highlight w:val="lightGray"/>
          <w:lang w:val="es-ES_tradnl"/>
        </w:rPr>
      </w:pPr>
    </w:p>
    <w:p w:rsidR="00236E18" w:rsidRPr="001F6DC8" w:rsidRDefault="00236E18" w:rsidP="00236E18">
      <w:pPr>
        <w:rPr>
          <w:sz w:val="20"/>
          <w:highlight w:val="lightGray"/>
          <w:lang w:val="es-ES_tradn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14"/>
        <w:gridCol w:w="2833"/>
        <w:gridCol w:w="2946"/>
      </w:tblGrid>
      <w:tr w:rsidR="00236E18" w:rsidRPr="001F6DC8" w:rsidTr="00294272">
        <w:trPr>
          <w:cantSplit/>
          <w:trHeight w:val="317"/>
          <w:tblHeader/>
        </w:trPr>
        <w:tc>
          <w:tcPr>
            <w:tcW w:w="1891" w:type="pct"/>
            <w:tcBorders>
              <w:top w:val="single" w:sz="4" w:space="0" w:color="auto"/>
              <w:bottom w:val="single" w:sz="4" w:space="0" w:color="auto"/>
            </w:tcBorders>
            <w:shd w:val="clear" w:color="auto" w:fill="C6D9F1" w:themeFill="text2" w:themeFillTint="33"/>
            <w:tcMar>
              <w:top w:w="85" w:type="dxa"/>
              <w:bottom w:w="85" w:type="dxa"/>
            </w:tcMar>
            <w:vAlign w:val="center"/>
          </w:tcPr>
          <w:p w:rsidR="00236E18" w:rsidRPr="001F6DC8" w:rsidRDefault="00236E18" w:rsidP="00294272">
            <w:pPr>
              <w:spacing w:after="120"/>
              <w:jc w:val="center"/>
              <w:rPr>
                <w:b/>
                <w:bCs/>
                <w:sz w:val="18"/>
                <w:szCs w:val="18"/>
              </w:rPr>
            </w:pPr>
            <w:r w:rsidRPr="001F6DC8">
              <w:rPr>
                <w:b/>
                <w:bCs/>
                <w:sz w:val="18"/>
                <w:szCs w:val="18"/>
              </w:rPr>
              <w:t>Resultados previstos</w:t>
            </w:r>
          </w:p>
        </w:tc>
        <w:tc>
          <w:tcPr>
            <w:tcW w:w="1524" w:type="pct"/>
            <w:tcBorders>
              <w:top w:val="single" w:sz="4" w:space="0" w:color="auto"/>
              <w:bottom w:val="single" w:sz="4" w:space="0" w:color="auto"/>
            </w:tcBorders>
            <w:shd w:val="clear" w:color="auto" w:fill="C6D9F1" w:themeFill="text2" w:themeFillTint="33"/>
            <w:tcMar>
              <w:top w:w="85" w:type="dxa"/>
              <w:bottom w:w="85" w:type="dxa"/>
            </w:tcMar>
            <w:vAlign w:val="center"/>
          </w:tcPr>
          <w:p w:rsidR="00236E18" w:rsidRPr="001F6DC8" w:rsidRDefault="00236E18" w:rsidP="00294272">
            <w:pPr>
              <w:spacing w:after="120"/>
              <w:jc w:val="center"/>
              <w:rPr>
                <w:b/>
                <w:sz w:val="18"/>
                <w:szCs w:val="18"/>
              </w:rPr>
            </w:pPr>
            <w:r w:rsidRPr="001F6DC8">
              <w:rPr>
                <w:b/>
                <w:sz w:val="18"/>
                <w:szCs w:val="18"/>
              </w:rPr>
              <w:t>Indicadores de rendimiento</w:t>
            </w:r>
          </w:p>
        </w:tc>
        <w:tc>
          <w:tcPr>
            <w:tcW w:w="1585" w:type="pct"/>
            <w:tcBorders>
              <w:top w:val="single" w:sz="4" w:space="0" w:color="auto"/>
              <w:bottom w:val="single" w:sz="4" w:space="0" w:color="auto"/>
            </w:tcBorders>
            <w:shd w:val="clear" w:color="auto" w:fill="C6D9F1" w:themeFill="text2" w:themeFillTint="33"/>
            <w:tcMar>
              <w:top w:w="85" w:type="dxa"/>
              <w:bottom w:w="85" w:type="dxa"/>
            </w:tcMar>
            <w:vAlign w:val="center"/>
          </w:tcPr>
          <w:p w:rsidR="00236E18" w:rsidRPr="001F6DC8" w:rsidRDefault="00236E18" w:rsidP="00294272">
            <w:pPr>
              <w:spacing w:after="120"/>
              <w:ind w:left="85"/>
              <w:rPr>
                <w:sz w:val="18"/>
                <w:szCs w:val="18"/>
              </w:rPr>
            </w:pPr>
            <w:r w:rsidRPr="001F6DC8">
              <w:rPr>
                <w:b/>
                <w:sz w:val="18"/>
                <w:szCs w:val="18"/>
              </w:rPr>
              <w:t>Programas responsables</w:t>
            </w:r>
          </w:p>
        </w:tc>
      </w:tr>
      <w:tr w:rsidR="00236E18" w:rsidRPr="001F6DC8" w:rsidTr="00294272">
        <w:trPr>
          <w:cantSplit/>
          <w:trHeight w:val="540"/>
        </w:trPr>
        <w:tc>
          <w:tcPr>
            <w:tcW w:w="1891" w:type="pct"/>
            <w:tcBorders>
              <w:top w:val="single" w:sz="4" w:space="0" w:color="auto"/>
            </w:tcBorders>
            <w:shd w:val="clear" w:color="auto" w:fill="auto"/>
            <w:tcMar>
              <w:top w:w="85" w:type="dxa"/>
              <w:bottom w:w="85" w:type="dxa"/>
            </w:tcMar>
          </w:tcPr>
          <w:p w:rsidR="00236E18" w:rsidRPr="008C5F94" w:rsidRDefault="00236E18" w:rsidP="00294272">
            <w:pPr>
              <w:rPr>
                <w:sz w:val="16"/>
                <w:szCs w:val="16"/>
              </w:rPr>
            </w:pPr>
            <w:r w:rsidRPr="008C5F94">
              <w:rPr>
                <w:sz w:val="16"/>
                <w:szCs w:val="16"/>
              </w:rPr>
              <w:t xml:space="preserve">IX.1  </w:t>
            </w:r>
            <w:r w:rsidRPr="008C5F94">
              <w:rPr>
                <w:sz w:val="16"/>
                <w:szCs w:val="16"/>
                <w:lang w:val="es-ES_tradnl"/>
              </w:rPr>
              <w:t>Servicios de apoyo eficaces, eficientes, de calidad y orientados al cliente, tanto a los usuarios internos como a las partes interesadas externas</w:t>
            </w:r>
          </w:p>
        </w:tc>
        <w:tc>
          <w:tcPr>
            <w:tcW w:w="1524" w:type="pct"/>
            <w:tcBorders>
              <w:top w:val="single" w:sz="4" w:space="0" w:color="auto"/>
            </w:tcBorders>
            <w:shd w:val="clear" w:color="auto" w:fill="auto"/>
            <w:tcMar>
              <w:top w:w="85" w:type="dxa"/>
              <w:bottom w:w="85" w:type="dxa"/>
            </w:tcMar>
          </w:tcPr>
          <w:p w:rsidR="00236E18" w:rsidRPr="001F6DC8" w:rsidRDefault="00236E18" w:rsidP="00294272">
            <w:pPr>
              <w:rPr>
                <w:sz w:val="16"/>
                <w:szCs w:val="16"/>
              </w:rPr>
            </w:pPr>
            <w:r w:rsidRPr="001F6DC8">
              <w:rPr>
                <w:sz w:val="16"/>
                <w:szCs w:val="16"/>
              </w:rPr>
              <w:t>Porcentaje de peticiones de asesoramiento y servicios jurídicos que reciben respuestas rápidas de la Oficina del Consejero Jurídico.</w:t>
            </w:r>
          </w:p>
        </w:tc>
        <w:tc>
          <w:tcPr>
            <w:tcW w:w="1585" w:type="pct"/>
            <w:tcBorders>
              <w:top w:val="single" w:sz="4" w:space="0" w:color="auto"/>
            </w:tcBorders>
            <w:shd w:val="clear" w:color="auto" w:fill="FFFFFF"/>
            <w:tcMar>
              <w:top w:w="85" w:type="dxa"/>
              <w:bottom w:w="85" w:type="dxa"/>
            </w:tcMar>
          </w:tcPr>
          <w:p w:rsidR="00236E18" w:rsidRPr="001F6DC8" w:rsidRDefault="00236E18" w:rsidP="00294272">
            <w:pPr>
              <w:jc w:val="center"/>
              <w:rPr>
                <w:sz w:val="16"/>
                <w:szCs w:val="16"/>
              </w:rPr>
            </w:pPr>
            <w:r w:rsidRPr="001F6DC8">
              <w:rPr>
                <w:sz w:val="16"/>
                <w:szCs w:val="16"/>
              </w:rPr>
              <w:t>Programa 21</w:t>
            </w:r>
          </w:p>
        </w:tc>
      </w:tr>
      <w:tr w:rsidR="00236E18" w:rsidRPr="001F6DC8" w:rsidTr="00294272">
        <w:trPr>
          <w:cantSplit/>
        </w:trPr>
        <w:tc>
          <w:tcPr>
            <w:tcW w:w="1891" w:type="pct"/>
            <w:shd w:val="clear" w:color="auto" w:fill="auto"/>
            <w:tcMar>
              <w:top w:w="85" w:type="dxa"/>
              <w:bottom w:w="85" w:type="dxa"/>
            </w:tcMar>
          </w:tcPr>
          <w:p w:rsidR="00236E18" w:rsidRPr="008C5F94"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Suministro de informes y análisis financieros y de gestión solicitados por el personal directivo superior, los directores de programa y los Estados miembros con arreglo a los plazos acordados</w:t>
            </w:r>
          </w:p>
        </w:tc>
        <w:tc>
          <w:tcPr>
            <w:tcW w:w="1585" w:type="pct"/>
            <w:shd w:val="clear" w:color="auto" w:fill="FFFFFF"/>
            <w:tcMar>
              <w:top w:w="85" w:type="dxa"/>
              <w:bottom w:w="85" w:type="dxa"/>
            </w:tcMar>
          </w:tcPr>
          <w:p w:rsidR="00236E18" w:rsidRPr="001F6DC8" w:rsidRDefault="00236E18" w:rsidP="00294272">
            <w:pPr>
              <w:jc w:val="center"/>
              <w:rPr>
                <w:sz w:val="16"/>
                <w:szCs w:val="16"/>
              </w:rPr>
            </w:pPr>
            <w:r w:rsidRPr="001F6DC8">
              <w:rPr>
                <w:sz w:val="16"/>
                <w:szCs w:val="16"/>
              </w:rPr>
              <w:t>Programa 22</w:t>
            </w:r>
          </w:p>
        </w:tc>
      </w:tr>
      <w:tr w:rsidR="00236E18" w:rsidRPr="001F6DC8" w:rsidTr="00294272">
        <w:trPr>
          <w:cantSplit/>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N</w:t>
            </w:r>
            <w:r>
              <w:rPr>
                <w:sz w:val="16"/>
                <w:szCs w:val="16"/>
              </w:rPr>
              <w:t>º</w:t>
            </w:r>
            <w:r w:rsidRPr="001F6DC8">
              <w:rPr>
                <w:sz w:val="16"/>
                <w:szCs w:val="16"/>
              </w:rPr>
              <w:t xml:space="preserve"> de documentos del PBC presentados a tiempo a los Estados miembros.</w:t>
            </w:r>
          </w:p>
        </w:tc>
        <w:tc>
          <w:tcPr>
            <w:tcW w:w="1585" w:type="pct"/>
            <w:shd w:val="clear" w:color="auto" w:fill="FFFFFF"/>
            <w:tcMar>
              <w:top w:w="85" w:type="dxa"/>
              <w:bottom w:w="85" w:type="dxa"/>
            </w:tcMar>
          </w:tcPr>
          <w:p w:rsidR="00236E18" w:rsidRPr="001F6DC8" w:rsidRDefault="00236E18" w:rsidP="00294272">
            <w:pPr>
              <w:jc w:val="center"/>
              <w:rPr>
                <w:sz w:val="16"/>
                <w:szCs w:val="16"/>
                <w:lang w:bidi="th-TH"/>
              </w:rPr>
            </w:pPr>
            <w:r w:rsidRPr="001F6DC8">
              <w:rPr>
                <w:sz w:val="16"/>
                <w:szCs w:val="16"/>
              </w:rPr>
              <w:t>Programa 22</w:t>
            </w:r>
          </w:p>
        </w:tc>
      </w:tr>
      <w:tr w:rsidR="00236E18" w:rsidRPr="001F6DC8" w:rsidTr="00294272">
        <w:trPr>
          <w:cantSplit/>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El sistema de la OMPI de PRI (AIMS) funciona eficazmente con arreglo a las necesidades operacionales y en concordancia con las mejores prácticas.</w:t>
            </w:r>
          </w:p>
        </w:tc>
        <w:tc>
          <w:tcPr>
            <w:tcW w:w="1585" w:type="pct"/>
            <w:shd w:val="clear" w:color="auto" w:fill="FFFFFF"/>
            <w:tcMar>
              <w:top w:w="85" w:type="dxa"/>
              <w:bottom w:w="85" w:type="dxa"/>
            </w:tcMar>
          </w:tcPr>
          <w:p w:rsidR="00236E18" w:rsidRPr="001F6DC8" w:rsidRDefault="00236E18" w:rsidP="00294272">
            <w:pPr>
              <w:jc w:val="center"/>
              <w:rPr>
                <w:sz w:val="16"/>
                <w:szCs w:val="16"/>
              </w:rPr>
            </w:pPr>
            <w:r w:rsidRPr="001F6DC8">
              <w:rPr>
                <w:sz w:val="16"/>
                <w:szCs w:val="16"/>
              </w:rPr>
              <w:t>Programa 22</w:t>
            </w:r>
          </w:p>
        </w:tc>
      </w:tr>
      <w:tr w:rsidR="00236E18" w:rsidRPr="001F6DC8" w:rsidTr="00294272">
        <w:trPr>
          <w:cantSplit/>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Los proyectos de PRI se ejecutan con arreglo a lo previsto en el marco del presupuesto de la cartera.</w:t>
            </w:r>
          </w:p>
        </w:tc>
        <w:tc>
          <w:tcPr>
            <w:tcW w:w="1585" w:type="pct"/>
            <w:shd w:val="clear" w:color="auto" w:fill="FFFFFF"/>
            <w:tcMar>
              <w:top w:w="85" w:type="dxa"/>
              <w:bottom w:w="85" w:type="dxa"/>
            </w:tcMar>
          </w:tcPr>
          <w:p w:rsidR="00236E18" w:rsidRPr="001F6DC8" w:rsidRDefault="00236E18" w:rsidP="00294272">
            <w:pPr>
              <w:jc w:val="center"/>
              <w:rPr>
                <w:sz w:val="16"/>
                <w:szCs w:val="16"/>
              </w:rPr>
            </w:pPr>
            <w:r w:rsidRPr="001F6DC8">
              <w:rPr>
                <w:sz w:val="16"/>
                <w:szCs w:val="16"/>
              </w:rPr>
              <w:t>Programa 22</w:t>
            </w:r>
          </w:p>
        </w:tc>
      </w:tr>
      <w:tr w:rsidR="00236E18" w:rsidRPr="001F6DC8" w:rsidTr="00294272">
        <w:trPr>
          <w:cantSplit/>
          <w:trHeight w:val="472"/>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bCs/>
                <w:sz w:val="16"/>
                <w:szCs w:val="16"/>
              </w:rPr>
            </w:pPr>
            <w:r w:rsidRPr="001F6DC8">
              <w:rPr>
                <w:sz w:val="16"/>
                <w:szCs w:val="16"/>
              </w:rPr>
              <w:t>Porcentaje de miembros del personal satisfechos con los servicios de recursos humanos</w:t>
            </w:r>
          </w:p>
        </w:tc>
        <w:tc>
          <w:tcPr>
            <w:tcW w:w="1585" w:type="pct"/>
            <w:shd w:val="clear" w:color="auto" w:fill="FFFFFF"/>
            <w:tcMar>
              <w:top w:w="85" w:type="dxa"/>
              <w:bottom w:w="85" w:type="dxa"/>
            </w:tcMar>
          </w:tcPr>
          <w:p w:rsidR="00236E18" w:rsidRPr="001F6DC8" w:rsidRDefault="00236E18" w:rsidP="00294272">
            <w:pPr>
              <w:jc w:val="center"/>
              <w:rPr>
                <w:sz w:val="16"/>
                <w:szCs w:val="16"/>
              </w:rPr>
            </w:pPr>
            <w:r w:rsidRPr="001F6DC8">
              <w:rPr>
                <w:sz w:val="16"/>
                <w:szCs w:val="16"/>
              </w:rPr>
              <w:t>Programa 23</w:t>
            </w:r>
          </w:p>
        </w:tc>
      </w:tr>
      <w:tr w:rsidR="00236E18" w:rsidRPr="001F6DC8" w:rsidTr="00294272">
        <w:trPr>
          <w:cantSplit/>
          <w:trHeight w:val="472"/>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 xml:space="preserve">Aumento de los procedimientos automatizados en lugar de los procesos que actualmente se efectúan a mano. </w:t>
            </w:r>
          </w:p>
        </w:tc>
        <w:tc>
          <w:tcPr>
            <w:tcW w:w="1585" w:type="pct"/>
            <w:shd w:val="clear" w:color="auto" w:fill="FFFFFF"/>
            <w:tcMar>
              <w:top w:w="85" w:type="dxa"/>
              <w:bottom w:w="85" w:type="dxa"/>
            </w:tcMar>
          </w:tcPr>
          <w:p w:rsidR="00236E18" w:rsidRPr="001F6DC8" w:rsidRDefault="00236E18" w:rsidP="00294272">
            <w:pPr>
              <w:jc w:val="center"/>
              <w:rPr>
                <w:sz w:val="16"/>
                <w:szCs w:val="16"/>
              </w:rPr>
            </w:pPr>
            <w:r w:rsidRPr="001F6DC8">
              <w:rPr>
                <w:sz w:val="16"/>
                <w:szCs w:val="16"/>
              </w:rPr>
              <w:t>Programa 23</w:t>
            </w:r>
          </w:p>
        </w:tc>
      </w:tr>
      <w:tr w:rsidR="00236E18" w:rsidRPr="001F6DC8" w:rsidTr="00294272">
        <w:trPr>
          <w:cantSplit/>
          <w:trHeight w:val="472"/>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Porcentaje de consultas solucionadas en 5 días hábiles.</w:t>
            </w:r>
          </w:p>
        </w:tc>
        <w:tc>
          <w:tcPr>
            <w:tcW w:w="1585" w:type="pct"/>
            <w:shd w:val="clear" w:color="auto" w:fill="FFFFFF"/>
            <w:tcMar>
              <w:top w:w="85" w:type="dxa"/>
              <w:bottom w:w="85" w:type="dxa"/>
            </w:tcMar>
          </w:tcPr>
          <w:p w:rsidR="00236E18" w:rsidRPr="001F6DC8" w:rsidRDefault="00236E18" w:rsidP="00294272">
            <w:pPr>
              <w:jc w:val="center"/>
              <w:rPr>
                <w:sz w:val="16"/>
                <w:szCs w:val="16"/>
              </w:rPr>
            </w:pPr>
            <w:r w:rsidRPr="001F6DC8">
              <w:rPr>
                <w:sz w:val="16"/>
                <w:szCs w:val="16"/>
              </w:rPr>
              <w:t>Programa 23</w:t>
            </w:r>
          </w:p>
        </w:tc>
      </w:tr>
      <w:tr w:rsidR="00236E18" w:rsidRPr="001F6DC8" w:rsidTr="00294272">
        <w:trPr>
          <w:cantSplit/>
          <w:trHeight w:val="233"/>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Cobertura de seguros optimizada.</w:t>
            </w:r>
          </w:p>
        </w:tc>
        <w:tc>
          <w:tcPr>
            <w:tcW w:w="1585" w:type="pct"/>
            <w:shd w:val="clear" w:color="auto" w:fill="FFFFFF"/>
            <w:tcMar>
              <w:top w:w="85" w:type="dxa"/>
              <w:bottom w:w="85" w:type="dxa"/>
            </w:tcMar>
          </w:tcPr>
          <w:p w:rsidR="00236E18" w:rsidRPr="001F6DC8" w:rsidRDefault="00236E18" w:rsidP="00294272">
            <w:pPr>
              <w:jc w:val="center"/>
              <w:rPr>
                <w:sz w:val="16"/>
                <w:szCs w:val="16"/>
              </w:rPr>
            </w:pPr>
            <w:r w:rsidRPr="001F6DC8">
              <w:rPr>
                <w:sz w:val="16"/>
                <w:szCs w:val="16"/>
              </w:rPr>
              <w:t>Programa 23</w:t>
            </w:r>
          </w:p>
        </w:tc>
      </w:tr>
      <w:tr w:rsidR="00236E18" w:rsidRPr="001F6DC8" w:rsidTr="00294272">
        <w:trPr>
          <w:cantSplit/>
          <w:trHeight w:val="516"/>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bCs/>
                <w:sz w:val="16"/>
                <w:szCs w:val="16"/>
              </w:rPr>
            </w:pPr>
            <w:r w:rsidRPr="001F6DC8">
              <w:rPr>
                <w:sz w:val="16"/>
                <w:szCs w:val="16"/>
              </w:rPr>
              <w:t>Disminución de los costos de adquisición de productos y servicios por la OMPI (derivada de solicitudes de ofertas o negociaciones directas).</w:t>
            </w:r>
          </w:p>
        </w:tc>
        <w:tc>
          <w:tcPr>
            <w:tcW w:w="1585" w:type="pct"/>
            <w:shd w:val="clear" w:color="auto" w:fill="FFFFFF"/>
            <w:tcMar>
              <w:top w:w="85" w:type="dxa"/>
              <w:bottom w:w="85" w:type="dxa"/>
            </w:tcMar>
          </w:tcPr>
          <w:p w:rsidR="00236E18" w:rsidRPr="001F6DC8" w:rsidRDefault="00236E18" w:rsidP="00294272">
            <w:pPr>
              <w:jc w:val="center"/>
              <w:rPr>
                <w:sz w:val="16"/>
                <w:szCs w:val="16"/>
                <w:lang w:bidi="th-TH"/>
              </w:rPr>
            </w:pPr>
            <w:r w:rsidRPr="001F6DC8">
              <w:rPr>
                <w:sz w:val="16"/>
                <w:szCs w:val="16"/>
                <w:lang w:bidi="th-TH"/>
              </w:rPr>
              <w:t>Programa 24</w:t>
            </w:r>
          </w:p>
        </w:tc>
      </w:tr>
      <w:tr w:rsidR="00236E18" w:rsidRPr="001F6DC8" w:rsidTr="00294272">
        <w:trPr>
          <w:cantSplit/>
          <w:trHeight w:val="326"/>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Tiempo de tramitación de peticiones electrónicas de actividades.</w:t>
            </w:r>
          </w:p>
        </w:tc>
        <w:tc>
          <w:tcPr>
            <w:tcW w:w="1585" w:type="pct"/>
            <w:shd w:val="clear" w:color="auto" w:fill="FFFFFF"/>
            <w:tcMar>
              <w:top w:w="85" w:type="dxa"/>
              <w:bottom w:w="85" w:type="dxa"/>
            </w:tcMar>
          </w:tcPr>
          <w:p w:rsidR="00236E18" w:rsidRPr="001F6DC8" w:rsidRDefault="00236E18" w:rsidP="00294272">
            <w:pPr>
              <w:jc w:val="center"/>
            </w:pPr>
            <w:r w:rsidRPr="001F6DC8">
              <w:rPr>
                <w:sz w:val="16"/>
                <w:szCs w:val="16"/>
                <w:lang w:bidi="th-TH"/>
              </w:rPr>
              <w:t>Programa 24</w:t>
            </w:r>
          </w:p>
        </w:tc>
      </w:tr>
      <w:tr w:rsidR="00236E18" w:rsidRPr="001F6DC8" w:rsidTr="00294272">
        <w:trPr>
          <w:cantSplit/>
          <w:trHeight w:val="376"/>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Tiempo de tramitación de autorizaciones electrónicas de viaje.</w:t>
            </w:r>
          </w:p>
        </w:tc>
        <w:tc>
          <w:tcPr>
            <w:tcW w:w="1585" w:type="pct"/>
            <w:shd w:val="clear" w:color="auto" w:fill="FFFFFF"/>
            <w:tcMar>
              <w:top w:w="85" w:type="dxa"/>
              <w:bottom w:w="85" w:type="dxa"/>
            </w:tcMar>
          </w:tcPr>
          <w:p w:rsidR="00236E18" w:rsidRPr="001F6DC8" w:rsidRDefault="00236E18" w:rsidP="00294272">
            <w:pPr>
              <w:jc w:val="center"/>
            </w:pPr>
            <w:r w:rsidRPr="001F6DC8">
              <w:rPr>
                <w:sz w:val="16"/>
                <w:szCs w:val="16"/>
                <w:lang w:bidi="th-TH"/>
              </w:rPr>
              <w:t>Programa 24</w:t>
            </w:r>
          </w:p>
        </w:tc>
      </w:tr>
      <w:tr w:rsidR="00236E18" w:rsidRPr="001F6DC8" w:rsidTr="00294272">
        <w:trPr>
          <w:cantSplit/>
          <w:trHeight w:val="214"/>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Tiempo de tramitación de visados.</w:t>
            </w:r>
          </w:p>
        </w:tc>
        <w:tc>
          <w:tcPr>
            <w:tcW w:w="1585" w:type="pct"/>
            <w:shd w:val="clear" w:color="auto" w:fill="FFFFFF"/>
            <w:tcMar>
              <w:top w:w="85" w:type="dxa"/>
              <w:bottom w:w="85" w:type="dxa"/>
            </w:tcMar>
          </w:tcPr>
          <w:p w:rsidR="00236E18" w:rsidRPr="001F6DC8" w:rsidRDefault="00236E18" w:rsidP="00294272">
            <w:pPr>
              <w:jc w:val="center"/>
            </w:pPr>
            <w:r w:rsidRPr="001F6DC8">
              <w:rPr>
                <w:sz w:val="16"/>
                <w:szCs w:val="16"/>
                <w:lang w:bidi="th-TH"/>
              </w:rPr>
              <w:t>Programa 24</w:t>
            </w:r>
          </w:p>
        </w:tc>
      </w:tr>
      <w:tr w:rsidR="00236E18" w:rsidRPr="001F6DC8" w:rsidTr="00294272">
        <w:trPr>
          <w:cantSplit/>
          <w:trHeight w:val="516"/>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Precio medio general del billete de la empresa de gestión de viajes.</w:t>
            </w:r>
          </w:p>
        </w:tc>
        <w:tc>
          <w:tcPr>
            <w:tcW w:w="1585" w:type="pct"/>
            <w:shd w:val="clear" w:color="auto" w:fill="FFFFFF"/>
            <w:tcMar>
              <w:top w:w="85" w:type="dxa"/>
              <w:bottom w:w="85" w:type="dxa"/>
            </w:tcMar>
          </w:tcPr>
          <w:p w:rsidR="00236E18" w:rsidRPr="001F6DC8" w:rsidRDefault="00236E18" w:rsidP="00294272">
            <w:pPr>
              <w:jc w:val="center"/>
            </w:pPr>
            <w:r w:rsidRPr="001F6DC8">
              <w:rPr>
                <w:sz w:val="16"/>
                <w:szCs w:val="16"/>
                <w:lang w:bidi="th-TH"/>
              </w:rPr>
              <w:t>Programa 24</w:t>
            </w:r>
          </w:p>
        </w:tc>
      </w:tr>
      <w:tr w:rsidR="00236E18" w:rsidRPr="001F6DC8" w:rsidTr="00294272">
        <w:trPr>
          <w:cantSplit/>
          <w:trHeight w:val="348"/>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Precio medio general del billete.</w:t>
            </w:r>
            <w:r w:rsidRPr="001F6DC8">
              <w:rPr>
                <w:sz w:val="16"/>
                <w:szCs w:val="16"/>
              </w:rPr>
              <w:br/>
            </w:r>
          </w:p>
        </w:tc>
        <w:tc>
          <w:tcPr>
            <w:tcW w:w="1585" w:type="pct"/>
            <w:shd w:val="clear" w:color="auto" w:fill="FFFFFF"/>
            <w:tcMar>
              <w:top w:w="85" w:type="dxa"/>
              <w:bottom w:w="85" w:type="dxa"/>
            </w:tcMar>
          </w:tcPr>
          <w:p w:rsidR="00236E18" w:rsidRPr="001F6DC8" w:rsidRDefault="00236E18" w:rsidP="00294272">
            <w:pPr>
              <w:jc w:val="center"/>
            </w:pPr>
            <w:r w:rsidRPr="001F6DC8">
              <w:rPr>
                <w:sz w:val="16"/>
                <w:szCs w:val="16"/>
                <w:lang w:bidi="th-TH"/>
              </w:rPr>
              <w:t>Programa 24</w:t>
            </w:r>
          </w:p>
        </w:tc>
      </w:tr>
      <w:tr w:rsidR="00236E18" w:rsidRPr="001F6DC8" w:rsidTr="00294272">
        <w:trPr>
          <w:cantSplit/>
          <w:trHeight w:val="206"/>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Promedio de la tasa de servicio.</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lang w:bidi="th-TH"/>
              </w:rPr>
              <w:t xml:space="preserve">  Programa 24</w:t>
            </w:r>
          </w:p>
        </w:tc>
      </w:tr>
      <w:tr w:rsidR="00236E18" w:rsidRPr="001F6DC8" w:rsidTr="00294272">
        <w:trPr>
          <w:cantSplit/>
          <w:trHeight w:val="368"/>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Los locales y las instalaciones de la OMPI siguen sirviendo a los fines establecidos.</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lang w:bidi="th-TH"/>
              </w:rPr>
              <w:t xml:space="preserve">  Programa 24</w:t>
            </w:r>
          </w:p>
        </w:tc>
      </w:tr>
      <w:tr w:rsidR="00236E18" w:rsidRPr="001F6DC8" w:rsidTr="00294272">
        <w:trPr>
          <w:cantSplit/>
          <w:trHeight w:val="516"/>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Utilización y ocupación óptimas de los locales y todos los tipos de espacios de la OMPI.</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lang w:bidi="th-TH"/>
              </w:rPr>
              <w:t xml:space="preserve">  Programa 24</w:t>
            </w:r>
          </w:p>
        </w:tc>
      </w:tr>
      <w:tr w:rsidR="00236E18" w:rsidRPr="001F6DC8" w:rsidTr="00294272">
        <w:trPr>
          <w:cantSplit/>
          <w:trHeight w:val="378"/>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rFonts w:eastAsia="Times New Roman"/>
                <w:sz w:val="16"/>
                <w:szCs w:val="16"/>
              </w:rPr>
              <w:t>Porcentaje de artículos de elevado valor (ej. &gt;5.000</w:t>
            </w:r>
            <w:r>
              <w:rPr>
                <w:rFonts w:eastAsia="Times New Roman"/>
                <w:sz w:val="16"/>
                <w:szCs w:val="16"/>
              </w:rPr>
              <w:t xml:space="preserve"> francos suizos</w:t>
            </w:r>
            <w:r w:rsidRPr="001F6DC8">
              <w:rPr>
                <w:rFonts w:eastAsia="Times New Roman"/>
                <w:sz w:val="16"/>
                <w:szCs w:val="16"/>
              </w:rPr>
              <w:t>) inventariados.</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lang w:bidi="th-TH"/>
              </w:rPr>
              <w:t xml:space="preserve">  Programa 24</w:t>
            </w:r>
          </w:p>
        </w:tc>
      </w:tr>
      <w:tr w:rsidR="00236E18" w:rsidRPr="001F6DC8" w:rsidTr="00294272">
        <w:trPr>
          <w:cantSplit/>
          <w:trHeight w:val="279"/>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rFonts w:eastAsia="Times New Roman"/>
                <w:sz w:val="16"/>
                <w:szCs w:val="16"/>
              </w:rPr>
              <w:t>Porc</w:t>
            </w:r>
            <w:r>
              <w:rPr>
                <w:rFonts w:eastAsia="Times New Roman"/>
                <w:sz w:val="16"/>
                <w:szCs w:val="16"/>
              </w:rPr>
              <w:t>entaje de artículos de valor (1.</w:t>
            </w:r>
            <w:r w:rsidRPr="001F6DC8">
              <w:rPr>
                <w:rFonts w:eastAsia="Times New Roman"/>
                <w:sz w:val="16"/>
                <w:szCs w:val="16"/>
              </w:rPr>
              <w:t>000-5</w:t>
            </w:r>
            <w:r>
              <w:rPr>
                <w:rFonts w:eastAsia="Times New Roman"/>
                <w:sz w:val="16"/>
                <w:szCs w:val="16"/>
              </w:rPr>
              <w:t>.</w:t>
            </w:r>
            <w:r w:rsidRPr="001F6DC8">
              <w:rPr>
                <w:rFonts w:eastAsia="Times New Roman"/>
                <w:sz w:val="16"/>
                <w:szCs w:val="16"/>
              </w:rPr>
              <w:t xml:space="preserve">000 </w:t>
            </w:r>
            <w:r>
              <w:rPr>
                <w:rFonts w:eastAsia="Times New Roman"/>
                <w:sz w:val="16"/>
                <w:szCs w:val="16"/>
              </w:rPr>
              <w:t>francos suizos</w:t>
            </w:r>
            <w:r w:rsidRPr="001F6DC8">
              <w:rPr>
                <w:rFonts w:eastAsia="Times New Roman"/>
                <w:sz w:val="16"/>
                <w:szCs w:val="16"/>
              </w:rPr>
              <w:t xml:space="preserve">), obras de arte y artículos atractivos. </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lang w:bidi="th-TH"/>
              </w:rPr>
              <w:t xml:space="preserve">  Programa 24</w:t>
            </w:r>
          </w:p>
        </w:tc>
      </w:tr>
      <w:tr w:rsidR="00236E18" w:rsidRPr="001F6DC8" w:rsidTr="00294272">
        <w:trPr>
          <w:cantSplit/>
          <w:trHeight w:val="516"/>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bCs/>
                <w:sz w:val="16"/>
                <w:szCs w:val="16"/>
              </w:rPr>
            </w:pPr>
            <w:r w:rsidRPr="001F6DC8">
              <w:rPr>
                <w:sz w:val="16"/>
                <w:szCs w:val="16"/>
              </w:rPr>
              <w:t>Los sistemas de TIC se alojan y se administran económicamente en concordancia con las necesidades operativas.</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lang w:bidi="th-TH"/>
              </w:rPr>
              <w:t xml:space="preserve">  Programa 25</w:t>
            </w:r>
          </w:p>
        </w:tc>
      </w:tr>
      <w:tr w:rsidR="00236E18" w:rsidRPr="001F6DC8" w:rsidTr="00294272">
        <w:trPr>
          <w:cantSplit/>
          <w:trHeight w:val="516"/>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Las actividades de desarrollo de aplicaciones se ajustan a las normas relativas a los datos maestros y de referencia de la OMPI.</w:t>
            </w:r>
          </w:p>
        </w:tc>
        <w:tc>
          <w:tcPr>
            <w:tcW w:w="1585" w:type="pct"/>
            <w:shd w:val="clear" w:color="auto" w:fill="FFFFFF"/>
            <w:tcMar>
              <w:top w:w="85" w:type="dxa"/>
              <w:bottom w:w="85" w:type="dxa"/>
            </w:tcMar>
          </w:tcPr>
          <w:p w:rsidR="00236E18" w:rsidRPr="001F6DC8" w:rsidRDefault="00236E18" w:rsidP="00294272">
            <w:pPr>
              <w:ind w:left="821"/>
            </w:pPr>
            <w:r w:rsidRPr="001F6DC8">
              <w:rPr>
                <w:sz w:val="16"/>
                <w:szCs w:val="16"/>
                <w:lang w:bidi="th-TH"/>
              </w:rPr>
              <w:t xml:space="preserve">  Programa 25</w:t>
            </w:r>
          </w:p>
        </w:tc>
      </w:tr>
      <w:tr w:rsidR="00236E18" w:rsidRPr="001F6DC8" w:rsidTr="00294272">
        <w:trPr>
          <w:cantSplit/>
          <w:trHeight w:val="516"/>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Los proyectos de TIC se administran de conformidad con las Directrices de gestión de proyectos de la OMPI.</w:t>
            </w:r>
          </w:p>
        </w:tc>
        <w:tc>
          <w:tcPr>
            <w:tcW w:w="1585" w:type="pct"/>
            <w:shd w:val="clear" w:color="auto" w:fill="FFFFFF"/>
            <w:tcMar>
              <w:top w:w="85" w:type="dxa"/>
              <w:bottom w:w="85" w:type="dxa"/>
            </w:tcMar>
          </w:tcPr>
          <w:p w:rsidR="00236E18" w:rsidRPr="001F6DC8" w:rsidRDefault="00236E18" w:rsidP="00294272">
            <w:pPr>
              <w:ind w:left="821"/>
            </w:pPr>
            <w:r w:rsidRPr="001F6DC8">
              <w:rPr>
                <w:sz w:val="16"/>
                <w:szCs w:val="16"/>
                <w:lang w:bidi="th-TH"/>
              </w:rPr>
              <w:t xml:space="preserve">  Programa 25</w:t>
            </w:r>
          </w:p>
        </w:tc>
      </w:tr>
      <w:tr w:rsidR="00236E18" w:rsidRPr="001F6DC8" w:rsidTr="00294272">
        <w:trPr>
          <w:cantSplit/>
          <w:trHeight w:val="348"/>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Porcentaje de clientes satisfechos con los servicios prestados por el servicio de asistencia.</w:t>
            </w:r>
          </w:p>
        </w:tc>
        <w:tc>
          <w:tcPr>
            <w:tcW w:w="1585" w:type="pct"/>
            <w:shd w:val="clear" w:color="auto" w:fill="FFFFFF"/>
            <w:tcMar>
              <w:top w:w="85" w:type="dxa"/>
              <w:bottom w:w="85" w:type="dxa"/>
            </w:tcMar>
          </w:tcPr>
          <w:p w:rsidR="00236E18" w:rsidRPr="001F6DC8" w:rsidRDefault="00236E18" w:rsidP="00294272">
            <w:pPr>
              <w:ind w:left="821"/>
            </w:pPr>
            <w:r w:rsidRPr="001F6DC8">
              <w:rPr>
                <w:sz w:val="16"/>
                <w:szCs w:val="16"/>
                <w:lang w:bidi="th-TH"/>
              </w:rPr>
              <w:t xml:space="preserve">  Programa 25</w:t>
            </w:r>
          </w:p>
        </w:tc>
      </w:tr>
      <w:tr w:rsidR="00236E18" w:rsidRPr="001F6DC8" w:rsidTr="00294272">
        <w:trPr>
          <w:cantSplit/>
          <w:trHeight w:val="516"/>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Los proyectos de TIC de la OMPI se administran de conformidad con las Directrices para la gestión de proyectos y transición del servicio de la OMPI.</w:t>
            </w:r>
          </w:p>
        </w:tc>
        <w:tc>
          <w:tcPr>
            <w:tcW w:w="1585" w:type="pct"/>
            <w:shd w:val="clear" w:color="auto" w:fill="FFFFFF"/>
            <w:tcMar>
              <w:top w:w="85" w:type="dxa"/>
              <w:bottom w:w="85" w:type="dxa"/>
            </w:tcMar>
          </w:tcPr>
          <w:p w:rsidR="00236E18" w:rsidRPr="001F6DC8" w:rsidRDefault="00236E18" w:rsidP="00294272">
            <w:pPr>
              <w:ind w:left="821"/>
            </w:pPr>
            <w:r w:rsidRPr="001F6DC8">
              <w:rPr>
                <w:sz w:val="16"/>
                <w:szCs w:val="16"/>
                <w:lang w:bidi="th-TH"/>
              </w:rPr>
              <w:t xml:space="preserve">  Programa 25</w:t>
            </w:r>
          </w:p>
        </w:tc>
      </w:tr>
      <w:tr w:rsidR="00236E18" w:rsidRPr="001F6DC8" w:rsidTr="00294272">
        <w:trPr>
          <w:cantSplit/>
          <w:trHeight w:val="516"/>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bCs/>
                <w:sz w:val="16"/>
                <w:szCs w:val="16"/>
              </w:rPr>
            </w:pPr>
            <w:r w:rsidRPr="001F6DC8">
              <w:rPr>
                <w:bCs/>
                <w:sz w:val="16"/>
                <w:szCs w:val="16"/>
              </w:rPr>
              <w:t>Porcentaje de usuarios internos y externos satisfechos de los Servicios de Conferencias de la OMPI</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lang w:bidi="th-TH"/>
              </w:rPr>
              <w:t xml:space="preserve">  Programa 27</w:t>
            </w:r>
          </w:p>
        </w:tc>
      </w:tr>
      <w:tr w:rsidR="00236E18" w:rsidRPr="001F6DC8" w:rsidTr="00294272">
        <w:trPr>
          <w:cantSplit/>
          <w:trHeight w:val="508"/>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Aplicación eficaz de la Política Lingüística de la OMPI</w:t>
            </w:r>
          </w:p>
        </w:tc>
        <w:tc>
          <w:tcPr>
            <w:tcW w:w="1585" w:type="pct"/>
            <w:shd w:val="clear" w:color="auto" w:fill="FFFFFF"/>
            <w:tcMar>
              <w:top w:w="85" w:type="dxa"/>
              <w:bottom w:w="85" w:type="dxa"/>
            </w:tcMar>
          </w:tcPr>
          <w:p w:rsidR="00236E18" w:rsidRPr="001F6DC8" w:rsidRDefault="00236E18" w:rsidP="00294272">
            <w:pPr>
              <w:ind w:left="821"/>
            </w:pPr>
            <w:r w:rsidRPr="001F6DC8">
              <w:rPr>
                <w:sz w:val="16"/>
                <w:szCs w:val="16"/>
                <w:lang w:bidi="th-TH"/>
              </w:rPr>
              <w:t xml:space="preserve">  Programa 27</w:t>
            </w:r>
          </w:p>
        </w:tc>
      </w:tr>
      <w:tr w:rsidR="00236E18" w:rsidRPr="001F6DC8" w:rsidTr="00294272">
        <w:trPr>
          <w:cantSplit/>
          <w:trHeight w:val="362"/>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Disminución de los costos de impresión (por página)</w:t>
            </w:r>
          </w:p>
        </w:tc>
        <w:tc>
          <w:tcPr>
            <w:tcW w:w="1585" w:type="pct"/>
            <w:shd w:val="clear" w:color="auto" w:fill="FFFFFF"/>
            <w:tcMar>
              <w:top w:w="85" w:type="dxa"/>
              <w:bottom w:w="85" w:type="dxa"/>
            </w:tcMar>
          </w:tcPr>
          <w:p w:rsidR="00236E18" w:rsidRPr="001F6DC8" w:rsidRDefault="00236E18" w:rsidP="00294272">
            <w:pPr>
              <w:ind w:left="821"/>
            </w:pPr>
            <w:r w:rsidRPr="001F6DC8">
              <w:rPr>
                <w:sz w:val="16"/>
                <w:szCs w:val="16"/>
                <w:lang w:bidi="th-TH"/>
              </w:rPr>
              <w:t xml:space="preserve">  Programa 27</w:t>
            </w:r>
          </w:p>
        </w:tc>
      </w:tr>
      <w:tr w:rsidR="00236E18" w:rsidRPr="001F6DC8" w:rsidTr="00294272">
        <w:trPr>
          <w:cantSplit/>
          <w:trHeight w:val="516"/>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Publicación a tiempo de los documentos para los comités y grupos de trabajo</w:t>
            </w:r>
          </w:p>
        </w:tc>
        <w:tc>
          <w:tcPr>
            <w:tcW w:w="1585" w:type="pct"/>
            <w:shd w:val="clear" w:color="auto" w:fill="FFFFFF"/>
            <w:tcMar>
              <w:top w:w="85" w:type="dxa"/>
              <w:bottom w:w="85" w:type="dxa"/>
            </w:tcMar>
          </w:tcPr>
          <w:p w:rsidR="00236E18" w:rsidRPr="001F6DC8" w:rsidRDefault="00236E18" w:rsidP="00294272">
            <w:pPr>
              <w:ind w:left="821"/>
            </w:pPr>
            <w:r w:rsidRPr="001F6DC8">
              <w:rPr>
                <w:sz w:val="16"/>
                <w:szCs w:val="16"/>
                <w:lang w:bidi="th-TH"/>
              </w:rPr>
              <w:t xml:space="preserve">  Programa 27</w:t>
            </w:r>
          </w:p>
        </w:tc>
      </w:tr>
      <w:tr w:rsidR="00236E18" w:rsidRPr="001F6DC8" w:rsidTr="00294272">
        <w:trPr>
          <w:cantSplit/>
          <w:trHeight w:val="366"/>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Costo por palabra traducida</w:t>
            </w:r>
          </w:p>
        </w:tc>
        <w:tc>
          <w:tcPr>
            <w:tcW w:w="1585" w:type="pct"/>
            <w:shd w:val="clear" w:color="auto" w:fill="FFFFFF"/>
            <w:tcMar>
              <w:top w:w="85" w:type="dxa"/>
              <w:bottom w:w="85" w:type="dxa"/>
            </w:tcMar>
          </w:tcPr>
          <w:p w:rsidR="00236E18" w:rsidRPr="001F6DC8" w:rsidRDefault="00236E18" w:rsidP="00294272">
            <w:pPr>
              <w:ind w:left="821"/>
            </w:pPr>
            <w:r w:rsidRPr="001F6DC8">
              <w:rPr>
                <w:sz w:val="16"/>
                <w:szCs w:val="16"/>
                <w:lang w:bidi="th-TH"/>
              </w:rPr>
              <w:t xml:space="preserve">  Programa 27</w:t>
            </w:r>
          </w:p>
        </w:tc>
      </w:tr>
      <w:tr w:rsidR="00236E18" w:rsidRPr="001F6DC8" w:rsidTr="00294272">
        <w:trPr>
          <w:cantSplit/>
          <w:trHeight w:val="504"/>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Definición y fortalecimiento de la gobernanza en materia de aseguramiento de la información.</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lang w:bidi="th-TH"/>
              </w:rPr>
              <w:t xml:space="preserve">  Programa 28 </w:t>
            </w:r>
          </w:p>
        </w:tc>
      </w:tr>
      <w:tr w:rsidR="00236E18" w:rsidRPr="001F6DC8" w:rsidTr="00294272">
        <w:trPr>
          <w:cantSplit/>
          <w:trHeight w:val="516"/>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N</w:t>
            </w:r>
            <w:r>
              <w:rPr>
                <w:sz w:val="16"/>
                <w:szCs w:val="16"/>
              </w:rPr>
              <w:t>º</w:t>
            </w:r>
            <w:r w:rsidRPr="001F6DC8">
              <w:rPr>
                <w:sz w:val="16"/>
                <w:szCs w:val="16"/>
              </w:rPr>
              <w:t xml:space="preserve"> de miembros del personal consciente de sus responsabilidades con respecto a la seguridad de la información, las políticas de seguridad y las prácticas más extendidas.</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lang w:bidi="th-TH"/>
              </w:rPr>
              <w:t xml:space="preserve">  Programa 28</w:t>
            </w:r>
          </w:p>
        </w:tc>
      </w:tr>
      <w:tr w:rsidR="00236E18" w:rsidRPr="001F6DC8" w:rsidTr="00294272">
        <w:trPr>
          <w:cantSplit/>
          <w:trHeight w:val="516"/>
        </w:trPr>
        <w:tc>
          <w:tcPr>
            <w:tcW w:w="1891" w:type="pct"/>
            <w:shd w:val="clear" w:color="auto" w:fill="auto"/>
            <w:tcMar>
              <w:top w:w="85" w:type="dxa"/>
              <w:bottom w:w="85" w:type="dxa"/>
            </w:tcMar>
          </w:tcPr>
          <w:p w:rsidR="00236E18" w:rsidRPr="008C5F94" w:rsidRDefault="00236E18" w:rsidP="00294272">
            <w:pPr>
              <w:rPr>
                <w:sz w:val="16"/>
                <w:szCs w:val="16"/>
              </w:rPr>
            </w:pPr>
            <w:r w:rsidRPr="008C5F94">
              <w:rPr>
                <w:sz w:val="16"/>
                <w:szCs w:val="16"/>
              </w:rPr>
              <w:lastRenderedPageBreak/>
              <w:t xml:space="preserve">IX.2  </w:t>
            </w:r>
            <w:r w:rsidRPr="008C5F94">
              <w:rPr>
                <w:sz w:val="16"/>
                <w:szCs w:val="16"/>
                <w:lang w:val="es-ES_tradnl"/>
              </w:rPr>
              <w:t>Funcionamiento sin contratiempos de la Secretaría, provista de un personal bien dirigido, dotado de las competencias adecuadas, y capaz de conseguir resultados</w:t>
            </w: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Establecimiento de un nuevo marco institucional de reacción</w:t>
            </w:r>
            <w:r>
              <w:rPr>
                <w:sz w:val="16"/>
                <w:szCs w:val="16"/>
              </w:rPr>
              <w:t xml:space="preserve"> y recuperación</w:t>
            </w:r>
            <w:r w:rsidRPr="001F6DC8">
              <w:rPr>
                <w:sz w:val="16"/>
                <w:szCs w:val="16"/>
              </w:rPr>
              <w:t xml:space="preserve"> </w:t>
            </w:r>
            <w:r>
              <w:rPr>
                <w:sz w:val="16"/>
                <w:szCs w:val="16"/>
              </w:rPr>
              <w:t xml:space="preserve">y </w:t>
            </w:r>
            <w:r w:rsidRPr="001F6DC8">
              <w:rPr>
                <w:sz w:val="16"/>
                <w:szCs w:val="16"/>
              </w:rPr>
              <w:t>continuidad de las actividades y documentación conexa.</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lang w:bidi="th-TH"/>
              </w:rPr>
              <w:t>Programa 21</w:t>
            </w:r>
          </w:p>
        </w:tc>
      </w:tr>
      <w:tr w:rsidR="00236E18" w:rsidRPr="001F6DC8" w:rsidTr="00294272">
        <w:trPr>
          <w:cantSplit/>
          <w:trHeight w:val="335"/>
        </w:trPr>
        <w:tc>
          <w:tcPr>
            <w:tcW w:w="1891" w:type="pct"/>
            <w:shd w:val="clear" w:color="auto" w:fill="auto"/>
            <w:tcMar>
              <w:top w:w="85" w:type="dxa"/>
              <w:bottom w:w="85" w:type="dxa"/>
            </w:tcMar>
          </w:tcPr>
          <w:p w:rsidR="00236E18" w:rsidRPr="008C5F94"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Informe financiero satisfactorio de los auditores externos que confirma la conformidad de las operaciones contables con los convenios y tratados aplicables de la OMPI, el Reglamento</w:t>
            </w:r>
            <w:r>
              <w:rPr>
                <w:sz w:val="16"/>
                <w:szCs w:val="16"/>
              </w:rPr>
              <w:t xml:space="preserve"> </w:t>
            </w:r>
            <w:r w:rsidRPr="001F6DC8">
              <w:rPr>
                <w:sz w:val="16"/>
                <w:szCs w:val="16"/>
              </w:rPr>
              <w:t>y la Reglamentación Financier</w:t>
            </w:r>
            <w:r>
              <w:rPr>
                <w:sz w:val="16"/>
                <w:szCs w:val="16"/>
              </w:rPr>
              <w:t>os</w:t>
            </w:r>
            <w:r w:rsidRPr="001F6DC8">
              <w:rPr>
                <w:sz w:val="16"/>
                <w:szCs w:val="16"/>
              </w:rPr>
              <w:t xml:space="preserve"> de la OMPI y las IPSAS</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rPr>
              <w:t>Programa 22</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Fomento del desarrollo de la gestión por resultados.</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rPr>
              <w:t>Programa 22</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Rendimiento del capital invertido en concordancia con los parámetros establecidos por el Comité Asesor en materia de Inversiones</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rPr>
              <w:t>Programa 22</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Gestión eficaz de los gastos y las reservas.</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rPr>
              <w:t>Programa 22</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Los pagos (incluidas las tasas correspondientes a los Sistemas de Madrid y de La Haya) se efectúan en el plazo estipulado</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rPr>
              <w:t>Programa 22</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Porcentaje de mujeres en cargos de la categoría profesional y superior</w:t>
            </w:r>
          </w:p>
          <w:p w:rsidR="00236E18" w:rsidRPr="001F6DC8" w:rsidRDefault="00236E18" w:rsidP="00294272">
            <w:pPr>
              <w:rPr>
                <w:sz w:val="16"/>
                <w:szCs w:val="16"/>
              </w:rPr>
            </w:pP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rPr>
              <w:t>Programa 23</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Duración del proceso de contratación</w:t>
            </w:r>
          </w:p>
        </w:tc>
        <w:tc>
          <w:tcPr>
            <w:tcW w:w="1585" w:type="pct"/>
            <w:shd w:val="clear" w:color="auto" w:fill="FFFFFF"/>
            <w:tcMar>
              <w:top w:w="85" w:type="dxa"/>
              <w:bottom w:w="85" w:type="dxa"/>
            </w:tcMar>
          </w:tcPr>
          <w:p w:rsidR="00236E18" w:rsidRPr="001F6DC8" w:rsidRDefault="00236E18" w:rsidP="00294272">
            <w:pPr>
              <w:ind w:left="821"/>
            </w:pPr>
            <w:r w:rsidRPr="001F6DC8">
              <w:rPr>
                <w:sz w:val="16"/>
                <w:szCs w:val="16"/>
              </w:rPr>
              <w:t>Programa 23</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Porcentaje de miembros del personal cuyo desempeño se evalúa en función de objetivos y competencias específicos</w:t>
            </w:r>
          </w:p>
        </w:tc>
        <w:tc>
          <w:tcPr>
            <w:tcW w:w="1585" w:type="pct"/>
            <w:shd w:val="clear" w:color="auto" w:fill="FFFFFF"/>
            <w:tcMar>
              <w:top w:w="85" w:type="dxa"/>
              <w:bottom w:w="85" w:type="dxa"/>
            </w:tcMar>
          </w:tcPr>
          <w:p w:rsidR="00236E18" w:rsidRPr="001F6DC8" w:rsidRDefault="00236E18" w:rsidP="00294272">
            <w:pPr>
              <w:ind w:left="821"/>
            </w:pPr>
            <w:r w:rsidRPr="001F6DC8">
              <w:rPr>
                <w:sz w:val="16"/>
                <w:szCs w:val="16"/>
              </w:rPr>
              <w:t>Programa 23</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N</w:t>
            </w:r>
            <w:r>
              <w:rPr>
                <w:sz w:val="16"/>
                <w:szCs w:val="16"/>
              </w:rPr>
              <w:t>º</w:t>
            </w:r>
            <w:r w:rsidRPr="001F6DC8">
              <w:rPr>
                <w:sz w:val="16"/>
                <w:szCs w:val="16"/>
              </w:rPr>
              <w:t xml:space="preserve"> de días para:  i) notificar al funcionario decisiones relativas a peticiones de revisión o reclamaciones,  ii) notificar al funcionario decisiones relativas a casos de refutación o faltas disciplinarias, iii) ofrecer respuestas a consultas de asesoramiento.</w:t>
            </w:r>
          </w:p>
        </w:tc>
        <w:tc>
          <w:tcPr>
            <w:tcW w:w="1585" w:type="pct"/>
            <w:shd w:val="clear" w:color="auto" w:fill="FFFFFF"/>
            <w:tcMar>
              <w:top w:w="85" w:type="dxa"/>
              <w:bottom w:w="85" w:type="dxa"/>
            </w:tcMar>
          </w:tcPr>
          <w:p w:rsidR="00236E18" w:rsidRPr="001F6DC8" w:rsidRDefault="00236E18" w:rsidP="00294272">
            <w:pPr>
              <w:ind w:left="821"/>
            </w:pPr>
            <w:r w:rsidRPr="001F6DC8">
              <w:rPr>
                <w:sz w:val="16"/>
                <w:szCs w:val="16"/>
              </w:rPr>
              <w:t>Programa 23</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Diversidad geográfica – porcentaje de funcionarios por región</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rPr>
              <w:t>Programa 23</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N</w:t>
            </w:r>
            <w:r>
              <w:rPr>
                <w:sz w:val="16"/>
                <w:szCs w:val="16"/>
              </w:rPr>
              <w:t>º</w:t>
            </w:r>
            <w:r w:rsidRPr="001F6DC8">
              <w:rPr>
                <w:sz w:val="16"/>
                <w:szCs w:val="16"/>
              </w:rPr>
              <w:t xml:space="preserve"> de solicitudes recibidas por parte de Estados miembros no representados, como porcentaje del total.</w:t>
            </w:r>
          </w:p>
        </w:tc>
        <w:tc>
          <w:tcPr>
            <w:tcW w:w="1585" w:type="pct"/>
            <w:shd w:val="clear" w:color="auto" w:fill="FFFFFF"/>
            <w:tcMar>
              <w:top w:w="85" w:type="dxa"/>
              <w:bottom w:w="85" w:type="dxa"/>
            </w:tcMar>
          </w:tcPr>
          <w:p w:rsidR="00236E18" w:rsidRPr="001F6DC8" w:rsidRDefault="00236E18" w:rsidP="00294272">
            <w:pPr>
              <w:ind w:left="821"/>
              <w:rPr>
                <w:sz w:val="16"/>
                <w:szCs w:val="16"/>
              </w:rPr>
            </w:pPr>
            <w:r w:rsidRPr="001F6DC8">
              <w:rPr>
                <w:sz w:val="16"/>
                <w:szCs w:val="16"/>
              </w:rPr>
              <w:t>Programa 23</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Mayor consolidación de la planificación de los recursos humanos.</w:t>
            </w:r>
          </w:p>
        </w:tc>
        <w:tc>
          <w:tcPr>
            <w:tcW w:w="1585" w:type="pct"/>
            <w:shd w:val="clear" w:color="auto" w:fill="FFFFFF"/>
            <w:tcMar>
              <w:top w:w="85" w:type="dxa"/>
              <w:bottom w:w="85" w:type="dxa"/>
            </w:tcMar>
          </w:tcPr>
          <w:p w:rsidR="00236E18" w:rsidRPr="001F6DC8" w:rsidRDefault="00236E18" w:rsidP="00294272">
            <w:pPr>
              <w:ind w:left="963" w:hanging="142"/>
              <w:rPr>
                <w:sz w:val="16"/>
                <w:szCs w:val="16"/>
              </w:rPr>
            </w:pPr>
            <w:r w:rsidRPr="001F6DC8">
              <w:rPr>
                <w:sz w:val="16"/>
                <w:szCs w:val="16"/>
              </w:rPr>
              <w:t>Programa 23</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Porcentaje de necesidades de formación satisfechas, de las cuales: i) necesidades esenciales de formación colectiva y ii) necesidades de formación individuales.</w:t>
            </w:r>
          </w:p>
        </w:tc>
        <w:tc>
          <w:tcPr>
            <w:tcW w:w="1585" w:type="pct"/>
            <w:shd w:val="clear" w:color="auto" w:fill="FFFFFF"/>
            <w:tcMar>
              <w:top w:w="85" w:type="dxa"/>
              <w:bottom w:w="85" w:type="dxa"/>
            </w:tcMar>
          </w:tcPr>
          <w:p w:rsidR="00236E18" w:rsidRPr="001F6DC8" w:rsidRDefault="00236E18" w:rsidP="00294272">
            <w:pPr>
              <w:ind w:left="821"/>
              <w:rPr>
                <w:sz w:val="16"/>
                <w:szCs w:val="16"/>
              </w:rPr>
            </w:pPr>
            <w:r w:rsidRPr="001F6DC8">
              <w:rPr>
                <w:sz w:val="16"/>
                <w:szCs w:val="16"/>
              </w:rPr>
              <w:t>Programa 23</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r w:rsidRPr="001F6DC8">
              <w:rPr>
                <w:sz w:val="16"/>
                <w:szCs w:val="16"/>
              </w:rPr>
              <w:t xml:space="preserve">IX.3  </w:t>
            </w:r>
            <w:r w:rsidRPr="008C5F94">
              <w:rPr>
                <w:sz w:val="16"/>
                <w:szCs w:val="16"/>
                <w:lang w:val="es-ES_tradnl"/>
              </w:rPr>
              <w:t>Entorno de trabajo propicio basado en un marco reg</w:t>
            </w:r>
            <w:r>
              <w:rPr>
                <w:sz w:val="16"/>
                <w:szCs w:val="16"/>
                <w:lang w:val="es-ES_tradnl"/>
              </w:rPr>
              <w:t>ulador</w:t>
            </w:r>
            <w:r w:rsidRPr="008C5F94">
              <w:rPr>
                <w:sz w:val="16"/>
                <w:szCs w:val="16"/>
                <w:lang w:val="es-ES_tradnl"/>
              </w:rPr>
              <w:t xml:space="preserve"> eficaz y medios adecuados para atender los temas de interés del personal</w:t>
            </w: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Porcentaje de miembros del personal de la OMPI conscientes de los servicios disponibles en la Oficina del Mediador y del mecanismo informal de solución de conflictos</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lang w:bidi="th-TH"/>
              </w:rPr>
              <w:t>Programa 21</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Porcentaje de miembros del personal de la OMPI que tienen conocimiento de los principios y políticas de la OMPI en materia de ética.</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lang w:bidi="th-TH"/>
              </w:rPr>
              <w:t>Programa 21</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El Reglamento Financiero y la Reglamentación Financiera y las órdenes de servicio pertinentes están actualizados</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rPr>
              <w:t>Programa 22</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Fomento del desarrollo de la gestión de riesgos y controles internos, de conformidad con la Hoja de ruta de control interno.</w:t>
            </w:r>
          </w:p>
        </w:tc>
        <w:tc>
          <w:tcPr>
            <w:tcW w:w="1585" w:type="pct"/>
            <w:shd w:val="clear" w:color="auto" w:fill="FFFFFF"/>
            <w:tcMar>
              <w:top w:w="85" w:type="dxa"/>
              <w:bottom w:w="85" w:type="dxa"/>
            </w:tcMar>
          </w:tcPr>
          <w:p w:rsidR="00236E18" w:rsidRPr="001F6DC8" w:rsidRDefault="00236E18" w:rsidP="00294272">
            <w:pPr>
              <w:ind w:left="821"/>
              <w:rPr>
                <w:sz w:val="16"/>
                <w:szCs w:val="16"/>
              </w:rPr>
            </w:pPr>
            <w:r w:rsidRPr="001F6DC8">
              <w:rPr>
                <w:sz w:val="16"/>
                <w:szCs w:val="16"/>
              </w:rPr>
              <w:t>Programa 22</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Seguimiento eficaz de las recomendaciones en materia de supervisión.</w:t>
            </w:r>
          </w:p>
        </w:tc>
        <w:tc>
          <w:tcPr>
            <w:tcW w:w="1585" w:type="pct"/>
            <w:shd w:val="clear" w:color="auto" w:fill="FFFFFF"/>
            <w:tcMar>
              <w:top w:w="85" w:type="dxa"/>
              <w:bottom w:w="85" w:type="dxa"/>
            </w:tcMar>
          </w:tcPr>
          <w:p w:rsidR="00236E18" w:rsidRPr="001F6DC8" w:rsidRDefault="00236E18" w:rsidP="00294272">
            <w:pPr>
              <w:ind w:left="821"/>
              <w:rPr>
                <w:sz w:val="16"/>
                <w:szCs w:val="16"/>
              </w:rPr>
            </w:pPr>
            <w:r w:rsidRPr="001F6DC8">
              <w:rPr>
                <w:sz w:val="16"/>
                <w:szCs w:val="16"/>
              </w:rPr>
              <w:t>Programa 22</w:t>
            </w:r>
          </w:p>
        </w:tc>
      </w:tr>
      <w:tr w:rsidR="00236E18" w:rsidRPr="001F6DC8" w:rsidTr="00294272">
        <w:trPr>
          <w:cantSplit/>
          <w:trHeight w:val="692"/>
        </w:trPr>
        <w:tc>
          <w:tcPr>
            <w:tcW w:w="1891" w:type="pct"/>
            <w:shd w:val="clear" w:color="auto" w:fill="auto"/>
            <w:tcMar>
              <w:top w:w="85" w:type="dxa"/>
              <w:bottom w:w="85" w:type="dxa"/>
            </w:tcMar>
          </w:tcPr>
          <w:p w:rsidR="00236E18" w:rsidRPr="008C5F94" w:rsidRDefault="00236E18" w:rsidP="00294272">
            <w:pPr>
              <w:rPr>
                <w:sz w:val="16"/>
                <w:szCs w:val="16"/>
              </w:rPr>
            </w:pPr>
            <w:r w:rsidRPr="008C5F94">
              <w:rPr>
                <w:sz w:val="16"/>
                <w:szCs w:val="16"/>
              </w:rPr>
              <w:t xml:space="preserve">IX.4  </w:t>
            </w:r>
            <w:r w:rsidRPr="008C5F94">
              <w:rPr>
                <w:sz w:val="16"/>
                <w:szCs w:val="16"/>
                <w:lang w:val="es-ES_tradnl"/>
              </w:rPr>
              <w:t>Una Organización responsable con el medio ambiente y la sociedad en la que se garantiza la seguridad del personal de la OMPI, los delegados, los visitantes, la información y los activos físicos</w:t>
            </w: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Reducción de las repercusiones de las actividades de la OMPI sobre el medio ambiente</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lang w:bidi="th-TH"/>
              </w:rPr>
              <w:t>Programa 24</w:t>
            </w:r>
          </w:p>
        </w:tc>
      </w:tr>
      <w:tr w:rsidR="00236E18" w:rsidRPr="001F6DC8" w:rsidTr="00294272">
        <w:trPr>
          <w:cantSplit/>
          <w:trHeight w:val="335"/>
        </w:trPr>
        <w:tc>
          <w:tcPr>
            <w:tcW w:w="1891" w:type="pct"/>
            <w:shd w:val="clear" w:color="auto" w:fill="auto"/>
            <w:tcMar>
              <w:top w:w="85" w:type="dxa"/>
              <w:bottom w:w="85" w:type="dxa"/>
            </w:tcMar>
          </w:tcPr>
          <w:p w:rsidR="00236E18" w:rsidRPr="008C5F94"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Mejora de la accesibilidad al recinto de la OMPI</w:t>
            </w:r>
          </w:p>
        </w:tc>
        <w:tc>
          <w:tcPr>
            <w:tcW w:w="1585" w:type="pct"/>
            <w:shd w:val="clear" w:color="auto" w:fill="FFFFFF"/>
            <w:tcMar>
              <w:top w:w="85" w:type="dxa"/>
              <w:bottom w:w="85" w:type="dxa"/>
            </w:tcMar>
          </w:tcPr>
          <w:p w:rsidR="00236E18" w:rsidRPr="001F6DC8" w:rsidRDefault="00236E18" w:rsidP="00294272">
            <w:pPr>
              <w:ind w:left="821"/>
              <w:rPr>
                <w:sz w:val="16"/>
                <w:szCs w:val="16"/>
              </w:rPr>
            </w:pPr>
            <w:r w:rsidRPr="001F6DC8">
              <w:rPr>
                <w:sz w:val="16"/>
                <w:szCs w:val="16"/>
              </w:rPr>
              <w:t>Programa 24</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Continuidad de los servicios de TIC de los sistemas esenciales</w:t>
            </w:r>
          </w:p>
        </w:tc>
        <w:tc>
          <w:tcPr>
            <w:tcW w:w="1585" w:type="pct"/>
            <w:shd w:val="clear" w:color="auto" w:fill="FFFFFF"/>
            <w:tcMar>
              <w:top w:w="85" w:type="dxa"/>
              <w:bottom w:w="85" w:type="dxa"/>
            </w:tcMar>
          </w:tcPr>
          <w:p w:rsidR="00236E18" w:rsidRPr="001F6DC8" w:rsidRDefault="00236E18" w:rsidP="00294272">
            <w:pPr>
              <w:ind w:left="821"/>
            </w:pPr>
            <w:r w:rsidRPr="001F6DC8">
              <w:rPr>
                <w:sz w:val="16"/>
                <w:szCs w:val="16"/>
              </w:rPr>
              <w:t>Programa 25</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Porcentaje de riesgos de la información, incluidos los riesgos con respecto a terceros, presentado y gestionado de manera coherente en el marco de la tolerancia de la OMPI a los riesgos.</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rPr>
              <w:t>Programa 28</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Identificación dinámica y subsanación puntual de las vulnerabilidades en el marco de los niveles de servicio acordados.</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rPr>
              <w:t>Programa 28</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Incremento de la observancia de las políticas y las normas de aseguramiento de la información.</w:t>
            </w:r>
          </w:p>
        </w:tc>
        <w:tc>
          <w:tcPr>
            <w:tcW w:w="1585" w:type="pct"/>
            <w:shd w:val="clear" w:color="auto" w:fill="FFFFFF"/>
            <w:tcMar>
              <w:top w:w="85" w:type="dxa"/>
              <w:bottom w:w="85" w:type="dxa"/>
            </w:tcMar>
          </w:tcPr>
          <w:p w:rsidR="00236E18" w:rsidRPr="001F6DC8" w:rsidRDefault="00236E18" w:rsidP="00294272">
            <w:pPr>
              <w:ind w:left="821"/>
              <w:rPr>
                <w:sz w:val="16"/>
                <w:szCs w:val="16"/>
              </w:rPr>
            </w:pPr>
            <w:r w:rsidRPr="001F6DC8">
              <w:rPr>
                <w:sz w:val="16"/>
                <w:szCs w:val="16"/>
              </w:rPr>
              <w:t>Programa 28</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Amplia adopción de la política de clasificación y gestión de la información para asegurar la confidencialidad de la información.</w:t>
            </w:r>
          </w:p>
        </w:tc>
        <w:tc>
          <w:tcPr>
            <w:tcW w:w="1585" w:type="pct"/>
            <w:shd w:val="clear" w:color="auto" w:fill="FFFFFF"/>
            <w:tcMar>
              <w:top w:w="85" w:type="dxa"/>
              <w:bottom w:w="85" w:type="dxa"/>
            </w:tcMar>
          </w:tcPr>
          <w:p w:rsidR="00236E18" w:rsidRPr="001F6DC8" w:rsidRDefault="00236E18" w:rsidP="00294272">
            <w:pPr>
              <w:ind w:left="821"/>
              <w:rPr>
                <w:sz w:val="16"/>
                <w:szCs w:val="16"/>
              </w:rPr>
            </w:pPr>
            <w:r w:rsidRPr="001F6DC8">
              <w:rPr>
                <w:sz w:val="16"/>
                <w:szCs w:val="16"/>
              </w:rPr>
              <w:t>Programa 28</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Se reduce la necesidad de duplicación de las capacidades técnicas de seguridad de la información mediante la aplicación de modelos reutilizables de arquitectura de la seguridad.</w:t>
            </w:r>
          </w:p>
        </w:tc>
        <w:tc>
          <w:tcPr>
            <w:tcW w:w="1585" w:type="pct"/>
            <w:shd w:val="clear" w:color="auto" w:fill="FFFFFF"/>
            <w:tcMar>
              <w:top w:w="85" w:type="dxa"/>
              <w:bottom w:w="85" w:type="dxa"/>
            </w:tcMar>
          </w:tcPr>
          <w:p w:rsidR="00236E18" w:rsidRPr="001F6DC8" w:rsidRDefault="00236E18" w:rsidP="00294272">
            <w:pPr>
              <w:ind w:left="821"/>
              <w:rPr>
                <w:sz w:val="16"/>
                <w:szCs w:val="16"/>
              </w:rPr>
            </w:pPr>
            <w:r w:rsidRPr="001F6DC8">
              <w:rPr>
                <w:sz w:val="16"/>
                <w:szCs w:val="16"/>
              </w:rPr>
              <w:t>Programa 28</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Mayor capacidad para detectar amenazas contra la seguridad de la información y dar respuesta a las mismas con mucha mayor rapidez, garantizando la mínima perturbación de las operaciones.</w:t>
            </w:r>
          </w:p>
        </w:tc>
        <w:tc>
          <w:tcPr>
            <w:tcW w:w="1585" w:type="pct"/>
            <w:shd w:val="clear" w:color="auto" w:fill="FFFFFF"/>
            <w:tcMar>
              <w:top w:w="85" w:type="dxa"/>
              <w:bottom w:w="85" w:type="dxa"/>
            </w:tcMar>
          </w:tcPr>
          <w:p w:rsidR="00236E18" w:rsidRPr="001F6DC8" w:rsidRDefault="00236E18" w:rsidP="00294272">
            <w:pPr>
              <w:ind w:left="821"/>
              <w:rPr>
                <w:sz w:val="16"/>
                <w:szCs w:val="16"/>
              </w:rPr>
            </w:pPr>
            <w:r w:rsidRPr="001F6DC8">
              <w:rPr>
                <w:sz w:val="16"/>
                <w:szCs w:val="16"/>
              </w:rPr>
              <w:t>Programa 28</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Porcentaje de miembros del personal de la OMPI, delegados y visitantes que comunican lesiones o incidentes relacionados con el trabajo</w:t>
            </w:r>
          </w:p>
        </w:tc>
        <w:tc>
          <w:tcPr>
            <w:tcW w:w="1585" w:type="pct"/>
            <w:shd w:val="clear" w:color="auto" w:fill="FFFFFF"/>
            <w:tcMar>
              <w:top w:w="85" w:type="dxa"/>
              <w:bottom w:w="85" w:type="dxa"/>
            </w:tcMar>
          </w:tcPr>
          <w:p w:rsidR="00236E18" w:rsidRPr="001F6DC8" w:rsidRDefault="00236E18" w:rsidP="00294272">
            <w:pPr>
              <w:ind w:left="821"/>
              <w:rPr>
                <w:sz w:val="16"/>
                <w:szCs w:val="16"/>
              </w:rPr>
            </w:pPr>
            <w:r w:rsidRPr="001F6DC8">
              <w:rPr>
                <w:sz w:val="16"/>
                <w:szCs w:val="16"/>
              </w:rPr>
              <w:t>Programa 28</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Porcentaje de peticiones de asistencia relativa a la seguridad atendidas puntualmente en las conferencias o actividades organizadas en Ginebra o en otros lugares</w:t>
            </w:r>
          </w:p>
        </w:tc>
        <w:tc>
          <w:tcPr>
            <w:tcW w:w="1585" w:type="pct"/>
            <w:shd w:val="clear" w:color="auto" w:fill="FFFFFF"/>
            <w:tcMar>
              <w:top w:w="85" w:type="dxa"/>
              <w:bottom w:w="85" w:type="dxa"/>
            </w:tcMar>
          </w:tcPr>
          <w:p w:rsidR="00236E18" w:rsidRPr="001F6DC8" w:rsidRDefault="00236E18" w:rsidP="00294272">
            <w:pPr>
              <w:ind w:left="821"/>
              <w:rPr>
                <w:sz w:val="16"/>
                <w:szCs w:val="16"/>
              </w:rPr>
            </w:pPr>
            <w:r w:rsidRPr="001F6DC8">
              <w:rPr>
                <w:sz w:val="16"/>
                <w:szCs w:val="16"/>
              </w:rPr>
              <w:t>Programa 28</w:t>
            </w:r>
          </w:p>
        </w:tc>
      </w:tr>
      <w:tr w:rsidR="00236E18" w:rsidRPr="001F6DC8" w:rsidTr="00294272">
        <w:trPr>
          <w:cantSplit/>
          <w:trHeight w:val="335"/>
        </w:trPr>
        <w:tc>
          <w:tcPr>
            <w:tcW w:w="1891" w:type="pct"/>
            <w:shd w:val="clear" w:color="auto" w:fill="auto"/>
            <w:tcMar>
              <w:top w:w="85" w:type="dxa"/>
              <w:bottom w:w="85" w:type="dxa"/>
            </w:tcMar>
          </w:tcPr>
          <w:p w:rsidR="00236E18" w:rsidRPr="008C5F94" w:rsidRDefault="00236E18" w:rsidP="00294272">
            <w:pPr>
              <w:rPr>
                <w:sz w:val="16"/>
                <w:szCs w:val="16"/>
              </w:rPr>
            </w:pPr>
            <w:r w:rsidRPr="008C5F94">
              <w:rPr>
                <w:sz w:val="16"/>
                <w:szCs w:val="16"/>
              </w:rPr>
              <w:t xml:space="preserve">IX.8  </w:t>
            </w:r>
            <w:r w:rsidRPr="008C5F94">
              <w:rPr>
                <w:sz w:val="16"/>
                <w:szCs w:val="16"/>
                <w:lang w:val="es-ES_tradnl"/>
              </w:rPr>
              <w:t>Mejor rendición de cuentas, aprendizaje institucional, uso óptimo de los recursos, administración, control interno y buen gobierno gracias a la asistencia que proporciona una supervisión eficaz e independiente</w:t>
            </w:r>
          </w:p>
        </w:tc>
        <w:tc>
          <w:tcPr>
            <w:tcW w:w="1524" w:type="pct"/>
            <w:shd w:val="clear" w:color="auto" w:fill="auto"/>
            <w:tcMar>
              <w:top w:w="85" w:type="dxa"/>
              <w:bottom w:w="85" w:type="dxa"/>
            </w:tcMar>
          </w:tcPr>
          <w:p w:rsidR="00236E18" w:rsidRPr="001F6DC8" w:rsidRDefault="00236E18" w:rsidP="00294272">
            <w:pPr>
              <w:rPr>
                <w:b/>
                <w:sz w:val="16"/>
                <w:szCs w:val="16"/>
              </w:rPr>
            </w:pPr>
            <w:r w:rsidRPr="001F6DC8">
              <w:rPr>
                <w:sz w:val="16"/>
                <w:szCs w:val="16"/>
              </w:rPr>
              <w:t>INDEPENDENCIA – No interferencia y grado de independencia percibido por las principales partes interesadas.</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rPr>
              <w:t>Programa 26</w:t>
            </w:r>
          </w:p>
        </w:tc>
      </w:tr>
      <w:tr w:rsidR="00236E18" w:rsidRPr="001F6DC8" w:rsidTr="00294272">
        <w:trPr>
          <w:cantSplit/>
          <w:trHeight w:val="335"/>
        </w:trPr>
        <w:tc>
          <w:tcPr>
            <w:tcW w:w="1891" w:type="pct"/>
            <w:shd w:val="clear" w:color="auto" w:fill="auto"/>
            <w:tcMar>
              <w:top w:w="85" w:type="dxa"/>
              <w:bottom w:w="85" w:type="dxa"/>
            </w:tcMar>
          </w:tcPr>
          <w:p w:rsidR="00236E18" w:rsidRPr="008C5F94"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EFECTIVIDAD - Porcentaje de la labor que abarca ámbitos de importancia y de alto riesgo de conformidad con la estrategia de la Organización.</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rPr>
              <w:t>Programa 26</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EFICACIA – Los informes de la DSI se elaboran oportunamente y se ajustan a las recomendaciones SMART (específicas, mensurables, realizables, pertinentes y sujetas a plazo).</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rPr>
              <w:t>Programa 26</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PERTINENCIA, VALOR AÑADIDO Y ADMINISTRACIÓN:  Ahorros o mejoras tangibles en los procedimientos y sistemas</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rPr>
              <w:t>Programa 26</w:t>
            </w:r>
          </w:p>
        </w:tc>
      </w:tr>
      <w:tr w:rsidR="00236E18" w:rsidRPr="001F6DC8" w:rsidTr="00294272">
        <w:trPr>
          <w:cantSplit/>
          <w:trHeight w:val="335"/>
        </w:trPr>
        <w:tc>
          <w:tcPr>
            <w:tcW w:w="1891" w:type="pct"/>
            <w:shd w:val="clear" w:color="auto" w:fill="auto"/>
            <w:tcMar>
              <w:top w:w="85" w:type="dxa"/>
              <w:bottom w:w="85" w:type="dxa"/>
            </w:tcMar>
          </w:tcPr>
          <w:p w:rsidR="00236E18" w:rsidRPr="001F6DC8" w:rsidRDefault="00236E18" w:rsidP="00294272">
            <w:pPr>
              <w:rPr>
                <w:sz w:val="16"/>
                <w:szCs w:val="16"/>
              </w:rPr>
            </w:pPr>
          </w:p>
        </w:tc>
        <w:tc>
          <w:tcPr>
            <w:tcW w:w="1524" w:type="pct"/>
            <w:shd w:val="clear" w:color="auto" w:fill="auto"/>
            <w:tcMar>
              <w:top w:w="85" w:type="dxa"/>
              <w:bottom w:w="85" w:type="dxa"/>
            </w:tcMar>
          </w:tcPr>
          <w:p w:rsidR="00236E18" w:rsidRPr="001F6DC8" w:rsidRDefault="00236E18" w:rsidP="00294272">
            <w:pPr>
              <w:rPr>
                <w:sz w:val="16"/>
                <w:szCs w:val="16"/>
              </w:rPr>
            </w:pPr>
            <w:r w:rsidRPr="001F6DC8">
              <w:rPr>
                <w:sz w:val="16"/>
                <w:szCs w:val="16"/>
              </w:rPr>
              <w:t>APRENDIZAJE INSTITUCIONAL:   Adopción de enseñanzas y recomendaciones extraídas de los procesos de supervisión</w:t>
            </w:r>
          </w:p>
        </w:tc>
        <w:tc>
          <w:tcPr>
            <w:tcW w:w="1585" w:type="pct"/>
            <w:shd w:val="clear" w:color="auto" w:fill="FFFFFF"/>
            <w:tcMar>
              <w:top w:w="85" w:type="dxa"/>
              <w:bottom w:w="85" w:type="dxa"/>
            </w:tcMar>
          </w:tcPr>
          <w:p w:rsidR="00236E18" w:rsidRPr="001F6DC8" w:rsidRDefault="00236E18" w:rsidP="00294272">
            <w:pPr>
              <w:ind w:left="821"/>
              <w:rPr>
                <w:sz w:val="16"/>
                <w:szCs w:val="16"/>
                <w:lang w:bidi="th-TH"/>
              </w:rPr>
            </w:pPr>
            <w:r w:rsidRPr="001F6DC8">
              <w:rPr>
                <w:sz w:val="16"/>
                <w:szCs w:val="16"/>
              </w:rPr>
              <w:t>Programa 26</w:t>
            </w:r>
          </w:p>
        </w:tc>
      </w:tr>
    </w:tbl>
    <w:p w:rsidR="00236E18" w:rsidRPr="00AA0D49" w:rsidRDefault="00236E18" w:rsidP="00236E18">
      <w:pPr>
        <w:rPr>
          <w:sz w:val="20"/>
        </w:rPr>
      </w:pPr>
    </w:p>
    <w:p w:rsidR="00236E18" w:rsidRDefault="00236E18" w:rsidP="00236E18">
      <w:pPr>
        <w:rPr>
          <w:sz w:val="20"/>
          <w:szCs w:val="21"/>
          <w:lang w:val="en-US"/>
        </w:rPr>
      </w:pPr>
      <w:r>
        <w:rPr>
          <w:sz w:val="20"/>
          <w:szCs w:val="21"/>
          <w:lang w:val="en-US"/>
        </w:rPr>
        <w:br w:type="page"/>
      </w:r>
    </w:p>
    <w:p w:rsidR="00236E18" w:rsidRPr="00F12B73" w:rsidRDefault="00236E18" w:rsidP="00236E18">
      <w:pPr>
        <w:pStyle w:val="StyleStyleHeading3ComplexItalicLatin12pt"/>
        <w:rPr>
          <w:lang w:val="es-ES"/>
        </w:rPr>
      </w:pPr>
      <w:bookmarkStart w:id="115" w:name="_Toc431573570"/>
      <w:bookmarkStart w:id="116" w:name="_Toc431573971"/>
      <w:r w:rsidRPr="00F12B73">
        <w:rPr>
          <w:lang w:val="es-ES"/>
        </w:rPr>
        <w:lastRenderedPageBreak/>
        <w:t>PROGRAMA 21</w:t>
      </w:r>
      <w:r w:rsidRPr="00F12B73">
        <w:rPr>
          <w:lang w:val="es-ES"/>
        </w:rPr>
        <w:tab/>
        <w:t>GESTIÓN EJECUTIVA</w:t>
      </w:r>
      <w:bookmarkEnd w:id="115"/>
      <w:bookmarkEnd w:id="116"/>
    </w:p>
    <w:p w:rsidR="00236E18" w:rsidRPr="007F0AB4" w:rsidRDefault="00236E18" w:rsidP="00236E18">
      <w:pPr>
        <w:widowControl w:val="0"/>
        <w:tabs>
          <w:tab w:val="left" w:pos="2268"/>
        </w:tabs>
        <w:ind w:left="2268" w:hanging="2268"/>
        <w:rPr>
          <w:sz w:val="20"/>
        </w:rPr>
      </w:pPr>
    </w:p>
    <w:p w:rsidR="00236E18" w:rsidRPr="007F0AB4" w:rsidRDefault="00236E18" w:rsidP="00236E18">
      <w:pPr>
        <w:pStyle w:val="BodyTextIndent"/>
        <w:widowControl w:val="0"/>
        <w:spacing w:after="0"/>
        <w:ind w:left="1985" w:hanging="1985"/>
        <w:jc w:val="both"/>
        <w:rPr>
          <w:sz w:val="20"/>
        </w:rPr>
      </w:pPr>
    </w:p>
    <w:p w:rsidR="00236E18" w:rsidRPr="00344B27" w:rsidRDefault="00236E18" w:rsidP="00236E18">
      <w:pPr>
        <w:pStyle w:val="BodyTextIndent"/>
        <w:widowControl w:val="0"/>
        <w:spacing w:after="0"/>
        <w:ind w:left="1985" w:hanging="1985"/>
        <w:jc w:val="both"/>
        <w:rPr>
          <w:szCs w:val="22"/>
        </w:rPr>
      </w:pPr>
      <w:r w:rsidRPr="00344B27">
        <w:rPr>
          <w:szCs w:val="22"/>
        </w:rPr>
        <w:t>CONTEXTO DE PLANIFICACIÓN</w:t>
      </w:r>
    </w:p>
    <w:p w:rsidR="00236E18" w:rsidRPr="00344B27" w:rsidRDefault="00236E18" w:rsidP="00236E18">
      <w:pPr>
        <w:widowControl w:val="0"/>
        <w:rPr>
          <w:sz w:val="20"/>
        </w:rPr>
      </w:pPr>
    </w:p>
    <w:p w:rsidR="00236E18" w:rsidRPr="00344B27" w:rsidRDefault="00236E18" w:rsidP="00236E18">
      <w:pPr>
        <w:widowControl w:val="0"/>
        <w:numPr>
          <w:ilvl w:val="0"/>
          <w:numId w:val="37"/>
        </w:numPr>
        <w:jc w:val="both"/>
        <w:rPr>
          <w:sz w:val="20"/>
        </w:rPr>
      </w:pPr>
      <w:r w:rsidRPr="00344B27">
        <w:rPr>
          <w:sz w:val="20"/>
        </w:rPr>
        <w:t>El programa de gestión ejecutiva proporciona a la Organización una dirección estratégica que le permite progresar para alcanzar sus metas estratégicas.  Asimismo, se encarga de dirigir el cambio necesario para garantizar que la OMPI cumpla con su mandato de manera eficiente y eficaz en el marco de un entorno externo en rápida evolución.</w:t>
      </w:r>
    </w:p>
    <w:p w:rsidR="00236E18" w:rsidRPr="00344B27" w:rsidRDefault="00236E18" w:rsidP="00236E18">
      <w:pPr>
        <w:widowControl w:val="0"/>
        <w:jc w:val="both"/>
        <w:rPr>
          <w:sz w:val="20"/>
        </w:rPr>
      </w:pPr>
    </w:p>
    <w:p w:rsidR="00236E18" w:rsidRPr="00344B27" w:rsidRDefault="00236E18" w:rsidP="00236E18">
      <w:pPr>
        <w:widowControl w:val="0"/>
        <w:numPr>
          <w:ilvl w:val="0"/>
          <w:numId w:val="37"/>
        </w:numPr>
        <w:jc w:val="both"/>
        <w:rPr>
          <w:sz w:val="20"/>
        </w:rPr>
      </w:pPr>
      <w:r w:rsidRPr="00344B27">
        <w:rPr>
          <w:sz w:val="20"/>
        </w:rPr>
        <w:t>El entorno externo en el que actúa la OMPI sigue siendo difícil y plantea desafíos para la consecución de sus objetivos.  La recuperación económica mundial ha sido irregular y las perturbaciones como la reciente inestabilidad cambiaria ponen de manifiesto los riesgos externos a los que la Organización sigue estando expuesta.  En ese contexto, la P.I. y la innovación se mantienen en el centro de una intensa competencia económica, lo que destaca la importancia que siguen teniendo para el éxito económico y el desarrollo nacional.  Ello sigue reflejándose en la fuerte demanda del apoyo y la asistencia que brinda la OMPI por parte de los Estados miembros.  Al mismo tiempo, el ritmo de la elaboración de nuevas normas en el ámbito de la P.I. contrasta con el rápido ritmo del cambio tecnológico y social.  De cara al futuro, se plantean a la Organización los múltiples desafíos de dar respuestas equitativas y eficaces a los pedidos de asistencia, velar por que los servicios generadores de ingresos de la OMPI cuenten con recursos adecuados, se mantengan actualizados y competitivos mediante las reformas apropiadas, y de crear un espacio propicio para que los Estados miembros se congreguen y consensuen un marco normativo.</w:t>
      </w:r>
    </w:p>
    <w:p w:rsidR="00236E18" w:rsidRPr="00344B27" w:rsidRDefault="00236E18" w:rsidP="00236E18">
      <w:pPr>
        <w:widowControl w:val="0"/>
        <w:tabs>
          <w:tab w:val="num" w:pos="709"/>
        </w:tabs>
        <w:ind w:left="1140" w:hanging="1140"/>
        <w:rPr>
          <w:bCs/>
          <w:sz w:val="20"/>
        </w:rPr>
      </w:pPr>
    </w:p>
    <w:p w:rsidR="00236E18" w:rsidRPr="00344B27" w:rsidRDefault="00236E18" w:rsidP="00236E18">
      <w:pPr>
        <w:widowControl w:val="0"/>
        <w:tabs>
          <w:tab w:val="num" w:pos="709"/>
        </w:tabs>
        <w:ind w:left="1140" w:hanging="1140"/>
        <w:rPr>
          <w:bCs/>
          <w:sz w:val="20"/>
        </w:rPr>
      </w:pPr>
    </w:p>
    <w:p w:rsidR="00236E18" w:rsidRPr="00344B27" w:rsidRDefault="00236E18" w:rsidP="00236E18">
      <w:pPr>
        <w:widowControl w:val="0"/>
        <w:jc w:val="both"/>
        <w:rPr>
          <w:iCs/>
          <w:sz w:val="20"/>
        </w:rPr>
      </w:pPr>
      <w:r w:rsidRPr="00344B27">
        <w:rPr>
          <w:iCs/>
          <w:szCs w:val="22"/>
        </w:rPr>
        <w:t>ESTRATEGIAS DE EJECUCIÓN</w:t>
      </w:r>
    </w:p>
    <w:p w:rsidR="00236E18" w:rsidRPr="00344B27" w:rsidRDefault="00236E18" w:rsidP="00236E18">
      <w:pPr>
        <w:widowControl w:val="0"/>
        <w:tabs>
          <w:tab w:val="num" w:pos="709"/>
        </w:tabs>
        <w:jc w:val="both"/>
        <w:rPr>
          <w:bCs/>
          <w:sz w:val="20"/>
        </w:rPr>
      </w:pPr>
    </w:p>
    <w:p w:rsidR="00236E18" w:rsidRPr="00344B27" w:rsidRDefault="00236E18" w:rsidP="00236E18">
      <w:pPr>
        <w:widowControl w:val="0"/>
        <w:numPr>
          <w:ilvl w:val="0"/>
          <w:numId w:val="37"/>
        </w:numPr>
        <w:jc w:val="both"/>
        <w:rPr>
          <w:sz w:val="20"/>
        </w:rPr>
      </w:pPr>
      <w:r w:rsidRPr="00344B27">
        <w:rPr>
          <w:sz w:val="20"/>
        </w:rPr>
        <w:t xml:space="preserve">Para mantener una atención permanente en la P.I. y el equilibrio entre los distintos intereses, en el contexto actual, será necesario que el programa insista considerablemente en liderar los esfuerzos para fortalecer una comunicación fiable y transparente con los Estados miembros y otras partes interesadas, </w:t>
      </w:r>
      <w:r w:rsidRPr="009817C4">
        <w:rPr>
          <w:sz w:val="20"/>
        </w:rPr>
        <w:t>con el fin de facilitar el logro de un consenso en torno al cumplimiento de las metas estratégicas.</w:t>
      </w:r>
    </w:p>
    <w:p w:rsidR="00236E18" w:rsidRPr="00344B27" w:rsidRDefault="00236E18" w:rsidP="00236E18">
      <w:pPr>
        <w:widowControl w:val="0"/>
        <w:jc w:val="both"/>
        <w:rPr>
          <w:sz w:val="20"/>
        </w:rPr>
      </w:pPr>
    </w:p>
    <w:p w:rsidR="00236E18" w:rsidRPr="00344B27" w:rsidRDefault="00236E18" w:rsidP="00236E18">
      <w:pPr>
        <w:widowControl w:val="0"/>
        <w:numPr>
          <w:ilvl w:val="0"/>
          <w:numId w:val="37"/>
        </w:numPr>
        <w:jc w:val="both"/>
        <w:rPr>
          <w:sz w:val="20"/>
          <w:lang w:val="es-ES_tradnl"/>
        </w:rPr>
      </w:pPr>
      <w:r w:rsidRPr="00344B27">
        <w:rPr>
          <w:sz w:val="20"/>
        </w:rPr>
        <w:t xml:space="preserve">El programa promoverá y apoyará la aplicación de estrategias e iniciativas que favorezcan una gestión decisiva, integrada y responsable, centrada en el logro de resultados, fomentando al mismo tiempo la conducta ética y el buen gobierno.  </w:t>
      </w:r>
      <w:r w:rsidRPr="00344B27">
        <w:rPr>
          <w:sz w:val="20"/>
          <w:lang w:val="es-ES_tradnl"/>
        </w:rPr>
        <w:t xml:space="preserve">En ese contexto, en el marco del programa se concentrará la energía en velar por la eficacia de las tareas que realizan las oficinas de la OMPI en el exterior, así como su plena integración con el empeño de la Organización por lograr las metas estratégicas.  La atención se centrará en fomentar la capacidad reacción </w:t>
      </w:r>
      <w:r>
        <w:rPr>
          <w:sz w:val="20"/>
          <w:lang w:val="es-ES_tradnl"/>
        </w:rPr>
        <w:t xml:space="preserve">y recuperación </w:t>
      </w:r>
      <w:r w:rsidRPr="00344B27">
        <w:rPr>
          <w:sz w:val="20"/>
          <w:lang w:val="es-ES_tradnl"/>
        </w:rPr>
        <w:t>de la Organización en relación con un amplio espectro de riesgos y en salvaguardar los procesos de funcionamiento vitales.  En el marco del programa, se procurará fomentar un entorno productivo de trabajo que refleje los valores de la Organización y se sustente en un marco regulador equitativo, políticas laborales basadas en el respeto y canales eficaces para dar respuesta a las inquietudes del personal.</w:t>
      </w:r>
    </w:p>
    <w:p w:rsidR="00236E18" w:rsidRPr="00344B27" w:rsidRDefault="00236E18" w:rsidP="00236E18">
      <w:pPr>
        <w:widowControl w:val="0"/>
        <w:jc w:val="both"/>
        <w:rPr>
          <w:sz w:val="20"/>
          <w:lang w:val="es-ES_tradnl"/>
        </w:rPr>
      </w:pPr>
    </w:p>
    <w:p w:rsidR="00236E18" w:rsidRPr="00344B27" w:rsidRDefault="00236E18" w:rsidP="00236E18">
      <w:pPr>
        <w:widowControl w:val="0"/>
        <w:numPr>
          <w:ilvl w:val="0"/>
          <w:numId w:val="37"/>
        </w:numPr>
        <w:jc w:val="both"/>
        <w:rPr>
          <w:sz w:val="20"/>
        </w:rPr>
      </w:pPr>
      <w:r w:rsidRPr="00344B27">
        <w:rPr>
          <w:sz w:val="20"/>
        </w:rPr>
        <w:t>En 2016/17, se aplicarán las siguientes estrategias:</w:t>
      </w:r>
    </w:p>
    <w:p w:rsidR="00236E18" w:rsidRPr="00344B27" w:rsidRDefault="00236E18" w:rsidP="00236E18">
      <w:pPr>
        <w:widowControl w:val="0"/>
        <w:tabs>
          <w:tab w:val="left" w:pos="1134"/>
        </w:tabs>
        <w:jc w:val="both"/>
        <w:rPr>
          <w:sz w:val="20"/>
        </w:rPr>
      </w:pPr>
    </w:p>
    <w:p w:rsidR="00236E18" w:rsidRPr="00344B27" w:rsidRDefault="00236E18" w:rsidP="00236E18">
      <w:pPr>
        <w:widowControl w:val="0"/>
        <w:numPr>
          <w:ilvl w:val="1"/>
          <w:numId w:val="37"/>
        </w:numPr>
        <w:tabs>
          <w:tab w:val="clear" w:pos="1250"/>
          <w:tab w:val="num" w:pos="360"/>
          <w:tab w:val="left" w:pos="1134"/>
        </w:tabs>
        <w:ind w:left="567"/>
        <w:jc w:val="both"/>
        <w:rPr>
          <w:sz w:val="20"/>
        </w:rPr>
      </w:pPr>
      <w:r w:rsidRPr="00344B27">
        <w:rPr>
          <w:i/>
          <w:sz w:val="20"/>
        </w:rPr>
        <w:t>Fortalecer la comunicación con los Estados miembros</w:t>
      </w:r>
      <w:proofErr w:type="gramStart"/>
      <w:r w:rsidRPr="00344B27">
        <w:rPr>
          <w:sz w:val="20"/>
        </w:rPr>
        <w:t>:  la</w:t>
      </w:r>
      <w:proofErr w:type="gramEnd"/>
      <w:r w:rsidRPr="00344B27">
        <w:rPr>
          <w:sz w:val="20"/>
        </w:rPr>
        <w:t xml:space="preserve"> continuidad, periodicidad y eficacia de la comunicación, las consultas y el diálogo con los Estados miembros garantizarán la difusión de la información a todos los niveles y continuarán mejorando la transparencia respecto de las actividades programáticas.</w:t>
      </w:r>
    </w:p>
    <w:p w:rsidR="00236E18" w:rsidRPr="00344B27" w:rsidRDefault="00236E18" w:rsidP="00236E18">
      <w:pPr>
        <w:widowControl w:val="0"/>
        <w:tabs>
          <w:tab w:val="num" w:pos="360"/>
          <w:tab w:val="left" w:pos="1134"/>
        </w:tabs>
        <w:ind w:left="567"/>
        <w:jc w:val="both"/>
        <w:rPr>
          <w:sz w:val="20"/>
        </w:rPr>
      </w:pPr>
    </w:p>
    <w:p w:rsidR="00236E18" w:rsidRPr="00344B27" w:rsidRDefault="00236E18" w:rsidP="00236E18">
      <w:pPr>
        <w:widowControl w:val="0"/>
        <w:numPr>
          <w:ilvl w:val="1"/>
          <w:numId w:val="37"/>
        </w:numPr>
        <w:tabs>
          <w:tab w:val="clear" w:pos="1250"/>
          <w:tab w:val="num" w:pos="360"/>
          <w:tab w:val="left" w:pos="1134"/>
        </w:tabs>
        <w:ind w:left="567"/>
        <w:jc w:val="both"/>
        <w:rPr>
          <w:sz w:val="20"/>
          <w:lang w:val="es-ES_tradnl"/>
        </w:rPr>
      </w:pPr>
      <w:r w:rsidRPr="00344B27">
        <w:rPr>
          <w:i/>
          <w:sz w:val="20"/>
        </w:rPr>
        <w:t>Mejorar la coherencia y la eficiencia en el plano interno</w:t>
      </w:r>
      <w:proofErr w:type="gramStart"/>
      <w:r w:rsidRPr="00344B27">
        <w:rPr>
          <w:sz w:val="20"/>
        </w:rPr>
        <w:t>:  este</w:t>
      </w:r>
      <w:proofErr w:type="gramEnd"/>
      <w:r w:rsidRPr="00344B27">
        <w:rPr>
          <w:sz w:val="20"/>
        </w:rPr>
        <w:t xml:space="preserve"> aspecto seguirá consolidándose mediante procesos de coordinación en el nivel del Equipo Directivo Superior y de presentación de informes en el nivel de la Administración.  </w:t>
      </w:r>
      <w:r w:rsidRPr="00344B27">
        <w:rPr>
          <w:sz w:val="20"/>
          <w:lang w:val="es-ES_tradnl"/>
        </w:rPr>
        <w:t>El establecimiento de mecanismos de coordinación bien definidos garantizará la integración de las oficinas en el exterior en los procesos de gestión, mejorando su funcionamiento.</w:t>
      </w:r>
    </w:p>
    <w:p w:rsidR="00236E18" w:rsidRPr="00344B27" w:rsidRDefault="00236E18" w:rsidP="00236E18">
      <w:pPr>
        <w:widowControl w:val="0"/>
        <w:tabs>
          <w:tab w:val="num" w:pos="360"/>
          <w:tab w:val="left" w:pos="1134"/>
        </w:tabs>
        <w:ind w:left="567"/>
        <w:jc w:val="both"/>
        <w:rPr>
          <w:sz w:val="20"/>
          <w:lang w:val="es-ES_tradnl"/>
        </w:rPr>
      </w:pPr>
    </w:p>
    <w:p w:rsidR="00236E18" w:rsidRPr="00344B27" w:rsidRDefault="00236E18" w:rsidP="00236E18">
      <w:pPr>
        <w:widowControl w:val="0"/>
        <w:numPr>
          <w:ilvl w:val="1"/>
          <w:numId w:val="37"/>
        </w:numPr>
        <w:tabs>
          <w:tab w:val="clear" w:pos="1250"/>
        </w:tabs>
        <w:ind w:left="567"/>
        <w:jc w:val="both"/>
        <w:rPr>
          <w:sz w:val="20"/>
          <w:lang w:val="es-ES_tradnl"/>
        </w:rPr>
      </w:pPr>
      <w:r w:rsidRPr="00344B27">
        <w:rPr>
          <w:i/>
          <w:iCs/>
          <w:sz w:val="20"/>
          <w:lang w:val="es-ES_tradnl"/>
        </w:rPr>
        <w:t>Prestar servicios y brindar asesoramiento en el ámbito jurídico, de forma rápida,</w:t>
      </w:r>
      <w:r w:rsidRPr="00344B27">
        <w:rPr>
          <w:sz w:val="20"/>
          <w:lang w:val="es-ES_tradnl"/>
        </w:rPr>
        <w:t xml:space="preserve"> en sintonía con las obligaciones reglamentarias y la legislación aplicable, contribuirá al buen funcionamiento de la Secretaría y de los órganos constituyentes de la Organización.  Gracias a su desarrollo y mantenimiento constantes, la base de datos WIPO </w:t>
      </w:r>
      <w:proofErr w:type="spellStart"/>
      <w:r w:rsidRPr="00344B27">
        <w:rPr>
          <w:sz w:val="20"/>
          <w:lang w:val="es-ES_tradnl"/>
        </w:rPr>
        <w:t>Lex</w:t>
      </w:r>
      <w:proofErr w:type="spellEnd"/>
      <w:r w:rsidRPr="00344B27">
        <w:rPr>
          <w:sz w:val="20"/>
          <w:lang w:val="es-ES_tradnl"/>
        </w:rPr>
        <w:t xml:space="preserve"> seguirá siendo un recurso universal de leyes y tratados en materia de P.I. acorde con la innovación tecnológica actual.</w:t>
      </w:r>
    </w:p>
    <w:p w:rsidR="00236E18" w:rsidRPr="00344B27" w:rsidRDefault="00236E18" w:rsidP="00236E18">
      <w:pPr>
        <w:widowControl w:val="0"/>
        <w:tabs>
          <w:tab w:val="num" w:pos="360"/>
          <w:tab w:val="left" w:pos="1134"/>
        </w:tabs>
        <w:ind w:left="567"/>
        <w:jc w:val="both"/>
        <w:rPr>
          <w:sz w:val="20"/>
          <w:lang w:val="es-ES_tradnl"/>
        </w:rPr>
      </w:pPr>
    </w:p>
    <w:p w:rsidR="00236E18" w:rsidRPr="00344B27" w:rsidRDefault="00236E18" w:rsidP="00236E18">
      <w:pPr>
        <w:widowControl w:val="0"/>
        <w:numPr>
          <w:ilvl w:val="1"/>
          <w:numId w:val="37"/>
        </w:numPr>
        <w:tabs>
          <w:tab w:val="clear" w:pos="1250"/>
          <w:tab w:val="num" w:pos="360"/>
          <w:tab w:val="left" w:pos="1134"/>
        </w:tabs>
        <w:ind w:left="567"/>
        <w:jc w:val="both"/>
        <w:rPr>
          <w:sz w:val="20"/>
          <w:lang w:val="es-ES_tradnl"/>
        </w:rPr>
      </w:pPr>
      <w:r w:rsidRPr="00344B27">
        <w:rPr>
          <w:i/>
          <w:sz w:val="20"/>
          <w:lang w:val="es-ES_tradnl"/>
        </w:rPr>
        <w:t>Establecer un marco institucional de reacción</w:t>
      </w:r>
      <w:r>
        <w:rPr>
          <w:i/>
          <w:sz w:val="20"/>
          <w:lang w:val="es-ES_tradnl"/>
        </w:rPr>
        <w:t xml:space="preserve"> y recuperación</w:t>
      </w:r>
      <w:proofErr w:type="gramStart"/>
      <w:r w:rsidRPr="00344B27">
        <w:rPr>
          <w:sz w:val="20"/>
          <w:lang w:val="es-ES_tradnl"/>
        </w:rPr>
        <w:t>:  mediante</w:t>
      </w:r>
      <w:proofErr w:type="gramEnd"/>
      <w:r w:rsidRPr="00344B27">
        <w:rPr>
          <w:sz w:val="20"/>
          <w:lang w:val="es-ES_tradnl"/>
        </w:rPr>
        <w:t xml:space="preserve"> la elaboración de una política, una estrategia y planes, se mejorarán las capacidades de la OMPI de planificación para situaciones de emergencia con miras a mitigar o minimizar, en la medida de lo posible, la incidencia de las perturbaciones en las funciones vitales de la Organización.</w:t>
      </w:r>
    </w:p>
    <w:p w:rsidR="00236E18" w:rsidRPr="00344B27" w:rsidRDefault="00236E18" w:rsidP="00236E18">
      <w:pPr>
        <w:widowControl w:val="0"/>
        <w:tabs>
          <w:tab w:val="num" w:pos="360"/>
          <w:tab w:val="left" w:pos="1134"/>
        </w:tabs>
        <w:ind w:left="567"/>
        <w:rPr>
          <w:szCs w:val="22"/>
          <w:lang w:val="es-ES_tradnl"/>
        </w:rPr>
      </w:pPr>
    </w:p>
    <w:p w:rsidR="00236E18" w:rsidRPr="00344B27" w:rsidRDefault="00236E18" w:rsidP="00236E18">
      <w:pPr>
        <w:widowControl w:val="0"/>
        <w:numPr>
          <w:ilvl w:val="1"/>
          <w:numId w:val="37"/>
        </w:numPr>
        <w:tabs>
          <w:tab w:val="clear" w:pos="1250"/>
          <w:tab w:val="num" w:pos="360"/>
          <w:tab w:val="left" w:pos="1134"/>
        </w:tabs>
        <w:ind w:left="567"/>
        <w:jc w:val="both"/>
        <w:rPr>
          <w:sz w:val="20"/>
          <w:lang w:val="es-ES_tradnl"/>
        </w:rPr>
      </w:pPr>
      <w:r w:rsidRPr="00344B27">
        <w:rPr>
          <w:i/>
          <w:sz w:val="20"/>
          <w:lang w:val="es-ES_tradnl"/>
        </w:rPr>
        <w:t>Consolidar la aportación de la OMPI a la Junta de los Jefes Ejecutivos del sistema de las NN.UU. para la Coordinación</w:t>
      </w:r>
      <w:proofErr w:type="gramStart"/>
      <w:r w:rsidRPr="00344B27">
        <w:rPr>
          <w:sz w:val="20"/>
          <w:lang w:val="es-ES_tradnl"/>
        </w:rPr>
        <w:t>:  la</w:t>
      </w:r>
      <w:proofErr w:type="gramEnd"/>
      <w:r w:rsidRPr="00344B27">
        <w:rPr>
          <w:sz w:val="20"/>
          <w:lang w:val="es-ES_tradnl"/>
        </w:rPr>
        <w:t xml:space="preserve"> OMPI seguirá ampliando su participación activa en el sistema de las NN.UU., en particular mediante sus aportaciones a la Junta.  A través de su partición activa en dichos órganos, la OMPI seguirá fortaleciendo las iniciativas de las NN.UU</w:t>
      </w:r>
      <w:r>
        <w:rPr>
          <w:sz w:val="20"/>
          <w:lang w:val="es-ES_tradnl"/>
        </w:rPr>
        <w:t>.</w:t>
      </w:r>
      <w:r w:rsidRPr="00344B27">
        <w:rPr>
          <w:sz w:val="20"/>
          <w:lang w:val="es-ES_tradnl"/>
        </w:rPr>
        <w:t xml:space="preserve"> que sean de importancia para la promoción de la innovación y la creatividad, destacando sus buenas prácticas de gestión.</w:t>
      </w:r>
    </w:p>
    <w:p w:rsidR="00236E18" w:rsidRPr="00344B27" w:rsidRDefault="00236E18" w:rsidP="00236E18">
      <w:pPr>
        <w:widowControl w:val="0"/>
        <w:tabs>
          <w:tab w:val="num" w:pos="360"/>
          <w:tab w:val="left" w:pos="1134"/>
        </w:tabs>
        <w:ind w:left="567"/>
        <w:jc w:val="both"/>
        <w:rPr>
          <w:sz w:val="20"/>
          <w:lang w:val="es-ES_tradnl"/>
        </w:rPr>
      </w:pPr>
    </w:p>
    <w:p w:rsidR="00236E18" w:rsidRPr="00344B27" w:rsidRDefault="00236E18" w:rsidP="00236E18">
      <w:pPr>
        <w:widowControl w:val="0"/>
        <w:numPr>
          <w:ilvl w:val="1"/>
          <w:numId w:val="37"/>
        </w:numPr>
        <w:tabs>
          <w:tab w:val="clear" w:pos="1250"/>
          <w:tab w:val="num" w:pos="360"/>
          <w:tab w:val="left" w:pos="1134"/>
        </w:tabs>
        <w:ind w:left="567"/>
        <w:jc w:val="both"/>
        <w:rPr>
          <w:sz w:val="20"/>
          <w:lang w:val="es-ES_tradnl"/>
        </w:rPr>
      </w:pPr>
      <w:r w:rsidRPr="00344B27">
        <w:rPr>
          <w:i/>
          <w:sz w:val="20"/>
          <w:lang w:val="es-ES_tradnl"/>
        </w:rPr>
        <w:t>Profundizar el amplio sistema de la OMPI de ética e integridad</w:t>
      </w:r>
      <w:r w:rsidRPr="00344B27">
        <w:rPr>
          <w:sz w:val="20"/>
          <w:lang w:val="es-ES_tradnl"/>
        </w:rPr>
        <w:t>:  tras el establecimiento de un amplio sistema de ética e integridad en la OMPI y a partir de la labor ya realizada (que incluye el Código de Ética, la política de lucha contra las represalias y la formación del personal), la Oficina de Ética Profesional seguirá incorporando el sistema en la Organización mediante el establecimiento de normas, el suministro de asesoramiento confiable de forma clara a la Administración y el personal en todos los niveles, así como mediante actividades de sensibilización y promoción.  En particular, tras el establecimiento de la Política de la OMPI de declaración de intereses, se elaborará una nueva Política de declaración de la situación financiera.</w:t>
      </w:r>
    </w:p>
    <w:p w:rsidR="00236E18" w:rsidRPr="00344B27" w:rsidRDefault="00236E18" w:rsidP="00236E18">
      <w:pPr>
        <w:widowControl w:val="0"/>
        <w:tabs>
          <w:tab w:val="num" w:pos="360"/>
          <w:tab w:val="left" w:pos="1134"/>
        </w:tabs>
        <w:ind w:left="567"/>
        <w:rPr>
          <w:szCs w:val="22"/>
          <w:lang w:val="es-ES_tradnl"/>
        </w:rPr>
      </w:pPr>
    </w:p>
    <w:p w:rsidR="00236E18" w:rsidRPr="00344B27" w:rsidRDefault="00236E18" w:rsidP="00236E18">
      <w:pPr>
        <w:widowControl w:val="0"/>
        <w:numPr>
          <w:ilvl w:val="1"/>
          <w:numId w:val="37"/>
        </w:numPr>
        <w:tabs>
          <w:tab w:val="clear" w:pos="1250"/>
          <w:tab w:val="num" w:pos="360"/>
          <w:tab w:val="left" w:pos="1134"/>
        </w:tabs>
        <w:ind w:left="567"/>
        <w:jc w:val="both"/>
        <w:rPr>
          <w:sz w:val="20"/>
          <w:lang w:val="es-ES_tradnl"/>
        </w:rPr>
      </w:pPr>
      <w:r w:rsidRPr="00344B27">
        <w:rPr>
          <w:i/>
          <w:sz w:val="20"/>
          <w:lang w:val="es-ES_tradnl"/>
        </w:rPr>
        <w:t>Mejorar la organización de las Asambleas de la OMPI</w:t>
      </w:r>
      <w:proofErr w:type="gramStart"/>
      <w:r w:rsidRPr="00344B27">
        <w:rPr>
          <w:sz w:val="20"/>
          <w:lang w:val="es-ES_tradnl"/>
        </w:rPr>
        <w:t>:  la</w:t>
      </w:r>
      <w:proofErr w:type="gramEnd"/>
      <w:r w:rsidRPr="00344B27">
        <w:rPr>
          <w:sz w:val="20"/>
          <w:lang w:val="es-ES_tradnl"/>
        </w:rPr>
        <w:t xml:space="preserve"> eficiencia en la coordinación y la planificación internas contribuirá a la preparación minuciosa de las Asambleas en los plazos previstos, facilitando de esa manera la labor de los Estados miembros en los órganos rectores más importantes de la de la OMPI.</w:t>
      </w:r>
    </w:p>
    <w:p w:rsidR="00236E18" w:rsidRPr="00344B27" w:rsidRDefault="00236E18" w:rsidP="00236E18">
      <w:pPr>
        <w:widowControl w:val="0"/>
        <w:tabs>
          <w:tab w:val="num" w:pos="360"/>
          <w:tab w:val="left" w:pos="1134"/>
        </w:tabs>
        <w:ind w:left="567"/>
        <w:jc w:val="both"/>
        <w:rPr>
          <w:sz w:val="20"/>
          <w:lang w:val="es-ES_tradnl"/>
        </w:rPr>
      </w:pPr>
    </w:p>
    <w:p w:rsidR="00236E18" w:rsidRPr="00344B27" w:rsidRDefault="00236E18" w:rsidP="00236E18">
      <w:pPr>
        <w:widowControl w:val="0"/>
        <w:numPr>
          <w:ilvl w:val="1"/>
          <w:numId w:val="37"/>
        </w:numPr>
        <w:tabs>
          <w:tab w:val="clear" w:pos="1250"/>
          <w:tab w:val="num" w:pos="360"/>
          <w:tab w:val="left" w:pos="1134"/>
        </w:tabs>
        <w:ind w:left="567"/>
        <w:jc w:val="both"/>
        <w:rPr>
          <w:sz w:val="20"/>
          <w:lang w:val="es-ES_tradnl"/>
        </w:rPr>
      </w:pPr>
      <w:r w:rsidRPr="00344B27">
        <w:rPr>
          <w:i/>
          <w:sz w:val="20"/>
          <w:lang w:val="es-ES_tradnl"/>
        </w:rPr>
        <w:t>Reforzar los servicios prestados a los Estados miembros y otras partes interesadas en relación con determinadas reuniones</w:t>
      </w:r>
      <w:proofErr w:type="gramStart"/>
      <w:r w:rsidRPr="00344B27">
        <w:rPr>
          <w:sz w:val="20"/>
          <w:lang w:val="es-ES_tradnl"/>
        </w:rPr>
        <w:t>:  seguir</w:t>
      </w:r>
      <w:proofErr w:type="gramEnd"/>
      <w:r w:rsidRPr="00344B27">
        <w:rPr>
          <w:sz w:val="20"/>
          <w:lang w:val="es-ES_tradnl"/>
        </w:rPr>
        <w:t xml:space="preserve"> mejorando el apoyo que se da a los Estados miembros y otras partes interesadas para la organización de reuniones de alto nivel aumentará la visibilidad y la sensibilización acerca del papel que la P.I. desempeña en el fomento del progreso y el desarrollo económico, social y cultural.</w:t>
      </w:r>
    </w:p>
    <w:p w:rsidR="00236E18" w:rsidRPr="00344B27" w:rsidRDefault="00236E18" w:rsidP="00236E18">
      <w:pPr>
        <w:widowControl w:val="0"/>
        <w:tabs>
          <w:tab w:val="num" w:pos="360"/>
          <w:tab w:val="left" w:pos="1134"/>
        </w:tabs>
        <w:ind w:left="567"/>
        <w:jc w:val="both"/>
        <w:rPr>
          <w:sz w:val="20"/>
          <w:lang w:val="es-ES_tradnl"/>
        </w:rPr>
      </w:pPr>
    </w:p>
    <w:p w:rsidR="00236E18" w:rsidRPr="00344B27" w:rsidRDefault="00236E18" w:rsidP="00236E18">
      <w:pPr>
        <w:widowControl w:val="0"/>
        <w:numPr>
          <w:ilvl w:val="1"/>
          <w:numId w:val="37"/>
        </w:numPr>
        <w:tabs>
          <w:tab w:val="clear" w:pos="1250"/>
          <w:tab w:val="num" w:pos="360"/>
          <w:tab w:val="left" w:pos="1134"/>
        </w:tabs>
        <w:ind w:left="567"/>
        <w:jc w:val="both"/>
        <w:rPr>
          <w:bCs/>
          <w:sz w:val="20"/>
        </w:rPr>
      </w:pPr>
      <w:r w:rsidRPr="00344B27">
        <w:rPr>
          <w:i/>
          <w:sz w:val="20"/>
          <w:lang w:val="es-ES_tradnl"/>
        </w:rPr>
        <w:t>Mejorar la gestión de las reclamaciones y conflictos</w:t>
      </w:r>
      <w:proofErr w:type="gramStart"/>
      <w:r w:rsidRPr="00344B27">
        <w:rPr>
          <w:i/>
          <w:sz w:val="20"/>
          <w:lang w:val="es-ES_tradnl"/>
        </w:rPr>
        <w:t xml:space="preserve">:  </w:t>
      </w:r>
      <w:r w:rsidRPr="00344B27">
        <w:rPr>
          <w:sz w:val="20"/>
          <w:lang w:val="es-ES_tradnl"/>
        </w:rPr>
        <w:t>La</w:t>
      </w:r>
      <w:proofErr w:type="gramEnd"/>
      <w:r w:rsidRPr="00344B27">
        <w:rPr>
          <w:sz w:val="20"/>
          <w:lang w:val="es-ES_tradnl"/>
        </w:rPr>
        <w:t xml:space="preserve"> Organización seguirá fomentando el uso de mecanismos informales, en la medida de lo posible, para impedir que se intensifiquen los conflictos y lograr soluciones satisfactorias.  </w:t>
      </w:r>
      <w:r w:rsidRPr="00344B27">
        <w:rPr>
          <w:sz w:val="20"/>
        </w:rPr>
        <w:t>Con tal fin, la Organización seguirá desarrollando y fortaleciendo políticas, mecanismos y procedimientos relativos al entorno laboral, ofreciendo así al personal un conjunto de posibilidades para resolver los conflictos de manera formal o informal.</w:t>
      </w:r>
    </w:p>
    <w:p w:rsidR="00236E18" w:rsidRPr="00344B27" w:rsidRDefault="00236E18" w:rsidP="00236E18">
      <w:pPr>
        <w:widowControl w:val="0"/>
        <w:tabs>
          <w:tab w:val="num" w:pos="709"/>
        </w:tabs>
        <w:rPr>
          <w:i/>
          <w:sz w:val="20"/>
        </w:rPr>
      </w:pPr>
    </w:p>
    <w:p w:rsidR="00236E18" w:rsidRPr="00344B27" w:rsidRDefault="00236E18" w:rsidP="00236E18">
      <w:pPr>
        <w:widowControl w:val="0"/>
        <w:jc w:val="both"/>
      </w:pPr>
    </w:p>
    <w:p w:rsidR="00236E18" w:rsidRPr="00344B27" w:rsidRDefault="00236E18" w:rsidP="00236E18">
      <w:pPr>
        <w:pStyle w:val="BodyText"/>
        <w:widowControl w:val="0"/>
        <w:spacing w:after="0"/>
      </w:pPr>
      <w:r w:rsidRPr="00344B27">
        <w:t>PRINCIPALES RIESGOS Y ESTRATEGIAS DE MITIGACIÓN</w:t>
      </w:r>
    </w:p>
    <w:p w:rsidR="00236E18" w:rsidRPr="00344B27" w:rsidRDefault="00236E18" w:rsidP="00236E18">
      <w:pPr>
        <w:pStyle w:val="BodyText"/>
        <w:widowControl w:val="0"/>
        <w:spacing w:after="0"/>
        <w:rPr>
          <w:szCs w:val="22"/>
        </w:rPr>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95"/>
        <w:gridCol w:w="4961"/>
      </w:tblGrid>
      <w:tr w:rsidR="00236E18" w:rsidRPr="00344B27" w:rsidTr="00294272">
        <w:trPr>
          <w:trHeight w:val="577"/>
        </w:trPr>
        <w:tc>
          <w:tcPr>
            <w:tcW w:w="4395" w:type="dxa"/>
            <w:tcBorders>
              <w:top w:val="single" w:sz="4" w:space="0" w:color="auto"/>
              <w:bottom w:val="single" w:sz="4" w:space="0" w:color="auto"/>
            </w:tcBorders>
            <w:shd w:val="clear" w:color="auto" w:fill="C6D9F1"/>
            <w:vAlign w:val="center"/>
          </w:tcPr>
          <w:p w:rsidR="00236E18" w:rsidRPr="00344B27" w:rsidRDefault="00236E18" w:rsidP="00294272">
            <w:pPr>
              <w:widowControl w:val="0"/>
              <w:jc w:val="center"/>
              <w:rPr>
                <w:b/>
                <w:bCs/>
                <w:sz w:val="18"/>
                <w:szCs w:val="18"/>
              </w:rPr>
            </w:pPr>
            <w:r w:rsidRPr="00344B27">
              <w:rPr>
                <w:b/>
                <w:bCs/>
                <w:sz w:val="18"/>
                <w:szCs w:val="18"/>
              </w:rPr>
              <w:t>Riesgo</w:t>
            </w:r>
          </w:p>
        </w:tc>
        <w:tc>
          <w:tcPr>
            <w:tcW w:w="4961" w:type="dxa"/>
            <w:tcBorders>
              <w:top w:val="single" w:sz="4" w:space="0" w:color="auto"/>
              <w:bottom w:val="single" w:sz="4" w:space="0" w:color="auto"/>
            </w:tcBorders>
            <w:shd w:val="clear" w:color="auto" w:fill="C6D9F1"/>
            <w:vAlign w:val="center"/>
          </w:tcPr>
          <w:p w:rsidR="00236E18" w:rsidRPr="00344B27" w:rsidRDefault="00236E18" w:rsidP="00294272">
            <w:pPr>
              <w:widowControl w:val="0"/>
              <w:jc w:val="center"/>
              <w:rPr>
                <w:b/>
                <w:bCs/>
                <w:sz w:val="18"/>
                <w:szCs w:val="18"/>
              </w:rPr>
            </w:pPr>
            <w:r w:rsidRPr="00344B27">
              <w:rPr>
                <w:b/>
                <w:bCs/>
                <w:sz w:val="18"/>
                <w:szCs w:val="18"/>
              </w:rPr>
              <w:t>Mitigación</w:t>
            </w:r>
          </w:p>
        </w:tc>
      </w:tr>
      <w:tr w:rsidR="00236E18" w:rsidRPr="004950EE" w:rsidTr="00294272">
        <w:trPr>
          <w:trHeight w:val="224"/>
        </w:trPr>
        <w:tc>
          <w:tcPr>
            <w:tcW w:w="4395"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236E18" w:rsidRPr="00344B27" w:rsidRDefault="00236E18" w:rsidP="00294272">
            <w:pPr>
              <w:widowControl w:val="0"/>
              <w:rPr>
                <w:sz w:val="16"/>
                <w:szCs w:val="16"/>
              </w:rPr>
            </w:pPr>
            <w:r w:rsidRPr="00344B27">
              <w:rPr>
                <w:sz w:val="16"/>
                <w:szCs w:val="16"/>
              </w:rPr>
              <w:t>La colaboración eficaz de la OMPI con los Estados miembros tiene una importancia primordial para lograr resultados puntuales.   Existe el riesgo de que se atenúen los avances en los procesos intergubernamentales de la OMPI, como por ejemplo los debates normativos, y aumenten los costos o se amplíen los calendarios de ejecución de los programas aprobados.  Esa situación repercutiría negativamente en la credibilidad de la OMPI en tanto que organismo internacional dedicado al establecimiento de normas de P.I.</w:t>
            </w:r>
          </w:p>
        </w:tc>
        <w:tc>
          <w:tcPr>
            <w:tcW w:w="4961"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236E18" w:rsidRPr="00344B27" w:rsidRDefault="00236E18" w:rsidP="00294272">
            <w:pPr>
              <w:widowControl w:val="0"/>
              <w:rPr>
                <w:sz w:val="16"/>
                <w:szCs w:val="16"/>
              </w:rPr>
            </w:pPr>
            <w:r w:rsidRPr="00344B27">
              <w:rPr>
                <w:sz w:val="16"/>
                <w:szCs w:val="16"/>
              </w:rPr>
              <w:t>Seguir manteniendo una coordinación estrecha, transparente y basada en la confianza entre la Secretaría y los Estados miembros.</w:t>
            </w:r>
          </w:p>
        </w:tc>
      </w:tr>
    </w:tbl>
    <w:p w:rsidR="00236E18" w:rsidRPr="00344B27" w:rsidRDefault="00236E18" w:rsidP="00236E18">
      <w:pPr>
        <w:widowControl w:val="0"/>
        <w:rPr>
          <w:sz w:val="20"/>
        </w:rPr>
      </w:pPr>
    </w:p>
    <w:p w:rsidR="00236E18" w:rsidRDefault="00236E18" w:rsidP="00236E18">
      <w:pPr>
        <w:rPr>
          <w:sz w:val="20"/>
        </w:rPr>
      </w:pPr>
      <w:r>
        <w:rPr>
          <w:sz w:val="20"/>
        </w:rPr>
        <w:br w:type="page"/>
      </w:r>
    </w:p>
    <w:p w:rsidR="00236E18" w:rsidRPr="00344B27" w:rsidRDefault="00236E18" w:rsidP="00236E18">
      <w:pPr>
        <w:widowControl w:val="0"/>
        <w:rPr>
          <w:szCs w:val="22"/>
        </w:rPr>
      </w:pPr>
      <w:r w:rsidRPr="00344B27">
        <w:rPr>
          <w:szCs w:val="22"/>
        </w:rPr>
        <w:lastRenderedPageBreak/>
        <w:t xml:space="preserve">MARCO DE RESULTADOS </w:t>
      </w:r>
    </w:p>
    <w:p w:rsidR="00236E18" w:rsidRPr="00344B27" w:rsidRDefault="00236E18" w:rsidP="00236E18">
      <w:pPr>
        <w:widowControl w:val="0"/>
        <w:rPr>
          <w:szCs w:val="22"/>
        </w:rPr>
      </w:pPr>
    </w:p>
    <w:tbl>
      <w:tblPr>
        <w:tblW w:w="9699" w:type="dxa"/>
        <w:tblInd w:w="93" w:type="dxa"/>
        <w:tblLook w:val="04A0" w:firstRow="1" w:lastRow="0" w:firstColumn="1" w:lastColumn="0" w:noHBand="0" w:noVBand="1"/>
      </w:tblPr>
      <w:tblGrid>
        <w:gridCol w:w="2560"/>
        <w:gridCol w:w="2560"/>
        <w:gridCol w:w="2266"/>
        <w:gridCol w:w="2313"/>
      </w:tblGrid>
      <w:tr w:rsidR="00236E18" w:rsidRPr="00344B27" w:rsidTr="00294272">
        <w:trPr>
          <w:trHeight w:val="645"/>
        </w:trPr>
        <w:tc>
          <w:tcPr>
            <w:tcW w:w="2560" w:type="dxa"/>
            <w:tcBorders>
              <w:top w:val="single" w:sz="4" w:space="0" w:color="auto"/>
              <w:left w:val="single" w:sz="4" w:space="0" w:color="auto"/>
              <w:bottom w:val="single" w:sz="4" w:space="0" w:color="auto"/>
              <w:right w:val="nil"/>
            </w:tcBorders>
            <w:shd w:val="clear" w:color="auto" w:fill="C6D9F1"/>
            <w:vAlign w:val="center"/>
            <w:hideMark/>
          </w:tcPr>
          <w:p w:rsidR="00236E18" w:rsidRPr="00344B27" w:rsidRDefault="00236E18" w:rsidP="00294272">
            <w:pPr>
              <w:widowControl w:val="0"/>
              <w:jc w:val="center"/>
              <w:rPr>
                <w:b/>
                <w:bCs/>
                <w:sz w:val="18"/>
                <w:szCs w:val="18"/>
              </w:rPr>
            </w:pPr>
            <w:r w:rsidRPr="00344B27">
              <w:rPr>
                <w:b/>
                <w:bCs/>
                <w:sz w:val="18"/>
                <w:szCs w:val="18"/>
              </w:rPr>
              <w:t>Resultados previstos</w:t>
            </w:r>
          </w:p>
        </w:tc>
        <w:tc>
          <w:tcPr>
            <w:tcW w:w="2560" w:type="dxa"/>
            <w:tcBorders>
              <w:top w:val="single" w:sz="4" w:space="0" w:color="auto"/>
              <w:left w:val="nil"/>
              <w:bottom w:val="single" w:sz="4" w:space="0" w:color="auto"/>
              <w:right w:val="nil"/>
            </w:tcBorders>
            <w:shd w:val="clear" w:color="auto" w:fill="C6D9F1"/>
            <w:vAlign w:val="center"/>
            <w:hideMark/>
          </w:tcPr>
          <w:p w:rsidR="00236E18" w:rsidRPr="00344B27" w:rsidRDefault="00236E18" w:rsidP="00294272">
            <w:pPr>
              <w:widowControl w:val="0"/>
              <w:jc w:val="center"/>
              <w:rPr>
                <w:b/>
                <w:bCs/>
                <w:sz w:val="18"/>
                <w:szCs w:val="18"/>
              </w:rPr>
            </w:pPr>
            <w:r w:rsidRPr="00344B27">
              <w:rPr>
                <w:b/>
                <w:bCs/>
                <w:sz w:val="18"/>
                <w:szCs w:val="18"/>
              </w:rPr>
              <w:t>Indicadores de rendimiento</w:t>
            </w:r>
          </w:p>
        </w:tc>
        <w:tc>
          <w:tcPr>
            <w:tcW w:w="2266" w:type="dxa"/>
            <w:tcBorders>
              <w:top w:val="single" w:sz="4" w:space="0" w:color="auto"/>
              <w:left w:val="nil"/>
              <w:bottom w:val="single" w:sz="4" w:space="0" w:color="auto"/>
              <w:right w:val="nil"/>
            </w:tcBorders>
            <w:shd w:val="clear" w:color="auto" w:fill="C6D9F1"/>
            <w:vAlign w:val="center"/>
            <w:hideMark/>
          </w:tcPr>
          <w:p w:rsidR="00236E18" w:rsidRPr="00344B27" w:rsidRDefault="00236E18" w:rsidP="00294272">
            <w:pPr>
              <w:widowControl w:val="0"/>
              <w:jc w:val="center"/>
              <w:rPr>
                <w:b/>
                <w:bCs/>
                <w:sz w:val="18"/>
                <w:szCs w:val="18"/>
              </w:rPr>
            </w:pPr>
            <w:r w:rsidRPr="00344B27">
              <w:rPr>
                <w:b/>
                <w:bCs/>
                <w:sz w:val="18"/>
                <w:szCs w:val="18"/>
              </w:rPr>
              <w:t>Referencia</w:t>
            </w:r>
          </w:p>
        </w:tc>
        <w:tc>
          <w:tcPr>
            <w:tcW w:w="2313" w:type="dxa"/>
            <w:tcBorders>
              <w:top w:val="single" w:sz="4" w:space="0" w:color="auto"/>
              <w:left w:val="nil"/>
              <w:bottom w:val="single" w:sz="4" w:space="0" w:color="auto"/>
              <w:right w:val="single" w:sz="4" w:space="0" w:color="auto"/>
            </w:tcBorders>
            <w:shd w:val="clear" w:color="auto" w:fill="C6D9F1"/>
            <w:vAlign w:val="center"/>
            <w:hideMark/>
          </w:tcPr>
          <w:p w:rsidR="00236E18" w:rsidRPr="00344B27" w:rsidRDefault="00236E18" w:rsidP="00294272">
            <w:pPr>
              <w:widowControl w:val="0"/>
              <w:jc w:val="center"/>
              <w:rPr>
                <w:b/>
                <w:bCs/>
                <w:sz w:val="18"/>
                <w:szCs w:val="18"/>
              </w:rPr>
            </w:pPr>
            <w:r w:rsidRPr="00344B27">
              <w:rPr>
                <w:b/>
                <w:bCs/>
                <w:sz w:val="18"/>
                <w:szCs w:val="18"/>
              </w:rPr>
              <w:t>Objetivos</w:t>
            </w:r>
          </w:p>
        </w:tc>
      </w:tr>
      <w:tr w:rsidR="00236E18" w:rsidRPr="00344B27" w:rsidTr="00294272">
        <w:trPr>
          <w:trHeight w:val="1098"/>
        </w:trPr>
        <w:tc>
          <w:tcPr>
            <w:tcW w:w="2560" w:type="dxa"/>
            <w:tcBorders>
              <w:top w:val="nil"/>
              <w:left w:val="single" w:sz="4" w:space="0" w:color="auto"/>
              <w:bottom w:val="nil"/>
              <w:right w:val="nil"/>
            </w:tcBorders>
            <w:shd w:val="clear" w:color="000000" w:fill="FFFFFF"/>
            <w:hideMark/>
          </w:tcPr>
          <w:p w:rsidR="00236E18" w:rsidRPr="006038F1" w:rsidRDefault="00236E18" w:rsidP="00294272">
            <w:pPr>
              <w:widowControl w:val="0"/>
              <w:rPr>
                <w:sz w:val="16"/>
                <w:szCs w:val="16"/>
              </w:rPr>
            </w:pPr>
          </w:p>
          <w:p w:rsidR="00236E18" w:rsidRPr="006038F1" w:rsidRDefault="00236E18" w:rsidP="00294272">
            <w:pPr>
              <w:widowControl w:val="0"/>
              <w:rPr>
                <w:sz w:val="16"/>
                <w:szCs w:val="16"/>
              </w:rPr>
            </w:pPr>
            <w:r w:rsidRPr="006038F1">
              <w:rPr>
                <w:sz w:val="16"/>
                <w:szCs w:val="16"/>
              </w:rPr>
              <w:t xml:space="preserve">IV.2  </w:t>
            </w:r>
            <w:r w:rsidRPr="006038F1">
              <w:rPr>
                <w:sz w:val="16"/>
                <w:szCs w:val="16"/>
                <w:lang w:val="es-ES_tradnl"/>
              </w:rPr>
              <w:t>Mejora del acceso y uso de información de P.I. por parte de instituciones de P.I. y el público para fomentar la innovación y la creatividad</w:t>
            </w:r>
          </w:p>
        </w:tc>
        <w:tc>
          <w:tcPr>
            <w:tcW w:w="2560" w:type="dxa"/>
            <w:tcBorders>
              <w:top w:val="nil"/>
              <w:left w:val="nil"/>
              <w:bottom w:val="nil"/>
              <w:right w:val="nil"/>
            </w:tcBorders>
            <w:shd w:val="clear" w:color="000000" w:fill="FFFFFF"/>
            <w:hideMark/>
          </w:tcPr>
          <w:p w:rsidR="00236E18" w:rsidRPr="00344B27" w:rsidRDefault="00236E18" w:rsidP="00294272">
            <w:pPr>
              <w:widowControl w:val="0"/>
              <w:ind w:left="182"/>
              <w:rPr>
                <w:sz w:val="16"/>
                <w:szCs w:val="16"/>
              </w:rPr>
            </w:pPr>
          </w:p>
          <w:p w:rsidR="00236E18" w:rsidRPr="00344B27" w:rsidRDefault="00236E18" w:rsidP="00294272">
            <w:pPr>
              <w:widowControl w:val="0"/>
              <w:ind w:left="63"/>
              <w:rPr>
                <w:sz w:val="16"/>
                <w:szCs w:val="16"/>
              </w:rPr>
            </w:pPr>
            <w:r w:rsidRPr="00344B27">
              <w:rPr>
                <w:sz w:val="16"/>
                <w:szCs w:val="16"/>
              </w:rPr>
              <w:t xml:space="preserve">Aumento del número de usuarios de WIPO </w:t>
            </w:r>
            <w:proofErr w:type="spellStart"/>
            <w:r w:rsidRPr="00344B27">
              <w:rPr>
                <w:sz w:val="16"/>
                <w:szCs w:val="16"/>
              </w:rPr>
              <w:t>Lex</w:t>
            </w:r>
            <w:proofErr w:type="spellEnd"/>
            <w:r>
              <w:rPr>
                <w:sz w:val="16"/>
                <w:szCs w:val="16"/>
              </w:rPr>
              <w:t>.</w:t>
            </w:r>
          </w:p>
        </w:tc>
        <w:tc>
          <w:tcPr>
            <w:tcW w:w="2266" w:type="dxa"/>
            <w:tcBorders>
              <w:top w:val="nil"/>
              <w:left w:val="nil"/>
              <w:bottom w:val="nil"/>
              <w:right w:val="nil"/>
            </w:tcBorders>
            <w:shd w:val="clear" w:color="000000" w:fill="FFFFFF"/>
            <w:hideMark/>
          </w:tcPr>
          <w:p w:rsidR="00236E18" w:rsidRPr="00344B27" w:rsidRDefault="00236E18" w:rsidP="00294272">
            <w:pPr>
              <w:widowControl w:val="0"/>
              <w:ind w:left="316" w:firstLineChars="2" w:firstLine="3"/>
              <w:rPr>
                <w:sz w:val="16"/>
                <w:szCs w:val="16"/>
              </w:rPr>
            </w:pPr>
          </w:p>
          <w:p w:rsidR="00236E18" w:rsidRPr="00344B27" w:rsidRDefault="00236E18" w:rsidP="00294272">
            <w:pPr>
              <w:widowControl w:val="0"/>
              <w:ind w:left="107" w:firstLineChars="2" w:firstLine="3"/>
              <w:rPr>
                <w:sz w:val="16"/>
                <w:szCs w:val="16"/>
              </w:rPr>
            </w:pPr>
            <w:r w:rsidRPr="00344B27">
              <w:rPr>
                <w:sz w:val="16"/>
                <w:szCs w:val="16"/>
              </w:rPr>
              <w:t>2.36.486 (2012/13)</w:t>
            </w:r>
          </w:p>
          <w:p w:rsidR="00236E18" w:rsidRPr="00344B27" w:rsidRDefault="00236E18" w:rsidP="00294272">
            <w:pPr>
              <w:widowControl w:val="0"/>
              <w:ind w:left="107" w:firstLineChars="2" w:firstLine="3"/>
              <w:rPr>
                <w:sz w:val="16"/>
                <w:szCs w:val="16"/>
              </w:rPr>
            </w:pPr>
            <w:r w:rsidRPr="00344B27">
              <w:rPr>
                <w:sz w:val="16"/>
                <w:szCs w:val="16"/>
              </w:rPr>
              <w:t>1.506.508 (2014)</w:t>
            </w:r>
            <w:r>
              <w:rPr>
                <w:sz w:val="16"/>
                <w:szCs w:val="16"/>
              </w:rPr>
              <w:t>.</w:t>
            </w:r>
          </w:p>
        </w:tc>
        <w:tc>
          <w:tcPr>
            <w:tcW w:w="2313" w:type="dxa"/>
            <w:tcBorders>
              <w:top w:val="nil"/>
              <w:left w:val="nil"/>
              <w:bottom w:val="nil"/>
              <w:right w:val="single" w:sz="4" w:space="0" w:color="auto"/>
            </w:tcBorders>
            <w:shd w:val="clear" w:color="000000" w:fill="FFFFFF"/>
            <w:hideMark/>
          </w:tcPr>
          <w:p w:rsidR="00236E18" w:rsidRPr="00344B27" w:rsidRDefault="00236E18" w:rsidP="00294272">
            <w:pPr>
              <w:widowControl w:val="0"/>
              <w:ind w:left="220" w:firstLineChars="62" w:firstLine="99"/>
              <w:rPr>
                <w:sz w:val="16"/>
                <w:szCs w:val="16"/>
              </w:rPr>
            </w:pPr>
          </w:p>
          <w:p w:rsidR="00236E18" w:rsidRPr="00344B27" w:rsidRDefault="00236E18" w:rsidP="00294272">
            <w:pPr>
              <w:widowControl w:val="0"/>
              <w:ind w:left="34"/>
              <w:rPr>
                <w:sz w:val="16"/>
                <w:szCs w:val="16"/>
              </w:rPr>
            </w:pPr>
            <w:r w:rsidRPr="00344B27">
              <w:rPr>
                <w:sz w:val="16"/>
                <w:szCs w:val="16"/>
              </w:rPr>
              <w:t>Aumento del 20%</w:t>
            </w:r>
            <w:r>
              <w:rPr>
                <w:sz w:val="16"/>
                <w:szCs w:val="16"/>
              </w:rPr>
              <w:t>.</w:t>
            </w:r>
          </w:p>
        </w:tc>
      </w:tr>
      <w:tr w:rsidR="00236E18" w:rsidRPr="00344B27" w:rsidTr="00294272">
        <w:trPr>
          <w:trHeight w:val="905"/>
        </w:trPr>
        <w:tc>
          <w:tcPr>
            <w:tcW w:w="2560" w:type="dxa"/>
            <w:vMerge w:val="restart"/>
            <w:tcBorders>
              <w:top w:val="nil"/>
              <w:left w:val="single" w:sz="4" w:space="0" w:color="auto"/>
              <w:bottom w:val="nil"/>
              <w:right w:val="nil"/>
            </w:tcBorders>
            <w:shd w:val="clear" w:color="000000" w:fill="FFFFFF"/>
            <w:hideMark/>
          </w:tcPr>
          <w:p w:rsidR="00236E18" w:rsidRPr="006038F1" w:rsidRDefault="00236E18" w:rsidP="00294272">
            <w:pPr>
              <w:widowControl w:val="0"/>
              <w:rPr>
                <w:sz w:val="16"/>
                <w:szCs w:val="16"/>
              </w:rPr>
            </w:pPr>
            <w:r w:rsidRPr="006038F1">
              <w:rPr>
                <w:sz w:val="16"/>
                <w:szCs w:val="16"/>
              </w:rPr>
              <w:t xml:space="preserve">VIII.3  </w:t>
            </w:r>
            <w:r w:rsidRPr="006038F1">
              <w:rPr>
                <w:sz w:val="16"/>
                <w:szCs w:val="16"/>
                <w:lang w:val="es-ES_tradnl"/>
              </w:rPr>
              <w:t>Atención eficaz a los Estados miembros</w:t>
            </w:r>
          </w:p>
        </w:tc>
        <w:tc>
          <w:tcPr>
            <w:tcW w:w="2560" w:type="dxa"/>
            <w:tcBorders>
              <w:top w:val="nil"/>
              <w:left w:val="nil"/>
              <w:bottom w:val="nil"/>
              <w:right w:val="nil"/>
            </w:tcBorders>
            <w:shd w:val="clear" w:color="000000" w:fill="FFFFFF"/>
            <w:hideMark/>
          </w:tcPr>
          <w:p w:rsidR="00236E18" w:rsidRPr="00344B27" w:rsidRDefault="00236E18" w:rsidP="00294272">
            <w:pPr>
              <w:widowControl w:val="0"/>
              <w:ind w:left="63"/>
              <w:rPr>
                <w:sz w:val="16"/>
                <w:szCs w:val="16"/>
              </w:rPr>
            </w:pPr>
            <w:r w:rsidRPr="00344B27">
              <w:rPr>
                <w:sz w:val="16"/>
                <w:szCs w:val="16"/>
              </w:rPr>
              <w:t>Porcentaje de sesiones de Comités precedidas de reuniones informativas para los Estados miembros</w:t>
            </w:r>
            <w:r>
              <w:rPr>
                <w:sz w:val="16"/>
                <w:szCs w:val="16"/>
              </w:rPr>
              <w:t>.</w:t>
            </w:r>
          </w:p>
        </w:tc>
        <w:tc>
          <w:tcPr>
            <w:tcW w:w="2266" w:type="dxa"/>
            <w:tcBorders>
              <w:top w:val="nil"/>
              <w:left w:val="nil"/>
              <w:bottom w:val="nil"/>
              <w:right w:val="nil"/>
            </w:tcBorders>
            <w:shd w:val="clear" w:color="000000" w:fill="FFFFFF"/>
            <w:hideMark/>
          </w:tcPr>
          <w:p w:rsidR="00236E18" w:rsidRPr="00344B27" w:rsidRDefault="00236E18" w:rsidP="00294272">
            <w:pPr>
              <w:widowControl w:val="0"/>
              <w:ind w:left="107" w:firstLineChars="2" w:firstLine="3"/>
              <w:rPr>
                <w:sz w:val="16"/>
                <w:szCs w:val="16"/>
              </w:rPr>
            </w:pPr>
            <w:r w:rsidRPr="00344B27">
              <w:rPr>
                <w:sz w:val="16"/>
                <w:szCs w:val="16"/>
              </w:rPr>
              <w:t>El 93% (finales de 2014)</w:t>
            </w:r>
            <w:r>
              <w:rPr>
                <w:sz w:val="16"/>
                <w:szCs w:val="16"/>
              </w:rPr>
              <w:t>.</w:t>
            </w:r>
          </w:p>
        </w:tc>
        <w:tc>
          <w:tcPr>
            <w:tcW w:w="2313" w:type="dxa"/>
            <w:tcBorders>
              <w:top w:val="nil"/>
              <w:left w:val="nil"/>
              <w:bottom w:val="nil"/>
              <w:right w:val="single" w:sz="4" w:space="0" w:color="auto"/>
            </w:tcBorders>
            <w:shd w:val="clear" w:color="000000" w:fill="FFFFFF"/>
            <w:hideMark/>
          </w:tcPr>
          <w:p w:rsidR="00236E18" w:rsidRPr="00344B27" w:rsidRDefault="00236E18" w:rsidP="00294272">
            <w:pPr>
              <w:widowControl w:val="0"/>
              <w:ind w:left="34"/>
              <w:rPr>
                <w:sz w:val="16"/>
                <w:szCs w:val="16"/>
              </w:rPr>
            </w:pPr>
            <w:r w:rsidRPr="00344B27">
              <w:rPr>
                <w:sz w:val="16"/>
                <w:szCs w:val="16"/>
              </w:rPr>
              <w:t>El 90%</w:t>
            </w:r>
            <w:r>
              <w:rPr>
                <w:sz w:val="16"/>
                <w:szCs w:val="16"/>
              </w:rPr>
              <w:t>.</w:t>
            </w:r>
          </w:p>
        </w:tc>
      </w:tr>
      <w:tr w:rsidR="00236E18" w:rsidRPr="00063F4E" w:rsidTr="00294272">
        <w:trPr>
          <w:trHeight w:val="887"/>
        </w:trPr>
        <w:tc>
          <w:tcPr>
            <w:tcW w:w="2560" w:type="dxa"/>
            <w:vMerge/>
            <w:tcBorders>
              <w:top w:val="nil"/>
              <w:left w:val="single" w:sz="4" w:space="0" w:color="auto"/>
              <w:bottom w:val="nil"/>
              <w:right w:val="nil"/>
            </w:tcBorders>
            <w:vAlign w:val="center"/>
            <w:hideMark/>
          </w:tcPr>
          <w:p w:rsidR="00236E18" w:rsidRPr="00344B27" w:rsidRDefault="00236E18" w:rsidP="00294272">
            <w:pPr>
              <w:widowControl w:val="0"/>
              <w:rPr>
                <w:sz w:val="16"/>
                <w:szCs w:val="16"/>
              </w:rPr>
            </w:pPr>
          </w:p>
        </w:tc>
        <w:tc>
          <w:tcPr>
            <w:tcW w:w="2560" w:type="dxa"/>
            <w:tcBorders>
              <w:top w:val="nil"/>
              <w:left w:val="nil"/>
              <w:bottom w:val="nil"/>
              <w:right w:val="nil"/>
            </w:tcBorders>
            <w:shd w:val="clear" w:color="000000" w:fill="FFFFFF"/>
            <w:hideMark/>
          </w:tcPr>
          <w:p w:rsidR="00236E18" w:rsidRPr="00344B27" w:rsidRDefault="00236E18" w:rsidP="00294272">
            <w:pPr>
              <w:widowControl w:val="0"/>
              <w:ind w:left="63"/>
              <w:rPr>
                <w:sz w:val="16"/>
                <w:szCs w:val="16"/>
              </w:rPr>
            </w:pPr>
            <w:r w:rsidRPr="00344B27">
              <w:rPr>
                <w:sz w:val="16"/>
                <w:szCs w:val="16"/>
              </w:rPr>
              <w:t xml:space="preserve">Porcentaje de notificaciones de adhesión y otras medidas relacionadas con los tratados </w:t>
            </w:r>
            <w:proofErr w:type="gramStart"/>
            <w:r w:rsidRPr="00344B27">
              <w:rPr>
                <w:sz w:val="16"/>
                <w:szCs w:val="16"/>
              </w:rPr>
              <w:t>tramitadas</w:t>
            </w:r>
            <w:proofErr w:type="gramEnd"/>
            <w:r w:rsidRPr="00344B27">
              <w:rPr>
                <w:sz w:val="16"/>
                <w:szCs w:val="16"/>
              </w:rPr>
              <w:t xml:space="preserve"> de manera puntual</w:t>
            </w:r>
            <w:r>
              <w:rPr>
                <w:sz w:val="16"/>
                <w:szCs w:val="16"/>
              </w:rPr>
              <w:t>.</w:t>
            </w:r>
          </w:p>
        </w:tc>
        <w:tc>
          <w:tcPr>
            <w:tcW w:w="2266" w:type="dxa"/>
            <w:tcBorders>
              <w:top w:val="nil"/>
              <w:left w:val="nil"/>
              <w:bottom w:val="nil"/>
              <w:right w:val="nil"/>
            </w:tcBorders>
            <w:shd w:val="clear" w:color="000000" w:fill="FFFFFF"/>
            <w:hideMark/>
          </w:tcPr>
          <w:p w:rsidR="00236E18" w:rsidRPr="00344B27" w:rsidRDefault="00236E18" w:rsidP="00294272">
            <w:pPr>
              <w:widowControl w:val="0"/>
              <w:ind w:left="107" w:firstLineChars="2" w:firstLine="3"/>
              <w:rPr>
                <w:sz w:val="16"/>
                <w:szCs w:val="16"/>
                <w:lang w:val="es-ES_tradnl"/>
              </w:rPr>
            </w:pPr>
            <w:r w:rsidRPr="00344B27">
              <w:rPr>
                <w:sz w:val="16"/>
                <w:szCs w:val="16"/>
                <w:lang w:val="es-ES_tradnl"/>
              </w:rPr>
              <w:t xml:space="preserve">El </w:t>
            </w:r>
            <w:r w:rsidRPr="008245AE">
              <w:rPr>
                <w:sz w:val="16"/>
                <w:szCs w:val="16"/>
              </w:rPr>
              <w:t>95</w:t>
            </w:r>
            <w:r w:rsidRPr="00344B27">
              <w:rPr>
                <w:sz w:val="16"/>
                <w:szCs w:val="16"/>
                <w:lang w:val="es-ES_tradnl"/>
              </w:rPr>
              <w:t>% se tramitó en un plazo máximo de tres días (finales de 2014)</w:t>
            </w:r>
            <w:r>
              <w:rPr>
                <w:sz w:val="16"/>
                <w:szCs w:val="16"/>
                <w:lang w:val="es-ES_tradnl"/>
              </w:rPr>
              <w:t>.</w:t>
            </w:r>
          </w:p>
        </w:tc>
        <w:tc>
          <w:tcPr>
            <w:tcW w:w="2313" w:type="dxa"/>
            <w:tcBorders>
              <w:top w:val="nil"/>
              <w:left w:val="nil"/>
              <w:bottom w:val="nil"/>
              <w:right w:val="single" w:sz="4" w:space="0" w:color="auto"/>
            </w:tcBorders>
            <w:shd w:val="clear" w:color="000000" w:fill="FFFFFF"/>
            <w:hideMark/>
          </w:tcPr>
          <w:p w:rsidR="00236E18" w:rsidRPr="00344B27" w:rsidRDefault="00236E18" w:rsidP="00294272">
            <w:pPr>
              <w:widowControl w:val="0"/>
              <w:ind w:left="34"/>
              <w:rPr>
                <w:sz w:val="16"/>
                <w:szCs w:val="16"/>
              </w:rPr>
            </w:pPr>
            <w:proofErr w:type="gramStart"/>
            <w:r w:rsidRPr="00344B27">
              <w:rPr>
                <w:sz w:val="16"/>
                <w:szCs w:val="16"/>
              </w:rPr>
              <w:t>El 95% tramitadas</w:t>
            </w:r>
            <w:proofErr w:type="gramEnd"/>
            <w:r w:rsidRPr="00344B27">
              <w:rPr>
                <w:sz w:val="16"/>
                <w:szCs w:val="16"/>
              </w:rPr>
              <w:t xml:space="preserve"> en un plazo máximo de tres días.</w:t>
            </w:r>
          </w:p>
        </w:tc>
      </w:tr>
      <w:tr w:rsidR="00236E18" w:rsidRPr="004950EE" w:rsidTr="00294272">
        <w:trPr>
          <w:trHeight w:val="914"/>
        </w:trPr>
        <w:tc>
          <w:tcPr>
            <w:tcW w:w="2560" w:type="dxa"/>
            <w:vMerge/>
            <w:tcBorders>
              <w:top w:val="nil"/>
              <w:left w:val="single" w:sz="4" w:space="0" w:color="auto"/>
              <w:bottom w:val="nil"/>
              <w:right w:val="nil"/>
            </w:tcBorders>
            <w:vAlign w:val="center"/>
            <w:hideMark/>
          </w:tcPr>
          <w:p w:rsidR="00236E18" w:rsidRPr="00344B27" w:rsidRDefault="00236E18" w:rsidP="00294272">
            <w:pPr>
              <w:widowControl w:val="0"/>
              <w:rPr>
                <w:sz w:val="16"/>
                <w:szCs w:val="16"/>
              </w:rPr>
            </w:pPr>
          </w:p>
        </w:tc>
        <w:tc>
          <w:tcPr>
            <w:tcW w:w="2560" w:type="dxa"/>
            <w:tcBorders>
              <w:top w:val="nil"/>
              <w:left w:val="nil"/>
              <w:bottom w:val="nil"/>
              <w:right w:val="nil"/>
            </w:tcBorders>
            <w:shd w:val="clear" w:color="000000" w:fill="FFFFFF"/>
            <w:hideMark/>
          </w:tcPr>
          <w:p w:rsidR="00236E18" w:rsidRPr="00344B27" w:rsidRDefault="00236E18" w:rsidP="00294272">
            <w:pPr>
              <w:widowControl w:val="0"/>
              <w:ind w:left="63"/>
              <w:rPr>
                <w:sz w:val="16"/>
                <w:szCs w:val="16"/>
              </w:rPr>
            </w:pPr>
            <w:r w:rsidRPr="00344B27">
              <w:rPr>
                <w:sz w:val="16"/>
                <w:szCs w:val="16"/>
              </w:rPr>
              <w:t>Publicación puntual de los documentos de las Asambleas</w:t>
            </w:r>
            <w:r>
              <w:rPr>
                <w:sz w:val="16"/>
                <w:szCs w:val="16"/>
              </w:rPr>
              <w:t>.</w:t>
            </w:r>
          </w:p>
        </w:tc>
        <w:tc>
          <w:tcPr>
            <w:tcW w:w="2266" w:type="dxa"/>
            <w:tcBorders>
              <w:top w:val="nil"/>
              <w:left w:val="nil"/>
              <w:bottom w:val="nil"/>
              <w:right w:val="nil"/>
            </w:tcBorders>
            <w:shd w:val="clear" w:color="000000" w:fill="FFFFFF"/>
            <w:hideMark/>
          </w:tcPr>
          <w:p w:rsidR="00236E18" w:rsidRPr="00344B27" w:rsidRDefault="00236E18" w:rsidP="00294272">
            <w:pPr>
              <w:widowControl w:val="0"/>
              <w:ind w:left="107" w:firstLineChars="2" w:firstLine="3"/>
              <w:rPr>
                <w:sz w:val="16"/>
                <w:szCs w:val="16"/>
              </w:rPr>
            </w:pPr>
            <w:r w:rsidRPr="00344B27">
              <w:rPr>
                <w:sz w:val="16"/>
                <w:szCs w:val="16"/>
              </w:rPr>
              <w:t>El 96% de los documentos pertinentes publicados al menos dos meses antes de las Asambleas de 2014</w:t>
            </w:r>
            <w:r>
              <w:rPr>
                <w:sz w:val="16"/>
                <w:szCs w:val="16"/>
              </w:rPr>
              <w:t>.</w:t>
            </w:r>
          </w:p>
        </w:tc>
        <w:tc>
          <w:tcPr>
            <w:tcW w:w="2313" w:type="dxa"/>
            <w:tcBorders>
              <w:top w:val="nil"/>
              <w:left w:val="nil"/>
              <w:bottom w:val="nil"/>
              <w:right w:val="single" w:sz="4" w:space="0" w:color="auto"/>
            </w:tcBorders>
            <w:shd w:val="clear" w:color="000000" w:fill="FFFFFF"/>
            <w:hideMark/>
          </w:tcPr>
          <w:p w:rsidR="00236E18" w:rsidRPr="00344B27" w:rsidRDefault="00236E18" w:rsidP="00294272">
            <w:pPr>
              <w:widowControl w:val="0"/>
              <w:ind w:left="34"/>
              <w:rPr>
                <w:sz w:val="16"/>
                <w:szCs w:val="16"/>
              </w:rPr>
            </w:pPr>
            <w:r w:rsidRPr="00344B27">
              <w:rPr>
                <w:sz w:val="16"/>
                <w:szCs w:val="16"/>
              </w:rPr>
              <w:t>El 95% de los documentos pertinentes publicados al menos dos meses antes de las Asambleas.</w:t>
            </w:r>
          </w:p>
        </w:tc>
      </w:tr>
      <w:tr w:rsidR="00236E18" w:rsidRPr="00344B27" w:rsidTr="00294272">
        <w:trPr>
          <w:trHeight w:val="716"/>
        </w:trPr>
        <w:tc>
          <w:tcPr>
            <w:tcW w:w="2560" w:type="dxa"/>
            <w:vMerge/>
            <w:tcBorders>
              <w:top w:val="nil"/>
              <w:left w:val="single" w:sz="4" w:space="0" w:color="auto"/>
              <w:bottom w:val="nil"/>
              <w:right w:val="nil"/>
            </w:tcBorders>
            <w:vAlign w:val="center"/>
            <w:hideMark/>
          </w:tcPr>
          <w:p w:rsidR="00236E18" w:rsidRPr="00344B27" w:rsidRDefault="00236E18" w:rsidP="00294272">
            <w:pPr>
              <w:widowControl w:val="0"/>
              <w:rPr>
                <w:sz w:val="16"/>
                <w:szCs w:val="16"/>
              </w:rPr>
            </w:pPr>
          </w:p>
        </w:tc>
        <w:tc>
          <w:tcPr>
            <w:tcW w:w="2560" w:type="dxa"/>
            <w:tcBorders>
              <w:top w:val="nil"/>
              <w:left w:val="nil"/>
              <w:bottom w:val="nil"/>
              <w:right w:val="nil"/>
            </w:tcBorders>
            <w:shd w:val="clear" w:color="000000" w:fill="FFFFFF"/>
            <w:hideMark/>
          </w:tcPr>
          <w:p w:rsidR="00236E18" w:rsidRDefault="00236E18" w:rsidP="00294272">
            <w:pPr>
              <w:widowControl w:val="0"/>
              <w:ind w:left="63"/>
              <w:rPr>
                <w:sz w:val="16"/>
                <w:szCs w:val="16"/>
              </w:rPr>
            </w:pPr>
            <w:r w:rsidRPr="00344B27">
              <w:rPr>
                <w:sz w:val="16"/>
                <w:szCs w:val="16"/>
              </w:rPr>
              <w:t>Índice de satisfacción de los Estados miembros y otras partes interesadas con la organización de reuniones</w:t>
            </w:r>
            <w:r>
              <w:rPr>
                <w:sz w:val="16"/>
                <w:szCs w:val="16"/>
              </w:rPr>
              <w:t>.</w:t>
            </w:r>
          </w:p>
          <w:p w:rsidR="00236E18" w:rsidRPr="00344B27" w:rsidRDefault="00236E18" w:rsidP="00294272">
            <w:pPr>
              <w:widowControl w:val="0"/>
              <w:ind w:left="182"/>
              <w:rPr>
                <w:sz w:val="16"/>
                <w:szCs w:val="16"/>
              </w:rPr>
            </w:pPr>
          </w:p>
        </w:tc>
        <w:tc>
          <w:tcPr>
            <w:tcW w:w="2266" w:type="dxa"/>
            <w:tcBorders>
              <w:top w:val="nil"/>
              <w:left w:val="nil"/>
              <w:bottom w:val="nil"/>
              <w:right w:val="nil"/>
            </w:tcBorders>
            <w:shd w:val="clear" w:color="000000" w:fill="FFFFFF"/>
            <w:hideMark/>
          </w:tcPr>
          <w:p w:rsidR="00236E18" w:rsidRPr="00344B27" w:rsidRDefault="00236E18" w:rsidP="00294272">
            <w:pPr>
              <w:widowControl w:val="0"/>
              <w:ind w:left="107" w:firstLineChars="2" w:firstLine="3"/>
              <w:rPr>
                <w:sz w:val="16"/>
                <w:szCs w:val="16"/>
              </w:rPr>
            </w:pPr>
            <w:r w:rsidRPr="00344B27">
              <w:rPr>
                <w:sz w:val="16"/>
                <w:szCs w:val="16"/>
              </w:rPr>
              <w:t xml:space="preserve">Resultados de la encuesta </w:t>
            </w:r>
            <w:r>
              <w:rPr>
                <w:sz w:val="16"/>
                <w:szCs w:val="16"/>
              </w:rPr>
              <w:t>de</w:t>
            </w:r>
            <w:r w:rsidRPr="00344B27">
              <w:rPr>
                <w:sz w:val="16"/>
                <w:szCs w:val="16"/>
              </w:rPr>
              <w:t xml:space="preserve"> 2014</w:t>
            </w:r>
            <w:proofErr w:type="gramStart"/>
            <w:r w:rsidRPr="00344B27">
              <w:rPr>
                <w:sz w:val="16"/>
                <w:szCs w:val="16"/>
              </w:rPr>
              <w:t>:  el</w:t>
            </w:r>
            <w:proofErr w:type="gramEnd"/>
            <w:r w:rsidRPr="00344B27">
              <w:rPr>
                <w:sz w:val="16"/>
                <w:szCs w:val="16"/>
              </w:rPr>
              <w:t xml:space="preserve"> 82%</w:t>
            </w:r>
            <w:r>
              <w:rPr>
                <w:sz w:val="16"/>
                <w:szCs w:val="16"/>
              </w:rPr>
              <w:t>.</w:t>
            </w:r>
          </w:p>
        </w:tc>
        <w:tc>
          <w:tcPr>
            <w:tcW w:w="2313" w:type="dxa"/>
            <w:tcBorders>
              <w:top w:val="nil"/>
              <w:left w:val="nil"/>
              <w:bottom w:val="nil"/>
              <w:right w:val="single" w:sz="4" w:space="0" w:color="auto"/>
            </w:tcBorders>
            <w:shd w:val="clear" w:color="000000" w:fill="FFFFFF"/>
            <w:hideMark/>
          </w:tcPr>
          <w:p w:rsidR="00236E18" w:rsidRPr="00344B27" w:rsidRDefault="00236E18" w:rsidP="00294272">
            <w:pPr>
              <w:widowControl w:val="0"/>
              <w:ind w:left="34"/>
              <w:rPr>
                <w:sz w:val="16"/>
                <w:szCs w:val="16"/>
              </w:rPr>
            </w:pPr>
            <w:r w:rsidRPr="00344B27">
              <w:rPr>
                <w:sz w:val="16"/>
                <w:szCs w:val="16"/>
              </w:rPr>
              <w:t>El 85%</w:t>
            </w:r>
            <w:r>
              <w:rPr>
                <w:sz w:val="16"/>
                <w:szCs w:val="16"/>
              </w:rPr>
              <w:t>.</w:t>
            </w:r>
          </w:p>
        </w:tc>
      </w:tr>
      <w:tr w:rsidR="00236E18" w:rsidRPr="004950EE" w:rsidTr="00294272">
        <w:trPr>
          <w:trHeight w:val="887"/>
        </w:trPr>
        <w:tc>
          <w:tcPr>
            <w:tcW w:w="2560" w:type="dxa"/>
            <w:vMerge/>
            <w:tcBorders>
              <w:top w:val="nil"/>
              <w:left w:val="single" w:sz="4" w:space="0" w:color="auto"/>
              <w:bottom w:val="nil"/>
              <w:right w:val="nil"/>
            </w:tcBorders>
            <w:vAlign w:val="center"/>
            <w:hideMark/>
          </w:tcPr>
          <w:p w:rsidR="00236E18" w:rsidRPr="00344B27" w:rsidRDefault="00236E18" w:rsidP="00294272">
            <w:pPr>
              <w:widowControl w:val="0"/>
              <w:rPr>
                <w:sz w:val="16"/>
                <w:szCs w:val="16"/>
              </w:rPr>
            </w:pPr>
          </w:p>
        </w:tc>
        <w:tc>
          <w:tcPr>
            <w:tcW w:w="2560" w:type="dxa"/>
            <w:tcBorders>
              <w:top w:val="nil"/>
              <w:left w:val="nil"/>
              <w:bottom w:val="nil"/>
              <w:right w:val="nil"/>
            </w:tcBorders>
            <w:shd w:val="clear" w:color="000000" w:fill="FFFFFF"/>
            <w:hideMark/>
          </w:tcPr>
          <w:p w:rsidR="00236E18" w:rsidRPr="00344B27" w:rsidRDefault="00236E18" w:rsidP="00294272">
            <w:pPr>
              <w:widowControl w:val="0"/>
              <w:ind w:left="63"/>
              <w:rPr>
                <w:sz w:val="16"/>
                <w:szCs w:val="16"/>
                <w:lang w:val="es-ES_tradnl"/>
              </w:rPr>
            </w:pPr>
            <w:r w:rsidRPr="00344B27">
              <w:rPr>
                <w:sz w:val="16"/>
                <w:szCs w:val="16"/>
                <w:lang w:val="es-ES_tradnl"/>
              </w:rPr>
              <w:t xml:space="preserve">Nivel de </w:t>
            </w:r>
            <w:r w:rsidRPr="008245AE">
              <w:rPr>
                <w:sz w:val="16"/>
                <w:szCs w:val="16"/>
              </w:rPr>
              <w:t>satisfacción</w:t>
            </w:r>
            <w:r w:rsidRPr="00344B27">
              <w:rPr>
                <w:sz w:val="16"/>
                <w:szCs w:val="16"/>
                <w:lang w:val="es-ES_tradnl"/>
              </w:rPr>
              <w:t xml:space="preserve"> de los delegados con la organización de las Asambleas</w:t>
            </w:r>
            <w:r>
              <w:rPr>
                <w:sz w:val="16"/>
                <w:szCs w:val="16"/>
                <w:lang w:val="es-ES_tradnl"/>
              </w:rPr>
              <w:t>.</w:t>
            </w:r>
          </w:p>
        </w:tc>
        <w:tc>
          <w:tcPr>
            <w:tcW w:w="2266" w:type="dxa"/>
            <w:tcBorders>
              <w:top w:val="nil"/>
              <w:left w:val="nil"/>
              <w:bottom w:val="nil"/>
              <w:right w:val="nil"/>
            </w:tcBorders>
            <w:shd w:val="clear" w:color="000000" w:fill="FFFFFF"/>
            <w:hideMark/>
          </w:tcPr>
          <w:p w:rsidR="00236E18" w:rsidRPr="00344B27" w:rsidRDefault="00236E18" w:rsidP="00294272">
            <w:pPr>
              <w:widowControl w:val="0"/>
              <w:ind w:left="107" w:firstLineChars="2" w:firstLine="3"/>
              <w:rPr>
                <w:sz w:val="16"/>
                <w:szCs w:val="16"/>
                <w:lang w:val="es-ES_tradnl"/>
              </w:rPr>
            </w:pPr>
            <w:r w:rsidRPr="00344B27">
              <w:rPr>
                <w:sz w:val="16"/>
                <w:szCs w:val="16"/>
                <w:lang w:val="es-ES_tradnl"/>
              </w:rPr>
              <w:t xml:space="preserve">El </w:t>
            </w:r>
            <w:r w:rsidRPr="008245AE">
              <w:rPr>
                <w:sz w:val="16"/>
                <w:szCs w:val="16"/>
              </w:rPr>
              <w:t>87</w:t>
            </w:r>
            <w:r w:rsidRPr="00344B27">
              <w:rPr>
                <w:sz w:val="16"/>
                <w:szCs w:val="16"/>
                <w:lang w:val="es-ES_tradnl"/>
              </w:rPr>
              <w:t>% satisfecho con las disposiciones adoptadas (encuesta sobre las Asambleas de la OMPI de 2014)</w:t>
            </w:r>
            <w:r>
              <w:rPr>
                <w:sz w:val="16"/>
                <w:szCs w:val="16"/>
                <w:lang w:val="es-ES_tradnl"/>
              </w:rPr>
              <w:t>.</w:t>
            </w:r>
            <w:r>
              <w:rPr>
                <w:sz w:val="16"/>
                <w:szCs w:val="16"/>
                <w:lang w:val="es-ES_tradnl"/>
              </w:rPr>
              <w:br/>
            </w:r>
          </w:p>
        </w:tc>
        <w:tc>
          <w:tcPr>
            <w:tcW w:w="2313" w:type="dxa"/>
            <w:tcBorders>
              <w:top w:val="nil"/>
              <w:left w:val="nil"/>
              <w:bottom w:val="nil"/>
              <w:right w:val="single" w:sz="4" w:space="0" w:color="auto"/>
            </w:tcBorders>
            <w:shd w:val="clear" w:color="000000" w:fill="FFFFFF"/>
            <w:hideMark/>
          </w:tcPr>
          <w:p w:rsidR="00236E18" w:rsidRPr="00344B27" w:rsidRDefault="00236E18" w:rsidP="00294272">
            <w:pPr>
              <w:widowControl w:val="0"/>
              <w:ind w:left="34"/>
              <w:rPr>
                <w:sz w:val="16"/>
                <w:szCs w:val="16"/>
              </w:rPr>
            </w:pPr>
            <w:r w:rsidRPr="00344B27">
              <w:rPr>
                <w:sz w:val="16"/>
                <w:szCs w:val="16"/>
              </w:rPr>
              <w:t>El 80% satisfecho con las disposiciones adoptadas.</w:t>
            </w:r>
          </w:p>
        </w:tc>
      </w:tr>
      <w:tr w:rsidR="00236E18" w:rsidRPr="00344B27" w:rsidTr="00294272">
        <w:trPr>
          <w:trHeight w:val="797"/>
        </w:trPr>
        <w:tc>
          <w:tcPr>
            <w:tcW w:w="2560" w:type="dxa"/>
            <w:tcBorders>
              <w:top w:val="nil"/>
              <w:left w:val="single" w:sz="4" w:space="0" w:color="auto"/>
              <w:bottom w:val="nil"/>
              <w:right w:val="nil"/>
            </w:tcBorders>
            <w:shd w:val="clear" w:color="000000" w:fill="FFFFFF"/>
            <w:hideMark/>
          </w:tcPr>
          <w:p w:rsidR="00236E18" w:rsidRPr="008245AE" w:rsidRDefault="00236E18" w:rsidP="00294272">
            <w:pPr>
              <w:rPr>
                <w:sz w:val="16"/>
                <w:szCs w:val="16"/>
              </w:rPr>
            </w:pPr>
            <w:r w:rsidRPr="008245AE">
              <w:rPr>
                <w:sz w:val="16"/>
                <w:szCs w:val="16"/>
              </w:rPr>
              <w:t xml:space="preserve">VIII.4  </w:t>
            </w:r>
            <w:r w:rsidRPr="008245AE">
              <w:rPr>
                <w:sz w:val="16"/>
                <w:szCs w:val="16"/>
                <w:lang w:val="es-ES_tradnl"/>
              </w:rPr>
              <w:t>Intercambios abiertos, transparentes y dinámicos con las partes interesadas no gubernamentales</w:t>
            </w:r>
          </w:p>
          <w:p w:rsidR="00236E18" w:rsidRPr="008245AE" w:rsidRDefault="00236E18" w:rsidP="00294272">
            <w:pPr>
              <w:widowControl w:val="0"/>
              <w:rPr>
                <w:sz w:val="16"/>
                <w:szCs w:val="16"/>
              </w:rPr>
            </w:pPr>
          </w:p>
          <w:p w:rsidR="00236E18" w:rsidRPr="008245AE" w:rsidRDefault="00236E18" w:rsidP="00294272">
            <w:pPr>
              <w:widowControl w:val="0"/>
              <w:rPr>
                <w:sz w:val="16"/>
                <w:szCs w:val="16"/>
              </w:rPr>
            </w:pPr>
            <w:r w:rsidRPr="008245AE">
              <w:rPr>
                <w:sz w:val="16"/>
                <w:szCs w:val="16"/>
              </w:rPr>
              <w:t xml:space="preserve">VIII.5  </w:t>
            </w:r>
            <w:r w:rsidRPr="008245AE">
              <w:rPr>
                <w:sz w:val="16"/>
                <w:szCs w:val="16"/>
                <w:lang w:val="es-ES_tradnl"/>
              </w:rPr>
              <w:t>La OMPI participa y colabora eficazmente en los procesos y negociaciones de las NN.UU. y otras OIG</w:t>
            </w:r>
          </w:p>
        </w:tc>
        <w:tc>
          <w:tcPr>
            <w:tcW w:w="2560" w:type="dxa"/>
            <w:tcBorders>
              <w:top w:val="nil"/>
              <w:left w:val="nil"/>
              <w:bottom w:val="nil"/>
              <w:right w:val="nil"/>
            </w:tcBorders>
            <w:shd w:val="clear" w:color="000000" w:fill="FFFFFF"/>
            <w:hideMark/>
          </w:tcPr>
          <w:p w:rsidR="00236E18" w:rsidRPr="008B6455" w:rsidRDefault="00236E18" w:rsidP="00294272">
            <w:pPr>
              <w:widowControl w:val="0"/>
              <w:ind w:left="63"/>
              <w:rPr>
                <w:color w:val="000000"/>
                <w:sz w:val="16"/>
                <w:szCs w:val="16"/>
              </w:rPr>
            </w:pPr>
            <w:r w:rsidRPr="008B6455">
              <w:rPr>
                <w:color w:val="000000"/>
                <w:sz w:val="16"/>
                <w:szCs w:val="16"/>
              </w:rPr>
              <w:t>N</w:t>
            </w:r>
            <w:r>
              <w:rPr>
                <w:color w:val="000000"/>
                <w:sz w:val="16"/>
                <w:szCs w:val="16"/>
              </w:rPr>
              <w:t>º</w:t>
            </w:r>
            <w:r w:rsidRPr="008B6455">
              <w:rPr>
                <w:color w:val="000000"/>
                <w:sz w:val="16"/>
                <w:szCs w:val="16"/>
              </w:rPr>
              <w:t xml:space="preserve"> de ONG con calidad de observador permanente que participan en las actividades de la OMPI y vice versa</w:t>
            </w:r>
          </w:p>
          <w:p w:rsidR="00236E18" w:rsidRPr="008B6455" w:rsidRDefault="00236E18" w:rsidP="00294272">
            <w:pPr>
              <w:widowControl w:val="0"/>
              <w:ind w:left="182"/>
              <w:rPr>
                <w:sz w:val="16"/>
                <w:szCs w:val="16"/>
              </w:rPr>
            </w:pPr>
          </w:p>
          <w:p w:rsidR="00236E18" w:rsidRPr="00344B27" w:rsidRDefault="00236E18" w:rsidP="00294272">
            <w:pPr>
              <w:widowControl w:val="0"/>
              <w:ind w:left="63"/>
              <w:rPr>
                <w:sz w:val="16"/>
                <w:szCs w:val="16"/>
                <w:lang w:val="es-ES_tradnl"/>
              </w:rPr>
            </w:pPr>
            <w:r w:rsidRPr="008245AE">
              <w:rPr>
                <w:color w:val="000000"/>
                <w:sz w:val="16"/>
                <w:szCs w:val="16"/>
              </w:rPr>
              <w:t>Nuevas</w:t>
            </w:r>
            <w:r w:rsidRPr="00344B27">
              <w:rPr>
                <w:sz w:val="16"/>
                <w:szCs w:val="16"/>
                <w:lang w:val="es-ES_tradnl"/>
              </w:rPr>
              <w:t xml:space="preserve"> iniciativas conjuntas llevadas a cabo con otros organismos de las NN.UU./OIG</w:t>
            </w:r>
            <w:r>
              <w:rPr>
                <w:sz w:val="16"/>
                <w:szCs w:val="16"/>
                <w:lang w:val="es-ES_tradnl"/>
              </w:rPr>
              <w:t>.</w:t>
            </w:r>
          </w:p>
        </w:tc>
        <w:tc>
          <w:tcPr>
            <w:tcW w:w="2266" w:type="dxa"/>
            <w:tcBorders>
              <w:top w:val="nil"/>
              <w:left w:val="nil"/>
              <w:bottom w:val="nil"/>
              <w:right w:val="nil"/>
            </w:tcBorders>
            <w:shd w:val="clear" w:color="000000" w:fill="FFFFFF"/>
            <w:hideMark/>
          </w:tcPr>
          <w:p w:rsidR="00236E18" w:rsidRDefault="00236E18" w:rsidP="00294272">
            <w:pPr>
              <w:widowControl w:val="0"/>
              <w:ind w:left="107" w:firstLineChars="2" w:firstLine="3"/>
              <w:rPr>
                <w:color w:val="000000"/>
                <w:sz w:val="16"/>
                <w:szCs w:val="16"/>
              </w:rPr>
            </w:pPr>
            <w:r>
              <w:rPr>
                <w:color w:val="000000"/>
                <w:sz w:val="16"/>
                <w:szCs w:val="16"/>
              </w:rPr>
              <w:t>Por determinar.</w:t>
            </w:r>
          </w:p>
          <w:p w:rsidR="00236E18" w:rsidRPr="008245AE" w:rsidRDefault="00236E18" w:rsidP="00294272">
            <w:pPr>
              <w:widowControl w:val="0"/>
              <w:ind w:firstLineChars="200" w:firstLine="320"/>
              <w:rPr>
                <w:color w:val="000000"/>
                <w:sz w:val="16"/>
                <w:szCs w:val="16"/>
              </w:rPr>
            </w:pPr>
          </w:p>
          <w:p w:rsidR="00236E18" w:rsidRPr="008245AE" w:rsidRDefault="00236E18" w:rsidP="00294272">
            <w:pPr>
              <w:widowControl w:val="0"/>
              <w:ind w:firstLineChars="200" w:firstLine="320"/>
              <w:rPr>
                <w:color w:val="000000"/>
                <w:sz w:val="16"/>
                <w:szCs w:val="16"/>
              </w:rPr>
            </w:pPr>
          </w:p>
          <w:p w:rsidR="00236E18" w:rsidRPr="008245AE" w:rsidRDefault="00236E18" w:rsidP="00294272">
            <w:pPr>
              <w:widowControl w:val="0"/>
              <w:ind w:firstLineChars="200" w:firstLine="320"/>
              <w:rPr>
                <w:color w:val="000000"/>
                <w:sz w:val="16"/>
                <w:szCs w:val="16"/>
              </w:rPr>
            </w:pPr>
          </w:p>
          <w:p w:rsidR="00236E18" w:rsidRPr="008245AE" w:rsidRDefault="00236E18" w:rsidP="00294272">
            <w:pPr>
              <w:widowControl w:val="0"/>
              <w:ind w:firstLineChars="200" w:firstLine="320"/>
              <w:rPr>
                <w:color w:val="000000"/>
                <w:sz w:val="16"/>
                <w:szCs w:val="16"/>
              </w:rPr>
            </w:pPr>
          </w:p>
          <w:p w:rsidR="00236E18" w:rsidRPr="008245AE" w:rsidRDefault="00236E18" w:rsidP="00294272">
            <w:pPr>
              <w:widowControl w:val="0"/>
              <w:ind w:left="107" w:firstLineChars="2" w:firstLine="3"/>
              <w:rPr>
                <w:color w:val="000000"/>
                <w:sz w:val="16"/>
                <w:szCs w:val="16"/>
              </w:rPr>
            </w:pPr>
            <w:r w:rsidRPr="008245AE">
              <w:rPr>
                <w:color w:val="000000"/>
                <w:sz w:val="16"/>
                <w:szCs w:val="16"/>
              </w:rPr>
              <w:t>Una (2014).</w:t>
            </w:r>
          </w:p>
        </w:tc>
        <w:tc>
          <w:tcPr>
            <w:tcW w:w="2313" w:type="dxa"/>
            <w:tcBorders>
              <w:top w:val="nil"/>
              <w:left w:val="nil"/>
              <w:bottom w:val="nil"/>
              <w:right w:val="single" w:sz="4" w:space="0" w:color="auto"/>
            </w:tcBorders>
            <w:shd w:val="clear" w:color="000000" w:fill="FFFFFF"/>
            <w:hideMark/>
          </w:tcPr>
          <w:p w:rsidR="00236E18" w:rsidRPr="007536CC" w:rsidRDefault="00236E18" w:rsidP="00294272">
            <w:pPr>
              <w:widowControl w:val="0"/>
              <w:ind w:left="34"/>
              <w:rPr>
                <w:b/>
                <w:sz w:val="16"/>
                <w:szCs w:val="16"/>
              </w:rPr>
            </w:pPr>
            <w:r w:rsidRPr="008245AE">
              <w:rPr>
                <w:sz w:val="16"/>
                <w:szCs w:val="16"/>
              </w:rPr>
              <w:t>Mant</w:t>
            </w:r>
            <w:r>
              <w:rPr>
                <w:sz w:val="16"/>
                <w:szCs w:val="16"/>
              </w:rPr>
              <w:t>e</w:t>
            </w:r>
            <w:r w:rsidRPr="008245AE">
              <w:rPr>
                <w:sz w:val="16"/>
                <w:szCs w:val="16"/>
              </w:rPr>
              <w:t>n</w:t>
            </w:r>
            <w:r>
              <w:rPr>
                <w:sz w:val="16"/>
                <w:szCs w:val="16"/>
              </w:rPr>
              <w:t>er o aumentar la participación.</w:t>
            </w:r>
          </w:p>
          <w:p w:rsidR="00236E18" w:rsidRDefault="00236E18" w:rsidP="00294272">
            <w:pPr>
              <w:widowControl w:val="0"/>
              <w:ind w:left="220"/>
              <w:rPr>
                <w:sz w:val="16"/>
                <w:szCs w:val="16"/>
              </w:rPr>
            </w:pPr>
          </w:p>
          <w:p w:rsidR="00236E18" w:rsidRDefault="00236E18" w:rsidP="00294272">
            <w:pPr>
              <w:widowControl w:val="0"/>
              <w:ind w:left="220"/>
              <w:rPr>
                <w:sz w:val="16"/>
                <w:szCs w:val="16"/>
              </w:rPr>
            </w:pPr>
          </w:p>
          <w:p w:rsidR="00236E18" w:rsidRDefault="00236E18" w:rsidP="00294272">
            <w:pPr>
              <w:widowControl w:val="0"/>
              <w:ind w:left="220"/>
              <w:rPr>
                <w:sz w:val="16"/>
                <w:szCs w:val="16"/>
              </w:rPr>
            </w:pPr>
          </w:p>
          <w:p w:rsidR="00236E18" w:rsidRPr="00344B27" w:rsidRDefault="00236E18" w:rsidP="00294272">
            <w:pPr>
              <w:widowControl w:val="0"/>
              <w:ind w:left="34"/>
              <w:rPr>
                <w:sz w:val="16"/>
                <w:szCs w:val="16"/>
              </w:rPr>
            </w:pPr>
            <w:r w:rsidRPr="00344B27">
              <w:rPr>
                <w:sz w:val="16"/>
                <w:szCs w:val="16"/>
              </w:rPr>
              <w:t>Dos</w:t>
            </w:r>
            <w:r>
              <w:rPr>
                <w:sz w:val="16"/>
                <w:szCs w:val="16"/>
              </w:rPr>
              <w:t>.</w:t>
            </w:r>
          </w:p>
        </w:tc>
      </w:tr>
      <w:tr w:rsidR="00236E18" w:rsidRPr="00344B27" w:rsidTr="00294272">
        <w:trPr>
          <w:trHeight w:val="986"/>
        </w:trPr>
        <w:tc>
          <w:tcPr>
            <w:tcW w:w="2560" w:type="dxa"/>
            <w:tcBorders>
              <w:top w:val="nil"/>
              <w:left w:val="single" w:sz="4" w:space="0" w:color="auto"/>
              <w:bottom w:val="nil"/>
              <w:right w:val="nil"/>
            </w:tcBorders>
            <w:shd w:val="clear" w:color="000000" w:fill="FFFFFF"/>
            <w:hideMark/>
          </w:tcPr>
          <w:p w:rsidR="00236E18" w:rsidRPr="008245AE" w:rsidRDefault="00236E18" w:rsidP="00294272">
            <w:pPr>
              <w:widowControl w:val="0"/>
              <w:rPr>
                <w:sz w:val="16"/>
                <w:szCs w:val="16"/>
              </w:rPr>
            </w:pPr>
            <w:r w:rsidRPr="008245AE">
              <w:rPr>
                <w:sz w:val="16"/>
                <w:szCs w:val="16"/>
              </w:rPr>
              <w:t xml:space="preserve">IX.1  </w:t>
            </w:r>
            <w:r w:rsidRPr="008245AE">
              <w:rPr>
                <w:sz w:val="16"/>
                <w:szCs w:val="16"/>
                <w:lang w:val="es-ES_tradnl"/>
              </w:rPr>
              <w:t>Servicios de apoyo eficaces, eficientes, de calidad y orientados al cliente, tanto a los usuarios internos como a las partes interesadas externas</w:t>
            </w:r>
          </w:p>
          <w:p w:rsidR="00236E18" w:rsidRPr="008245AE" w:rsidRDefault="00236E18" w:rsidP="00294272">
            <w:pPr>
              <w:widowControl w:val="0"/>
              <w:rPr>
                <w:sz w:val="16"/>
                <w:szCs w:val="16"/>
              </w:rPr>
            </w:pPr>
          </w:p>
        </w:tc>
        <w:tc>
          <w:tcPr>
            <w:tcW w:w="2560" w:type="dxa"/>
            <w:tcBorders>
              <w:top w:val="nil"/>
              <w:left w:val="nil"/>
              <w:bottom w:val="nil"/>
              <w:right w:val="nil"/>
            </w:tcBorders>
            <w:shd w:val="clear" w:color="000000" w:fill="FFFFFF"/>
            <w:hideMark/>
          </w:tcPr>
          <w:p w:rsidR="00236E18" w:rsidRPr="00344B27" w:rsidRDefault="00236E18" w:rsidP="00294272">
            <w:pPr>
              <w:widowControl w:val="0"/>
              <w:ind w:left="63"/>
              <w:rPr>
                <w:sz w:val="16"/>
                <w:szCs w:val="16"/>
                <w:lang w:val="es-ES_tradnl"/>
              </w:rPr>
            </w:pPr>
            <w:r w:rsidRPr="008245AE">
              <w:rPr>
                <w:color w:val="000000"/>
                <w:sz w:val="16"/>
                <w:szCs w:val="16"/>
              </w:rPr>
              <w:t>Porcentaje</w:t>
            </w:r>
            <w:r w:rsidRPr="00344B27">
              <w:rPr>
                <w:sz w:val="16"/>
                <w:szCs w:val="16"/>
                <w:lang w:val="es-ES_tradnl"/>
              </w:rPr>
              <w:t xml:space="preserve"> de peticiones de asesoramiento y servicios jurídicos que reciben respuestas rápidas de la Oficina del Consejero Jurídico</w:t>
            </w:r>
            <w:r>
              <w:rPr>
                <w:sz w:val="16"/>
                <w:szCs w:val="16"/>
                <w:lang w:val="es-ES_tradnl"/>
              </w:rPr>
              <w:t>.</w:t>
            </w:r>
          </w:p>
        </w:tc>
        <w:tc>
          <w:tcPr>
            <w:tcW w:w="2266" w:type="dxa"/>
            <w:tcBorders>
              <w:top w:val="nil"/>
              <w:left w:val="nil"/>
              <w:bottom w:val="nil"/>
              <w:right w:val="nil"/>
            </w:tcBorders>
            <w:shd w:val="clear" w:color="000000" w:fill="FFFFFF"/>
            <w:hideMark/>
          </w:tcPr>
          <w:p w:rsidR="00236E18" w:rsidRPr="008245AE" w:rsidRDefault="00236E18" w:rsidP="00294272">
            <w:pPr>
              <w:widowControl w:val="0"/>
              <w:ind w:left="107" w:firstLineChars="2" w:firstLine="3"/>
              <w:rPr>
                <w:color w:val="000000"/>
                <w:sz w:val="16"/>
                <w:szCs w:val="16"/>
              </w:rPr>
            </w:pPr>
            <w:r w:rsidRPr="008245AE">
              <w:rPr>
                <w:color w:val="000000"/>
                <w:sz w:val="16"/>
                <w:szCs w:val="16"/>
              </w:rPr>
              <w:t>El 95%.</w:t>
            </w:r>
          </w:p>
        </w:tc>
        <w:tc>
          <w:tcPr>
            <w:tcW w:w="2313" w:type="dxa"/>
            <w:tcBorders>
              <w:top w:val="nil"/>
              <w:left w:val="nil"/>
              <w:bottom w:val="nil"/>
              <w:right w:val="single" w:sz="4" w:space="0" w:color="auto"/>
            </w:tcBorders>
            <w:shd w:val="clear" w:color="000000" w:fill="FFFFFF"/>
            <w:hideMark/>
          </w:tcPr>
          <w:p w:rsidR="00236E18" w:rsidRPr="00344B27" w:rsidRDefault="00236E18" w:rsidP="00294272">
            <w:pPr>
              <w:widowControl w:val="0"/>
              <w:ind w:left="34"/>
              <w:rPr>
                <w:sz w:val="16"/>
                <w:szCs w:val="16"/>
              </w:rPr>
            </w:pPr>
            <w:r w:rsidRPr="00344B27">
              <w:rPr>
                <w:sz w:val="16"/>
                <w:szCs w:val="16"/>
              </w:rPr>
              <w:t>El 95%</w:t>
            </w:r>
            <w:r>
              <w:rPr>
                <w:sz w:val="16"/>
                <w:szCs w:val="16"/>
              </w:rPr>
              <w:t>.</w:t>
            </w:r>
          </w:p>
        </w:tc>
      </w:tr>
      <w:tr w:rsidR="00236E18" w:rsidRPr="004950EE" w:rsidTr="00294272">
        <w:trPr>
          <w:trHeight w:val="1139"/>
        </w:trPr>
        <w:tc>
          <w:tcPr>
            <w:tcW w:w="2560" w:type="dxa"/>
            <w:tcBorders>
              <w:top w:val="nil"/>
              <w:left w:val="single" w:sz="4" w:space="0" w:color="auto"/>
              <w:bottom w:val="nil"/>
              <w:right w:val="nil"/>
            </w:tcBorders>
            <w:shd w:val="clear" w:color="000000" w:fill="FFFFFF"/>
            <w:hideMark/>
          </w:tcPr>
          <w:p w:rsidR="00236E18" w:rsidRPr="008245AE" w:rsidRDefault="00236E18" w:rsidP="00294272">
            <w:pPr>
              <w:widowControl w:val="0"/>
              <w:rPr>
                <w:sz w:val="16"/>
                <w:szCs w:val="16"/>
              </w:rPr>
            </w:pPr>
            <w:r w:rsidRPr="008245AE">
              <w:rPr>
                <w:sz w:val="16"/>
                <w:szCs w:val="16"/>
              </w:rPr>
              <w:t xml:space="preserve">IX.2  </w:t>
            </w:r>
            <w:r w:rsidRPr="008245AE">
              <w:rPr>
                <w:sz w:val="16"/>
                <w:szCs w:val="16"/>
                <w:lang w:val="es-ES_tradnl"/>
              </w:rPr>
              <w:t>Funcionamiento sin contratiempos de la Secretaría, provista de un personal bien dirigido, dotado de las competencias adecuadas, y capaz de conseguir resultados</w:t>
            </w:r>
          </w:p>
          <w:p w:rsidR="00236E18" w:rsidRPr="008245AE" w:rsidRDefault="00236E18" w:rsidP="00294272">
            <w:pPr>
              <w:widowControl w:val="0"/>
              <w:rPr>
                <w:sz w:val="16"/>
                <w:szCs w:val="16"/>
              </w:rPr>
            </w:pPr>
          </w:p>
        </w:tc>
        <w:tc>
          <w:tcPr>
            <w:tcW w:w="2560" w:type="dxa"/>
            <w:tcBorders>
              <w:top w:val="nil"/>
              <w:left w:val="nil"/>
              <w:bottom w:val="nil"/>
              <w:right w:val="nil"/>
            </w:tcBorders>
            <w:shd w:val="clear" w:color="000000" w:fill="FFFFFF"/>
            <w:hideMark/>
          </w:tcPr>
          <w:p w:rsidR="00236E18" w:rsidRPr="00344B27" w:rsidRDefault="00236E18" w:rsidP="00294272">
            <w:pPr>
              <w:widowControl w:val="0"/>
              <w:ind w:left="63"/>
              <w:rPr>
                <w:sz w:val="16"/>
                <w:szCs w:val="16"/>
              </w:rPr>
            </w:pPr>
            <w:r w:rsidRPr="00344B27">
              <w:rPr>
                <w:sz w:val="16"/>
                <w:szCs w:val="16"/>
              </w:rPr>
              <w:t xml:space="preserve">Establecimiento de un nuevo marco </w:t>
            </w:r>
            <w:r w:rsidRPr="008245AE">
              <w:rPr>
                <w:color w:val="000000"/>
                <w:sz w:val="16"/>
                <w:szCs w:val="16"/>
              </w:rPr>
              <w:t>institucional</w:t>
            </w:r>
            <w:r w:rsidRPr="00344B27">
              <w:rPr>
                <w:sz w:val="16"/>
                <w:szCs w:val="16"/>
              </w:rPr>
              <w:t xml:space="preserve"> de reacción</w:t>
            </w:r>
            <w:r>
              <w:rPr>
                <w:sz w:val="16"/>
                <w:szCs w:val="16"/>
              </w:rPr>
              <w:t xml:space="preserve"> y recuperación</w:t>
            </w:r>
            <w:r w:rsidRPr="00344B27">
              <w:rPr>
                <w:sz w:val="16"/>
                <w:szCs w:val="16"/>
              </w:rPr>
              <w:t xml:space="preserve"> y continuidad de las actividades y documentación conexa</w:t>
            </w:r>
            <w:r>
              <w:rPr>
                <w:sz w:val="16"/>
                <w:szCs w:val="16"/>
              </w:rPr>
              <w:t>.</w:t>
            </w:r>
          </w:p>
        </w:tc>
        <w:tc>
          <w:tcPr>
            <w:tcW w:w="2266" w:type="dxa"/>
            <w:tcBorders>
              <w:top w:val="nil"/>
              <w:left w:val="nil"/>
              <w:bottom w:val="nil"/>
              <w:right w:val="nil"/>
            </w:tcBorders>
            <w:shd w:val="clear" w:color="000000" w:fill="FFFFFF"/>
            <w:hideMark/>
          </w:tcPr>
          <w:p w:rsidR="00236E18" w:rsidRPr="008245AE" w:rsidRDefault="00236E18" w:rsidP="00294272">
            <w:pPr>
              <w:widowControl w:val="0"/>
              <w:ind w:left="107" w:firstLineChars="2" w:firstLine="3"/>
              <w:rPr>
                <w:color w:val="000000"/>
                <w:sz w:val="16"/>
                <w:szCs w:val="16"/>
              </w:rPr>
            </w:pPr>
            <w:r w:rsidRPr="008245AE">
              <w:rPr>
                <w:color w:val="000000"/>
                <w:sz w:val="16"/>
                <w:szCs w:val="16"/>
              </w:rPr>
              <w:t>El marco actual no es lo suficientemente amplio y debe ser reemplazado.</w:t>
            </w:r>
          </w:p>
        </w:tc>
        <w:tc>
          <w:tcPr>
            <w:tcW w:w="2313" w:type="dxa"/>
            <w:tcBorders>
              <w:top w:val="nil"/>
              <w:left w:val="nil"/>
              <w:bottom w:val="nil"/>
              <w:right w:val="single" w:sz="4" w:space="0" w:color="auto"/>
            </w:tcBorders>
            <w:shd w:val="clear" w:color="000000" w:fill="FFFFFF"/>
            <w:hideMark/>
          </w:tcPr>
          <w:p w:rsidR="00236E18" w:rsidRPr="00344B27" w:rsidRDefault="00236E18" w:rsidP="00294272">
            <w:pPr>
              <w:widowControl w:val="0"/>
              <w:ind w:left="34"/>
              <w:rPr>
                <w:sz w:val="16"/>
                <w:szCs w:val="16"/>
              </w:rPr>
            </w:pPr>
            <w:r w:rsidRPr="00344B27">
              <w:rPr>
                <w:sz w:val="16"/>
                <w:szCs w:val="16"/>
              </w:rPr>
              <w:t>Elaboración de estrategias institucionales de reacción</w:t>
            </w:r>
            <w:r>
              <w:rPr>
                <w:sz w:val="16"/>
                <w:szCs w:val="16"/>
              </w:rPr>
              <w:t xml:space="preserve"> y recuperación</w:t>
            </w:r>
            <w:r w:rsidRPr="00344B27">
              <w:rPr>
                <w:sz w:val="16"/>
                <w:szCs w:val="16"/>
              </w:rPr>
              <w:t xml:space="preserve"> y continuidad de las actividades para las esferas clave de la Organización</w:t>
            </w:r>
            <w:r>
              <w:rPr>
                <w:sz w:val="16"/>
                <w:szCs w:val="16"/>
              </w:rPr>
              <w:t>.</w:t>
            </w:r>
          </w:p>
        </w:tc>
      </w:tr>
      <w:tr w:rsidR="00236E18" w:rsidRPr="00344B27" w:rsidTr="00294272">
        <w:trPr>
          <w:trHeight w:val="1076"/>
        </w:trPr>
        <w:tc>
          <w:tcPr>
            <w:tcW w:w="2560" w:type="dxa"/>
            <w:vMerge w:val="restart"/>
            <w:tcBorders>
              <w:top w:val="nil"/>
              <w:left w:val="single" w:sz="4" w:space="0" w:color="auto"/>
              <w:bottom w:val="single" w:sz="4" w:space="0" w:color="000000"/>
              <w:right w:val="nil"/>
            </w:tcBorders>
            <w:shd w:val="clear" w:color="000000" w:fill="FFFFFF"/>
            <w:hideMark/>
          </w:tcPr>
          <w:p w:rsidR="00236E18" w:rsidRPr="008245AE" w:rsidRDefault="00236E18" w:rsidP="00294272">
            <w:pPr>
              <w:widowControl w:val="0"/>
              <w:rPr>
                <w:sz w:val="16"/>
                <w:szCs w:val="16"/>
              </w:rPr>
            </w:pPr>
            <w:r w:rsidRPr="008245AE">
              <w:rPr>
                <w:sz w:val="16"/>
                <w:szCs w:val="16"/>
              </w:rPr>
              <w:t xml:space="preserve">IX.3  </w:t>
            </w:r>
            <w:r w:rsidRPr="008245AE">
              <w:rPr>
                <w:sz w:val="16"/>
                <w:szCs w:val="16"/>
                <w:lang w:val="es-ES_tradnl"/>
              </w:rPr>
              <w:t>Entorno de trabajo propicio basado en un marco reglamentario eficaz y medios adecuados para atender los temas de interés del personal</w:t>
            </w:r>
          </w:p>
        </w:tc>
        <w:tc>
          <w:tcPr>
            <w:tcW w:w="2560" w:type="dxa"/>
            <w:tcBorders>
              <w:top w:val="nil"/>
              <w:left w:val="nil"/>
              <w:bottom w:val="nil"/>
              <w:right w:val="nil"/>
            </w:tcBorders>
            <w:shd w:val="clear" w:color="000000" w:fill="FFFFFF"/>
            <w:hideMark/>
          </w:tcPr>
          <w:p w:rsidR="00236E18" w:rsidRPr="00344B27" w:rsidRDefault="00236E18" w:rsidP="00294272">
            <w:pPr>
              <w:widowControl w:val="0"/>
              <w:ind w:left="63"/>
              <w:rPr>
                <w:sz w:val="16"/>
                <w:szCs w:val="16"/>
              </w:rPr>
            </w:pPr>
            <w:r w:rsidRPr="008245AE">
              <w:rPr>
                <w:color w:val="000000"/>
                <w:sz w:val="16"/>
                <w:szCs w:val="16"/>
              </w:rPr>
              <w:t>Porcentaje</w:t>
            </w:r>
            <w:r w:rsidRPr="00344B27">
              <w:rPr>
                <w:sz w:val="16"/>
                <w:szCs w:val="16"/>
              </w:rPr>
              <w:t xml:space="preserve"> de miembros del personal de la OMPI que tienen conocimiento de los servicios disponibles en la Oficina del Mediador y del mecanismo informal de solución de conflictos.</w:t>
            </w:r>
            <w:r>
              <w:rPr>
                <w:sz w:val="16"/>
                <w:szCs w:val="16"/>
              </w:rPr>
              <w:br/>
            </w:r>
          </w:p>
        </w:tc>
        <w:tc>
          <w:tcPr>
            <w:tcW w:w="2266" w:type="dxa"/>
            <w:tcBorders>
              <w:top w:val="nil"/>
              <w:left w:val="nil"/>
              <w:bottom w:val="nil"/>
              <w:right w:val="nil"/>
            </w:tcBorders>
            <w:shd w:val="clear" w:color="000000" w:fill="FFFFFF"/>
            <w:hideMark/>
          </w:tcPr>
          <w:p w:rsidR="00236E18" w:rsidRPr="00344B27" w:rsidRDefault="00236E18" w:rsidP="00294272">
            <w:pPr>
              <w:widowControl w:val="0"/>
              <w:ind w:left="107" w:firstLineChars="2" w:firstLine="3"/>
              <w:rPr>
                <w:sz w:val="16"/>
                <w:szCs w:val="16"/>
                <w:lang w:val="es-ES_tradnl"/>
              </w:rPr>
            </w:pPr>
            <w:r w:rsidRPr="008245AE">
              <w:rPr>
                <w:color w:val="000000"/>
                <w:sz w:val="16"/>
                <w:szCs w:val="16"/>
              </w:rPr>
              <w:t>Encuesta</w:t>
            </w:r>
            <w:r w:rsidRPr="00344B27">
              <w:rPr>
                <w:sz w:val="16"/>
                <w:szCs w:val="16"/>
                <w:lang w:val="es-ES_tradnl"/>
              </w:rPr>
              <w:t xml:space="preserve"> de 2013</w:t>
            </w:r>
            <w:proofErr w:type="gramStart"/>
            <w:r w:rsidRPr="00344B27">
              <w:rPr>
                <w:sz w:val="16"/>
                <w:szCs w:val="16"/>
                <w:lang w:val="es-ES_tradnl"/>
              </w:rPr>
              <w:t>:  el</w:t>
            </w:r>
            <w:proofErr w:type="gramEnd"/>
            <w:r w:rsidRPr="00344B27">
              <w:rPr>
                <w:sz w:val="16"/>
                <w:szCs w:val="16"/>
                <w:lang w:val="es-ES_tradnl"/>
              </w:rPr>
              <w:t xml:space="preserve"> 63% tiene pleno conocimiento.  Se prevé realizar otra encuesta en 2015.</w:t>
            </w:r>
          </w:p>
        </w:tc>
        <w:tc>
          <w:tcPr>
            <w:tcW w:w="2313" w:type="dxa"/>
            <w:tcBorders>
              <w:top w:val="nil"/>
              <w:left w:val="nil"/>
              <w:bottom w:val="nil"/>
              <w:right w:val="single" w:sz="4" w:space="0" w:color="auto"/>
            </w:tcBorders>
            <w:shd w:val="clear" w:color="000000" w:fill="FFFFFF"/>
            <w:hideMark/>
          </w:tcPr>
          <w:p w:rsidR="00236E18" w:rsidRPr="00344B27" w:rsidRDefault="00236E18" w:rsidP="00294272">
            <w:pPr>
              <w:widowControl w:val="0"/>
              <w:ind w:left="34"/>
              <w:rPr>
                <w:sz w:val="16"/>
                <w:szCs w:val="16"/>
              </w:rPr>
            </w:pPr>
            <w:r w:rsidRPr="00344B27">
              <w:rPr>
                <w:sz w:val="16"/>
                <w:szCs w:val="16"/>
              </w:rPr>
              <w:t>El 70%</w:t>
            </w:r>
          </w:p>
        </w:tc>
      </w:tr>
      <w:tr w:rsidR="00236E18" w:rsidRPr="004950EE" w:rsidTr="00294272">
        <w:trPr>
          <w:trHeight w:val="1081"/>
        </w:trPr>
        <w:tc>
          <w:tcPr>
            <w:tcW w:w="2560" w:type="dxa"/>
            <w:vMerge/>
            <w:tcBorders>
              <w:top w:val="nil"/>
              <w:left w:val="single" w:sz="4" w:space="0" w:color="auto"/>
              <w:bottom w:val="single" w:sz="4" w:space="0" w:color="000000"/>
              <w:right w:val="nil"/>
            </w:tcBorders>
            <w:vAlign w:val="center"/>
            <w:hideMark/>
          </w:tcPr>
          <w:p w:rsidR="00236E18" w:rsidRPr="00344B27" w:rsidRDefault="00236E18" w:rsidP="00294272">
            <w:pPr>
              <w:widowControl w:val="0"/>
              <w:rPr>
                <w:sz w:val="16"/>
                <w:szCs w:val="16"/>
              </w:rPr>
            </w:pPr>
          </w:p>
        </w:tc>
        <w:tc>
          <w:tcPr>
            <w:tcW w:w="2560" w:type="dxa"/>
            <w:tcBorders>
              <w:top w:val="nil"/>
              <w:left w:val="nil"/>
              <w:bottom w:val="single" w:sz="4" w:space="0" w:color="auto"/>
              <w:right w:val="nil"/>
            </w:tcBorders>
            <w:shd w:val="clear" w:color="000000" w:fill="FFFFFF"/>
            <w:hideMark/>
          </w:tcPr>
          <w:p w:rsidR="00236E18" w:rsidRPr="00344B27" w:rsidRDefault="00236E18" w:rsidP="00294272">
            <w:pPr>
              <w:widowControl w:val="0"/>
              <w:ind w:left="63"/>
              <w:rPr>
                <w:sz w:val="16"/>
                <w:szCs w:val="16"/>
                <w:lang w:val="es-ES_tradnl"/>
              </w:rPr>
            </w:pPr>
            <w:r w:rsidRPr="008245AE">
              <w:rPr>
                <w:color w:val="000000"/>
                <w:sz w:val="16"/>
                <w:szCs w:val="16"/>
              </w:rPr>
              <w:t>Porcentaje</w:t>
            </w:r>
            <w:r w:rsidRPr="00344B27">
              <w:rPr>
                <w:sz w:val="16"/>
                <w:szCs w:val="16"/>
                <w:lang w:val="es-ES_tradnl"/>
              </w:rPr>
              <w:t xml:space="preserve"> de miembros del personal de la OMPI que tienen conocimiento de los principios y políticas de la OMPI en materia de ética.</w:t>
            </w:r>
          </w:p>
        </w:tc>
        <w:tc>
          <w:tcPr>
            <w:tcW w:w="2266" w:type="dxa"/>
            <w:tcBorders>
              <w:top w:val="nil"/>
              <w:left w:val="nil"/>
              <w:bottom w:val="single" w:sz="4" w:space="0" w:color="auto"/>
              <w:right w:val="nil"/>
            </w:tcBorders>
            <w:shd w:val="clear" w:color="000000" w:fill="FFFFFF"/>
            <w:hideMark/>
          </w:tcPr>
          <w:p w:rsidR="00236E18" w:rsidRPr="00344B27" w:rsidRDefault="00236E18" w:rsidP="00294272">
            <w:pPr>
              <w:widowControl w:val="0"/>
              <w:ind w:left="107" w:firstLineChars="2" w:firstLine="3"/>
              <w:rPr>
                <w:sz w:val="16"/>
                <w:szCs w:val="16"/>
                <w:lang w:val="es-ES_tradnl"/>
              </w:rPr>
            </w:pPr>
            <w:r w:rsidRPr="00344B27">
              <w:rPr>
                <w:sz w:val="16"/>
                <w:szCs w:val="16"/>
                <w:lang w:val="es-ES_tradnl"/>
              </w:rPr>
              <w:t>El 98%, según la encuesta sobre las prioridades centrales del Programa de Alineación Estratégica (realizada en 2013).  Se prevé realizar otra encuesta en 2015.</w:t>
            </w:r>
            <w:r>
              <w:rPr>
                <w:sz w:val="16"/>
                <w:szCs w:val="16"/>
                <w:lang w:val="es-ES_tradnl"/>
              </w:rPr>
              <w:br/>
            </w:r>
          </w:p>
        </w:tc>
        <w:tc>
          <w:tcPr>
            <w:tcW w:w="2313" w:type="dxa"/>
            <w:tcBorders>
              <w:top w:val="nil"/>
              <w:left w:val="nil"/>
              <w:bottom w:val="single" w:sz="4" w:space="0" w:color="auto"/>
              <w:right w:val="single" w:sz="4" w:space="0" w:color="auto"/>
            </w:tcBorders>
            <w:shd w:val="clear" w:color="000000" w:fill="FFFFFF"/>
            <w:hideMark/>
          </w:tcPr>
          <w:p w:rsidR="00236E18" w:rsidRPr="00344B27" w:rsidRDefault="00236E18" w:rsidP="00294272">
            <w:pPr>
              <w:widowControl w:val="0"/>
              <w:ind w:left="34"/>
              <w:rPr>
                <w:sz w:val="16"/>
                <w:szCs w:val="16"/>
              </w:rPr>
            </w:pPr>
            <w:r w:rsidRPr="00344B27">
              <w:rPr>
                <w:sz w:val="16"/>
                <w:szCs w:val="16"/>
              </w:rPr>
              <w:t>El 95% de los miembros del personal tienen conocimiento de esos principios y políticas</w:t>
            </w:r>
            <w:r>
              <w:rPr>
                <w:sz w:val="16"/>
                <w:szCs w:val="16"/>
              </w:rPr>
              <w:t>.</w:t>
            </w:r>
          </w:p>
        </w:tc>
      </w:tr>
    </w:tbl>
    <w:p w:rsidR="00236E18" w:rsidRPr="00DD333A" w:rsidRDefault="00236E18" w:rsidP="00236E18">
      <w:pPr>
        <w:widowControl w:val="0"/>
        <w:rPr>
          <w:szCs w:val="22"/>
        </w:rPr>
      </w:pPr>
    </w:p>
    <w:p w:rsidR="00236E18" w:rsidRPr="00E11325" w:rsidRDefault="00236E18" w:rsidP="00236E18">
      <w:pPr>
        <w:keepNext/>
        <w:keepLines/>
      </w:pPr>
      <w:r w:rsidRPr="00E11325">
        <w:lastRenderedPageBreak/>
        <w:t>RECURSOS PARA EL PROGRAMA 21</w:t>
      </w:r>
    </w:p>
    <w:p w:rsidR="00236E18" w:rsidRPr="00E11325" w:rsidRDefault="00236E18" w:rsidP="00236E18">
      <w:pPr>
        <w:keepNext/>
        <w:keepLines/>
        <w:rPr>
          <w:sz w:val="20"/>
          <w:highlight w:val="lightGray"/>
        </w:rPr>
      </w:pPr>
    </w:p>
    <w:p w:rsidR="00236E18" w:rsidRPr="001F08EF" w:rsidRDefault="00236E18" w:rsidP="00236E18">
      <w:pPr>
        <w:numPr>
          <w:ilvl w:val="0"/>
          <w:numId w:val="37"/>
        </w:numPr>
        <w:jc w:val="both"/>
        <w:rPr>
          <w:sz w:val="20"/>
        </w:rPr>
      </w:pPr>
      <w:r w:rsidRPr="00892A2A">
        <w:rPr>
          <w:sz w:val="20"/>
        </w:rPr>
        <w:t>En 2016/17, puede observarse un ligero aumento en la dotación global de recursos para el programa con respecto al presupuesto de 2014/</w:t>
      </w:r>
      <w:r>
        <w:rPr>
          <w:sz w:val="20"/>
        </w:rPr>
        <w:t>15 tras las</w:t>
      </w:r>
      <w:r w:rsidRPr="00892A2A">
        <w:rPr>
          <w:sz w:val="20"/>
        </w:rPr>
        <w:t xml:space="preserve"> transferencias.  Ello se debe a una asignación de recursos ligeramente mayor para la organización de las Asambleas de la OMPI a partir de las pautas de gasto de 2014/15, el continuo desarrollo de la base de datos </w:t>
      </w:r>
      <w:r w:rsidRPr="008245AE">
        <w:rPr>
          <w:i/>
          <w:sz w:val="20"/>
        </w:rPr>
        <w:t xml:space="preserve">WIPO </w:t>
      </w:r>
      <w:proofErr w:type="spellStart"/>
      <w:r w:rsidRPr="008245AE">
        <w:rPr>
          <w:i/>
          <w:sz w:val="20"/>
        </w:rPr>
        <w:t>Lex</w:t>
      </w:r>
      <w:proofErr w:type="spellEnd"/>
      <w:r w:rsidRPr="00892A2A">
        <w:rPr>
          <w:sz w:val="20"/>
        </w:rPr>
        <w:t xml:space="preserve"> y las actividades de coordinación de las Oficinas de la OMPI en el exterior.</w:t>
      </w:r>
    </w:p>
    <w:p w:rsidR="00236E18" w:rsidRPr="001F08EF" w:rsidRDefault="00236E18" w:rsidP="00236E18">
      <w:pPr>
        <w:jc w:val="both"/>
        <w:rPr>
          <w:sz w:val="20"/>
          <w:highlight w:val="lightGray"/>
        </w:rPr>
      </w:pPr>
    </w:p>
    <w:p w:rsidR="00236E18" w:rsidRPr="001F08EF" w:rsidRDefault="00236E18" w:rsidP="00236E18">
      <w:pPr>
        <w:numPr>
          <w:ilvl w:val="0"/>
          <w:numId w:val="37"/>
        </w:numPr>
        <w:jc w:val="both"/>
        <w:rPr>
          <w:sz w:val="20"/>
        </w:rPr>
      </w:pPr>
      <w:r w:rsidRPr="00892A2A">
        <w:rPr>
          <w:sz w:val="20"/>
        </w:rPr>
        <w:t>En lo que respecta a las variaciones en la dotación de recursos destinados a los resultados previstos, se considera más adecuado vincular los recursos relativos a los servicios jurídicos y las actividades de asesoramiento con el resultado previsto IX.1, en lugar del resultado previsto IX.2, como se hizo en 2014/15.</w:t>
      </w:r>
    </w:p>
    <w:p w:rsidR="00236E18" w:rsidRPr="001F08EF" w:rsidRDefault="00236E18" w:rsidP="00236E18">
      <w:pPr>
        <w:pStyle w:val="Salutation"/>
        <w:rPr>
          <w:sz w:val="20"/>
        </w:rPr>
      </w:pPr>
    </w:p>
    <w:p w:rsidR="00236E18" w:rsidRPr="008245AE" w:rsidRDefault="00236E18" w:rsidP="00236E18">
      <w:pPr>
        <w:numPr>
          <w:ilvl w:val="0"/>
          <w:numId w:val="37"/>
        </w:numPr>
        <w:jc w:val="both"/>
        <w:rPr>
          <w:sz w:val="20"/>
          <w:szCs w:val="22"/>
        </w:rPr>
      </w:pPr>
      <w:r w:rsidRPr="00892A2A">
        <w:rPr>
          <w:sz w:val="20"/>
        </w:rPr>
        <w:t>En 2016/17, la dotación de recursos en el marco del resultado previsto VIII.4 refleja la labor relativa a la concesión de la condición de observador permanente a las ONG.</w:t>
      </w:r>
    </w:p>
    <w:p w:rsidR="00236E18" w:rsidRPr="001F08EF" w:rsidRDefault="00236E18" w:rsidP="00236E18">
      <w:pPr>
        <w:jc w:val="both"/>
        <w:rPr>
          <w:sz w:val="20"/>
          <w:szCs w:val="22"/>
        </w:rPr>
      </w:pPr>
    </w:p>
    <w:p w:rsidR="00236E18" w:rsidRPr="001F08EF" w:rsidRDefault="00236E18" w:rsidP="00236E18">
      <w:pPr>
        <w:rPr>
          <w:highlight w:val="lightGray"/>
        </w:rPr>
      </w:pPr>
    </w:p>
    <w:p w:rsidR="00236E18" w:rsidRPr="00C155C9" w:rsidRDefault="00236E18" w:rsidP="00236E18">
      <w:pPr>
        <w:pStyle w:val="ListParagraph"/>
        <w:keepNext/>
        <w:keepLines/>
        <w:spacing w:after="240"/>
        <w:jc w:val="center"/>
        <w:rPr>
          <w:rFonts w:ascii="Arial" w:hAnsi="Arial" w:cs="Arial"/>
          <w:b/>
          <w:sz w:val="20"/>
          <w:lang w:val="es-ES_tradnl"/>
        </w:rPr>
      </w:pPr>
      <w:r w:rsidRPr="00C155C9">
        <w:rPr>
          <w:rFonts w:ascii="Arial" w:hAnsi="Arial" w:cs="Arial"/>
          <w:b/>
          <w:sz w:val="20"/>
          <w:lang w:val="es-ES_tradnl"/>
        </w:rPr>
        <w:t>Programa 21</w:t>
      </w:r>
      <w:proofErr w:type="gramStart"/>
      <w:r w:rsidRPr="00C155C9">
        <w:rPr>
          <w:rFonts w:ascii="Arial" w:hAnsi="Arial" w:cs="Arial"/>
          <w:b/>
          <w:sz w:val="20"/>
          <w:lang w:val="es-ES_tradnl"/>
        </w:rPr>
        <w:t>:  Recursos</w:t>
      </w:r>
      <w:proofErr w:type="gramEnd"/>
      <w:r w:rsidRPr="00C155C9">
        <w:rPr>
          <w:rFonts w:ascii="Arial" w:hAnsi="Arial" w:cs="Arial"/>
          <w:b/>
          <w:sz w:val="20"/>
          <w:lang w:val="es-ES_tradnl"/>
        </w:rPr>
        <w:t xml:space="preserve"> por resultado </w:t>
      </w:r>
    </w:p>
    <w:p w:rsidR="00236E18" w:rsidRPr="00C155C9" w:rsidRDefault="00236E18" w:rsidP="00236E18">
      <w:pPr>
        <w:pStyle w:val="ListParagraph"/>
        <w:keepNext/>
        <w:keepLines/>
        <w:tabs>
          <w:tab w:val="left" w:pos="9072"/>
        </w:tabs>
        <w:spacing w:after="240"/>
        <w:jc w:val="center"/>
        <w:rPr>
          <w:rFonts w:ascii="Arial" w:hAnsi="Arial" w:cs="Arial"/>
          <w:i/>
          <w:sz w:val="20"/>
          <w:highlight w:val="lightGray"/>
          <w:lang w:val="es-ES_tradnl"/>
        </w:rPr>
      </w:pPr>
      <w:r w:rsidRPr="00C155C9">
        <w:rPr>
          <w:rFonts w:ascii="Arial" w:hAnsi="Arial" w:cs="Arial"/>
          <w:i/>
          <w:sz w:val="20"/>
          <w:lang w:val="es-ES_tradnl"/>
        </w:rPr>
        <w:t>(</w:t>
      </w:r>
      <w:proofErr w:type="gramStart"/>
      <w:r w:rsidRPr="00C155C9">
        <w:rPr>
          <w:rFonts w:ascii="Arial" w:hAnsi="Arial" w:cs="Arial"/>
          <w:i/>
          <w:sz w:val="20"/>
          <w:lang w:val="es-ES_tradnl"/>
        </w:rPr>
        <w:t>en</w:t>
      </w:r>
      <w:proofErr w:type="gramEnd"/>
      <w:r w:rsidRPr="00C155C9">
        <w:rPr>
          <w:rFonts w:ascii="Arial" w:hAnsi="Arial" w:cs="Arial"/>
          <w:i/>
          <w:sz w:val="20"/>
          <w:lang w:val="es-ES_tradnl"/>
        </w:rPr>
        <w:t xml:space="preserve"> miles de francos suizos)</w:t>
      </w:r>
    </w:p>
    <w:p w:rsidR="00236E18" w:rsidRPr="00C155C9" w:rsidRDefault="00236E18" w:rsidP="00236E18">
      <w:pPr>
        <w:pStyle w:val="ListParagraph"/>
        <w:keepNext/>
        <w:keepLines/>
        <w:tabs>
          <w:tab w:val="left" w:pos="9072"/>
        </w:tabs>
        <w:spacing w:after="240"/>
        <w:jc w:val="center"/>
        <w:rPr>
          <w:rFonts w:ascii="Arial" w:hAnsi="Arial" w:cs="Arial"/>
          <w:i/>
          <w:sz w:val="20"/>
          <w:highlight w:val="lightGray"/>
          <w:lang w:val="es-ES_tradnl"/>
        </w:rPr>
      </w:pPr>
    </w:p>
    <w:p w:rsidR="00236E18" w:rsidRPr="00DD333A" w:rsidRDefault="00236E18" w:rsidP="00236E18">
      <w:pPr>
        <w:pStyle w:val="ListParagraph"/>
        <w:keepNext/>
        <w:keepLines/>
        <w:tabs>
          <w:tab w:val="left" w:pos="9072"/>
        </w:tabs>
        <w:spacing w:after="240"/>
        <w:ind w:hanging="720"/>
        <w:jc w:val="center"/>
        <w:rPr>
          <w:rFonts w:ascii="Arial" w:hAnsi="Arial" w:cs="Arial"/>
          <w:i/>
          <w:sz w:val="20"/>
          <w:highlight w:val="lightGray"/>
        </w:rPr>
      </w:pPr>
      <w:r w:rsidRPr="008245AE">
        <w:rPr>
          <w:noProof/>
          <w:lang w:eastAsia="en-US"/>
        </w:rPr>
        <w:drawing>
          <wp:inline distT="0" distB="0" distL="0" distR="0" wp14:anchorId="54861642" wp14:editId="3710D3F2">
            <wp:extent cx="5677535" cy="4102735"/>
            <wp:effectExtent l="0" t="0" r="0" b="0"/>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677535" cy="4102735"/>
                    </a:xfrm>
                    <a:prstGeom prst="rect">
                      <a:avLst/>
                    </a:prstGeom>
                    <a:noFill/>
                    <a:ln>
                      <a:noFill/>
                    </a:ln>
                  </pic:spPr>
                </pic:pic>
              </a:graphicData>
            </a:graphic>
          </wp:inline>
        </w:drawing>
      </w:r>
    </w:p>
    <w:p w:rsidR="00236E18" w:rsidRPr="00DD333A" w:rsidRDefault="00236E18" w:rsidP="00236E18">
      <w:pPr>
        <w:pStyle w:val="ListParagraph"/>
        <w:tabs>
          <w:tab w:val="left" w:pos="9072"/>
        </w:tabs>
        <w:spacing w:after="240"/>
        <w:rPr>
          <w:rFonts w:ascii="Arial" w:hAnsi="Arial" w:cs="Arial"/>
          <w:i/>
          <w:sz w:val="20"/>
          <w:highlight w:val="lightGray"/>
        </w:rPr>
      </w:pPr>
    </w:p>
    <w:p w:rsidR="00236E18" w:rsidRPr="00DD333A" w:rsidRDefault="00236E18" w:rsidP="00236E18">
      <w:pPr>
        <w:pStyle w:val="ListParagraph"/>
        <w:tabs>
          <w:tab w:val="left" w:pos="9072"/>
        </w:tabs>
        <w:spacing w:after="240"/>
        <w:rPr>
          <w:rFonts w:ascii="Arial" w:hAnsi="Arial" w:cs="Arial"/>
          <w:i/>
          <w:sz w:val="20"/>
          <w:highlight w:val="lightGray"/>
        </w:rPr>
      </w:pPr>
    </w:p>
    <w:p w:rsidR="00236E18" w:rsidRPr="00DD333A" w:rsidRDefault="00236E18" w:rsidP="00236E18">
      <w:pPr>
        <w:rPr>
          <w:rFonts w:eastAsiaTheme="minorHAnsi"/>
          <w:b/>
          <w:sz w:val="20"/>
          <w:highlight w:val="lightGray"/>
        </w:rPr>
      </w:pPr>
      <w:r w:rsidRPr="00DD333A">
        <w:rPr>
          <w:b/>
          <w:sz w:val="20"/>
          <w:highlight w:val="lightGray"/>
        </w:rPr>
        <w:br w:type="page"/>
      </w:r>
    </w:p>
    <w:p w:rsidR="00236E18" w:rsidRPr="005012AC" w:rsidRDefault="00236E18" w:rsidP="00236E18">
      <w:pPr>
        <w:pStyle w:val="ListParagraph"/>
        <w:spacing w:after="240"/>
        <w:ind w:left="0"/>
        <w:jc w:val="center"/>
        <w:rPr>
          <w:rFonts w:ascii="Arial" w:hAnsi="Arial" w:cs="Arial"/>
          <w:b/>
          <w:sz w:val="20"/>
          <w:lang w:val="es-ES_tradnl"/>
        </w:rPr>
      </w:pPr>
      <w:r w:rsidRPr="005012AC">
        <w:rPr>
          <w:rFonts w:ascii="Arial" w:hAnsi="Arial" w:cs="Arial"/>
          <w:b/>
          <w:sz w:val="20"/>
          <w:lang w:val="es-ES_tradnl"/>
        </w:rPr>
        <w:lastRenderedPageBreak/>
        <w:t>Programa 21</w:t>
      </w:r>
      <w:proofErr w:type="gramStart"/>
      <w:r w:rsidRPr="005012AC">
        <w:rPr>
          <w:rFonts w:ascii="Arial" w:hAnsi="Arial" w:cs="Arial"/>
          <w:b/>
          <w:sz w:val="20"/>
          <w:lang w:val="es-ES_tradnl"/>
        </w:rPr>
        <w:t>:  Recursos</w:t>
      </w:r>
      <w:proofErr w:type="gramEnd"/>
      <w:r w:rsidRPr="005012AC">
        <w:rPr>
          <w:rFonts w:ascii="Arial" w:hAnsi="Arial" w:cs="Arial"/>
          <w:b/>
          <w:sz w:val="20"/>
          <w:lang w:val="es-ES_tradnl"/>
        </w:rPr>
        <w:t xml:space="preserve"> por objeto de gasto</w:t>
      </w:r>
    </w:p>
    <w:p w:rsidR="00236E18" w:rsidRPr="005012AC" w:rsidRDefault="00236E18" w:rsidP="00236E18">
      <w:pPr>
        <w:pStyle w:val="ListParagraph"/>
        <w:tabs>
          <w:tab w:val="left" w:pos="9072"/>
        </w:tabs>
        <w:spacing w:after="240"/>
        <w:ind w:left="0"/>
        <w:jc w:val="center"/>
        <w:rPr>
          <w:rFonts w:ascii="Arial" w:hAnsi="Arial" w:cs="Arial"/>
          <w:i/>
          <w:sz w:val="20"/>
          <w:highlight w:val="lightGray"/>
          <w:lang w:val="es-ES_tradnl"/>
        </w:rPr>
      </w:pPr>
      <w:r w:rsidRPr="005012AC">
        <w:rPr>
          <w:rFonts w:ascii="Arial" w:hAnsi="Arial" w:cs="Arial"/>
          <w:i/>
          <w:sz w:val="20"/>
          <w:lang w:val="es-ES_tradnl"/>
        </w:rPr>
        <w:t>(</w:t>
      </w:r>
      <w:proofErr w:type="gramStart"/>
      <w:r w:rsidRPr="005012AC">
        <w:rPr>
          <w:rFonts w:ascii="Arial" w:hAnsi="Arial" w:cs="Arial"/>
          <w:i/>
          <w:sz w:val="20"/>
          <w:lang w:val="es-ES_tradnl"/>
        </w:rPr>
        <w:t>en</w:t>
      </w:r>
      <w:proofErr w:type="gramEnd"/>
      <w:r w:rsidRPr="005012AC">
        <w:rPr>
          <w:rFonts w:ascii="Arial" w:hAnsi="Arial" w:cs="Arial"/>
          <w:i/>
          <w:sz w:val="20"/>
          <w:lang w:val="es-ES_tradnl"/>
        </w:rPr>
        <w:t xml:space="preserve"> miles de francos suizos)</w:t>
      </w:r>
    </w:p>
    <w:p w:rsidR="00236E18" w:rsidRPr="008245AE" w:rsidRDefault="00236E18" w:rsidP="00236E18">
      <w:pPr>
        <w:pStyle w:val="ListParagraph"/>
        <w:tabs>
          <w:tab w:val="left" w:pos="9072"/>
        </w:tabs>
        <w:ind w:left="0"/>
        <w:jc w:val="center"/>
        <w:rPr>
          <w:rFonts w:ascii="Arial" w:hAnsi="Arial" w:cs="Arial"/>
          <w:sz w:val="20"/>
          <w:highlight w:val="lightGray"/>
          <w:lang w:val="es-ES_tradnl"/>
        </w:rPr>
      </w:pPr>
    </w:p>
    <w:p w:rsidR="00236E18" w:rsidRPr="005012AC" w:rsidRDefault="00236E18" w:rsidP="00236E18">
      <w:pPr>
        <w:jc w:val="center"/>
        <w:rPr>
          <w:sz w:val="18"/>
          <w:highlight w:val="lightGray"/>
        </w:rPr>
      </w:pPr>
      <w:r>
        <w:rPr>
          <w:noProof/>
          <w:lang w:val="en-US" w:eastAsia="en-US"/>
        </w:rPr>
        <w:drawing>
          <wp:inline distT="0" distB="0" distL="0" distR="0" wp14:anchorId="6D8E25A2" wp14:editId="0146BCB4">
            <wp:extent cx="5940425" cy="6118130"/>
            <wp:effectExtent l="0" t="0" r="3175" b="0"/>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940425" cy="6118130"/>
                    </a:xfrm>
                    <a:prstGeom prst="rect">
                      <a:avLst/>
                    </a:prstGeom>
                    <a:noFill/>
                    <a:ln>
                      <a:noFill/>
                    </a:ln>
                  </pic:spPr>
                </pic:pic>
              </a:graphicData>
            </a:graphic>
          </wp:inline>
        </w:drawing>
      </w:r>
    </w:p>
    <w:p w:rsidR="00236E18" w:rsidRPr="00DD333A" w:rsidRDefault="00236E18" w:rsidP="00236E18">
      <w:pPr>
        <w:rPr>
          <w:sz w:val="18"/>
          <w:highlight w:val="lightGray"/>
        </w:rPr>
      </w:pPr>
    </w:p>
    <w:p w:rsidR="00236E18" w:rsidRPr="00DD333A" w:rsidRDefault="00236E18" w:rsidP="00236E18">
      <w:pPr>
        <w:rPr>
          <w:sz w:val="20"/>
          <w:highlight w:val="lightGray"/>
        </w:rPr>
      </w:pPr>
    </w:p>
    <w:p w:rsidR="00236E18" w:rsidRPr="00ED4DE9" w:rsidRDefault="00236E18" w:rsidP="00236E18">
      <w:pPr>
        <w:keepLines/>
        <w:jc w:val="center"/>
        <w:rPr>
          <w:b/>
          <w:sz w:val="20"/>
        </w:rPr>
      </w:pPr>
      <w:r>
        <w:rPr>
          <w:b/>
          <w:sz w:val="20"/>
        </w:rPr>
        <w:t>Recursos de fondos fiduciarios disponibles potencialmente para su utilización</w:t>
      </w:r>
      <w:r w:rsidRPr="00ED4DE9">
        <w:rPr>
          <w:b/>
          <w:sz w:val="20"/>
        </w:rPr>
        <w:t xml:space="preserve"> 2016/17</w:t>
      </w:r>
      <w:r>
        <w:rPr>
          <w:b/>
          <w:sz w:val="20"/>
        </w:rPr>
        <w:br/>
      </w:r>
      <w:r w:rsidRPr="00ED4DE9">
        <w:rPr>
          <w:b/>
          <w:sz w:val="20"/>
        </w:rPr>
        <w:t>(</w:t>
      </w:r>
      <w:r>
        <w:rPr>
          <w:b/>
          <w:sz w:val="20"/>
        </w:rPr>
        <w:t>POR</w:t>
      </w:r>
      <w:r w:rsidRPr="00ED4DE9">
        <w:rPr>
          <w:b/>
          <w:sz w:val="20"/>
        </w:rPr>
        <w:t xml:space="preserve"> PROGRAM</w:t>
      </w:r>
      <w:r>
        <w:rPr>
          <w:b/>
          <w:sz w:val="20"/>
        </w:rPr>
        <w:t>A</w:t>
      </w:r>
      <w:r w:rsidRPr="00ED4DE9">
        <w:rPr>
          <w:b/>
          <w:sz w:val="20"/>
        </w:rPr>
        <w:t>)</w:t>
      </w:r>
      <w:r w:rsidRPr="00ED4DE9">
        <w:rPr>
          <w:sz w:val="20"/>
          <w:vertAlign w:val="superscript"/>
        </w:rPr>
        <w:t>1</w:t>
      </w:r>
    </w:p>
    <w:p w:rsidR="00236E18" w:rsidRPr="00ED4DE9" w:rsidRDefault="00236E18" w:rsidP="00236E18">
      <w:pPr>
        <w:keepLines/>
        <w:jc w:val="center"/>
        <w:rPr>
          <w:i/>
          <w:sz w:val="20"/>
        </w:rPr>
      </w:pPr>
      <w:r w:rsidRPr="00ED4DE9">
        <w:rPr>
          <w:i/>
          <w:sz w:val="20"/>
        </w:rPr>
        <w:t>(</w:t>
      </w:r>
      <w:proofErr w:type="gramStart"/>
      <w:r>
        <w:rPr>
          <w:i/>
          <w:sz w:val="20"/>
        </w:rPr>
        <w:t>en</w:t>
      </w:r>
      <w:proofErr w:type="gramEnd"/>
      <w:r>
        <w:rPr>
          <w:i/>
          <w:sz w:val="20"/>
        </w:rPr>
        <w:t xml:space="preserve"> miles de francos suizos</w:t>
      </w:r>
      <w:r w:rsidRPr="00ED4DE9">
        <w:rPr>
          <w:i/>
          <w:sz w:val="20"/>
        </w:rPr>
        <w:t>)</w:t>
      </w:r>
    </w:p>
    <w:p w:rsidR="00236E18" w:rsidRPr="003C14CD" w:rsidRDefault="00236E18" w:rsidP="00236E18">
      <w:pPr>
        <w:keepLines/>
        <w:rPr>
          <w:sz w:val="18"/>
          <w:highlight w:val="lightGray"/>
        </w:rPr>
      </w:pPr>
    </w:p>
    <w:p w:rsidR="00236E18" w:rsidRPr="00DD333A" w:rsidRDefault="00236E18" w:rsidP="00236E18">
      <w:pPr>
        <w:keepLines/>
        <w:rPr>
          <w:sz w:val="20"/>
          <w:highlight w:val="lightGray"/>
        </w:rPr>
      </w:pPr>
      <w:r w:rsidRPr="007E5EE2">
        <w:rPr>
          <w:noProof/>
          <w:lang w:val="en-US" w:eastAsia="en-US"/>
        </w:rPr>
        <w:drawing>
          <wp:inline distT="0" distB="0" distL="0" distR="0" wp14:anchorId="7081852E" wp14:editId="33DF3371">
            <wp:extent cx="5940425" cy="897456"/>
            <wp:effectExtent l="0" t="0" r="3175" b="0"/>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940425" cy="897456"/>
                    </a:xfrm>
                    <a:prstGeom prst="rect">
                      <a:avLst/>
                    </a:prstGeom>
                    <a:noFill/>
                    <a:ln>
                      <a:noFill/>
                    </a:ln>
                  </pic:spPr>
                </pic:pic>
              </a:graphicData>
            </a:graphic>
          </wp:inline>
        </w:drawing>
      </w:r>
    </w:p>
    <w:p w:rsidR="00236E18" w:rsidRPr="00ED4DE9" w:rsidRDefault="00236E18" w:rsidP="00236E18">
      <w:pPr>
        <w:keepLines/>
        <w:jc w:val="both"/>
        <w:rPr>
          <w:bCs/>
          <w:sz w:val="20"/>
        </w:rPr>
      </w:pPr>
    </w:p>
    <w:p w:rsidR="00236E18" w:rsidRPr="00ED4DE9" w:rsidRDefault="00236E18" w:rsidP="00236E18">
      <w:pPr>
        <w:keepLines/>
        <w:spacing w:after="60"/>
        <w:rPr>
          <w:i/>
          <w:sz w:val="16"/>
          <w:szCs w:val="14"/>
        </w:rPr>
      </w:pPr>
      <w:r w:rsidRPr="00ED4DE9">
        <w:rPr>
          <w:i/>
          <w:sz w:val="16"/>
          <w:szCs w:val="14"/>
          <w:vertAlign w:val="superscript"/>
        </w:rPr>
        <w:t>1</w:t>
      </w:r>
      <w:r>
        <w:rPr>
          <w:i/>
          <w:sz w:val="16"/>
          <w:szCs w:val="14"/>
          <w:vertAlign w:val="superscript"/>
        </w:rPr>
        <w:t xml:space="preserve">  </w:t>
      </w:r>
      <w:r>
        <w:rPr>
          <w:i/>
          <w:sz w:val="16"/>
          <w:szCs w:val="14"/>
        </w:rPr>
        <w:t>En las cifras no se han incluido los intereses ni los ajustes cambiarios</w:t>
      </w:r>
      <w:r w:rsidRPr="00ED4DE9">
        <w:rPr>
          <w:i/>
          <w:sz w:val="16"/>
          <w:szCs w:val="14"/>
        </w:rPr>
        <w:t xml:space="preserve">.  </w:t>
      </w:r>
      <w:r>
        <w:rPr>
          <w:i/>
          <w:sz w:val="16"/>
          <w:szCs w:val="14"/>
        </w:rPr>
        <w:t>Cabe observar asimismo que estos fondos se destinan generalmente a actividades que cubren un período que va más allá de un solo bienio, a medida que se reciben los ingresos y se incurre en gastos</w:t>
      </w:r>
      <w:r w:rsidRPr="00ED4DE9">
        <w:rPr>
          <w:i/>
          <w:sz w:val="16"/>
          <w:szCs w:val="14"/>
        </w:rPr>
        <w:t>.</w:t>
      </w:r>
    </w:p>
    <w:p w:rsidR="00236E18" w:rsidRPr="003C14CD" w:rsidRDefault="00236E18" w:rsidP="00236E18">
      <w:pPr>
        <w:widowControl w:val="0"/>
        <w:rPr>
          <w:szCs w:val="22"/>
        </w:rPr>
      </w:pPr>
      <w:r w:rsidRPr="00ED4DE9">
        <w:rPr>
          <w:i/>
          <w:sz w:val="16"/>
          <w:szCs w:val="14"/>
          <w:vertAlign w:val="superscript"/>
        </w:rPr>
        <w:t>2</w:t>
      </w:r>
      <w:r>
        <w:rPr>
          <w:i/>
          <w:sz w:val="16"/>
          <w:szCs w:val="14"/>
          <w:vertAlign w:val="superscript"/>
        </w:rPr>
        <w:t xml:space="preserve">  </w:t>
      </w:r>
      <w:r>
        <w:rPr>
          <w:i/>
          <w:sz w:val="16"/>
          <w:szCs w:val="14"/>
        </w:rPr>
        <w:t>Estas cifras son puramente indicativas y se basan en patrones de financiación anteriores</w:t>
      </w:r>
      <w:r w:rsidRPr="00ED4DE9">
        <w:rPr>
          <w:i/>
          <w:sz w:val="16"/>
          <w:szCs w:val="14"/>
        </w:rPr>
        <w:t xml:space="preserve">.  </w:t>
      </w:r>
      <w:r>
        <w:rPr>
          <w:i/>
          <w:sz w:val="16"/>
          <w:szCs w:val="14"/>
        </w:rPr>
        <w:t>No representan los compromisos de los Estados miembros salvo cuando quedan incluidos en el acuerdo de fondos fiduciarios</w:t>
      </w:r>
      <w:r w:rsidRPr="00ED4DE9">
        <w:rPr>
          <w:i/>
          <w:sz w:val="16"/>
          <w:szCs w:val="14"/>
        </w:rPr>
        <w:t>.</w:t>
      </w:r>
      <w:r w:rsidRPr="003C14CD">
        <w:rPr>
          <w:szCs w:val="22"/>
        </w:rPr>
        <w:br w:type="page"/>
      </w:r>
    </w:p>
    <w:p w:rsidR="00236E18" w:rsidRPr="00F4741E" w:rsidRDefault="00236E18" w:rsidP="00236E18">
      <w:pPr>
        <w:pStyle w:val="StyleStyleHeading3ComplexItalicLatin12pt"/>
        <w:rPr>
          <w:lang w:val="es-ES"/>
        </w:rPr>
      </w:pPr>
      <w:bookmarkStart w:id="117" w:name="_Toc431573571"/>
      <w:bookmarkStart w:id="118" w:name="_Toc431573972"/>
      <w:r w:rsidRPr="00F4741E">
        <w:rPr>
          <w:lang w:val="es-ES"/>
        </w:rPr>
        <w:lastRenderedPageBreak/>
        <w:t>PROGRAMA 22</w:t>
      </w:r>
      <w:r w:rsidRPr="00F4741E">
        <w:rPr>
          <w:lang w:val="es-ES"/>
        </w:rPr>
        <w:tab/>
        <w:t>GESTIÓN DE PROGRAMAS Y RECURSOS</w:t>
      </w:r>
      <w:bookmarkEnd w:id="117"/>
      <w:bookmarkEnd w:id="118"/>
    </w:p>
    <w:p w:rsidR="00236E18" w:rsidRPr="00781BE0" w:rsidRDefault="00236E18" w:rsidP="00236E18"/>
    <w:p w:rsidR="00236E18" w:rsidRPr="00781BE0" w:rsidRDefault="00236E18" w:rsidP="00236E18">
      <w:pPr>
        <w:keepNext/>
        <w:keepLines/>
        <w:tabs>
          <w:tab w:val="left" w:pos="2268"/>
        </w:tabs>
        <w:ind w:left="2268" w:hanging="2268"/>
        <w:rPr>
          <w:b/>
          <w:sz w:val="20"/>
        </w:rPr>
      </w:pPr>
    </w:p>
    <w:p w:rsidR="00236E18" w:rsidRPr="00781BE0" w:rsidRDefault="00236E18" w:rsidP="00236E18">
      <w:pPr>
        <w:pStyle w:val="BodyTextIndent"/>
        <w:keepNext/>
        <w:keepLines/>
        <w:spacing w:after="0"/>
        <w:ind w:left="1985" w:hanging="1985"/>
        <w:jc w:val="both"/>
        <w:rPr>
          <w:szCs w:val="22"/>
        </w:rPr>
      </w:pPr>
      <w:r w:rsidRPr="00781BE0">
        <w:rPr>
          <w:szCs w:val="22"/>
        </w:rPr>
        <w:t>CONTEXTO DE PLANIFICACIÓN</w:t>
      </w:r>
    </w:p>
    <w:p w:rsidR="00236E18" w:rsidRPr="00781BE0" w:rsidRDefault="00236E18" w:rsidP="00236E18">
      <w:pPr>
        <w:ind w:left="6"/>
        <w:jc w:val="both"/>
        <w:rPr>
          <w:sz w:val="20"/>
        </w:rPr>
      </w:pPr>
    </w:p>
    <w:p w:rsidR="00236E18" w:rsidRPr="00781BE0" w:rsidRDefault="00236E18" w:rsidP="00236E18">
      <w:pPr>
        <w:numPr>
          <w:ilvl w:val="0"/>
          <w:numId w:val="38"/>
        </w:numPr>
        <w:jc w:val="both"/>
        <w:rPr>
          <w:sz w:val="20"/>
        </w:rPr>
      </w:pPr>
      <w:r w:rsidRPr="00781BE0">
        <w:rPr>
          <w:sz w:val="20"/>
        </w:rPr>
        <w:t>Las incertidumbres de la economía mundial, la volatilidad de los mercados de divisas, los cambios en el entorno bancario, el modesto crecimiento de los ingresos, el incremento de los costos de personal y la creciente demanda mundial de servicios de la OMPI siguen estableciendo unas circunstancias complejas para la ejecución de este programa en el bienio 2016/17.  En el presente bienio se ha constatado la incidencia positiva de la plena implantación del enfoque de gestión por resultados, un proceso más desarrollado de gestión de riesgos y una atención más pronunciada al fortalecimiento de la gestión financiera y los controles internos.  Gracias a las mejoras en la integración de los procesos y sistemas de gestión financiera, presupuestaria y de rendimiento de los programas y de gestión de riesgos, este programa está en condiciones de poner en práctica un enfoque exhaustivo de gestión del rendimiento de la Organización que abarca principios de gestión institucional, operacional y financiera.</w:t>
      </w:r>
    </w:p>
    <w:p w:rsidR="00236E18" w:rsidRPr="00781BE0" w:rsidRDefault="00236E18" w:rsidP="00236E18">
      <w:pPr>
        <w:rPr>
          <w:sz w:val="20"/>
        </w:rPr>
      </w:pPr>
    </w:p>
    <w:p w:rsidR="00236E18" w:rsidRPr="00781BE0" w:rsidRDefault="00236E18" w:rsidP="00236E18">
      <w:pPr>
        <w:rPr>
          <w:sz w:val="20"/>
        </w:rPr>
      </w:pPr>
    </w:p>
    <w:p w:rsidR="00236E18" w:rsidRPr="00781BE0" w:rsidRDefault="00236E18" w:rsidP="00236E18">
      <w:pPr>
        <w:tabs>
          <w:tab w:val="left" w:pos="567"/>
          <w:tab w:val="left" w:pos="1985"/>
        </w:tabs>
        <w:jc w:val="both"/>
        <w:rPr>
          <w:bCs/>
          <w:szCs w:val="22"/>
        </w:rPr>
      </w:pPr>
      <w:r w:rsidRPr="00781BE0">
        <w:rPr>
          <w:bCs/>
          <w:szCs w:val="22"/>
        </w:rPr>
        <w:t>ESTRATEGIAS DE EJECUCIÓN</w:t>
      </w:r>
    </w:p>
    <w:p w:rsidR="00236E18" w:rsidRPr="00781BE0" w:rsidRDefault="00236E18" w:rsidP="00236E18">
      <w:pPr>
        <w:tabs>
          <w:tab w:val="left" w:pos="567"/>
          <w:tab w:val="left" w:pos="1985"/>
        </w:tabs>
        <w:jc w:val="both"/>
        <w:rPr>
          <w:bCs/>
          <w:sz w:val="20"/>
        </w:rPr>
      </w:pPr>
    </w:p>
    <w:p w:rsidR="00236E18" w:rsidRPr="008245AE" w:rsidRDefault="00236E18" w:rsidP="00236E18">
      <w:pPr>
        <w:numPr>
          <w:ilvl w:val="0"/>
          <w:numId w:val="38"/>
        </w:numPr>
        <w:jc w:val="both"/>
        <w:rPr>
          <w:sz w:val="20"/>
        </w:rPr>
      </w:pPr>
      <w:r w:rsidRPr="00781BE0">
        <w:rPr>
          <w:sz w:val="20"/>
        </w:rPr>
        <w:t>Uno de los objetivos principales de las actividades durante el bienio 2016/17 será velar por que toda la serie de procesos, desde la planificación a la supervisión, evaluación y presentación de informes, tenga la misma calidad en toda la Organización, haciendo posible de esa manera que este programa preste un apoyo más adecuado al Director General y participe con los directores de programas en seguir mejorando la ejecución de los programas.  Se seguirá facilitando la ejecución de los programas gracias a las capacidades de inteligencia institucional desarrolladas recientemente que servirán para tratar los datos de los sistemas de PRI que comprenden actualmente datos financieros, de compras, rendimiento de los programas, presupuesto, recursos y humanos y los relacionados con el riesgo.  En el próximo bienio el programa ofrecerá un apoyo activo a los directores de programas para el análisis de sus actividades y modelos de ejecución con el fin de identificar oportunidades de mejorar de manera continua el rendimiento y la eficacia en función de los costos.  Esta labor comprenderá el fortalecimiento de la gestión financiera de los proyectos.</w:t>
      </w:r>
      <w:r>
        <w:rPr>
          <w:sz w:val="20"/>
        </w:rPr>
        <w:t xml:space="preserve">  </w:t>
      </w:r>
      <w:r w:rsidRPr="008245AE">
        <w:rPr>
          <w:sz w:val="20"/>
        </w:rPr>
        <w:t>Esas iniciativas</w:t>
      </w:r>
      <w:r>
        <w:rPr>
          <w:sz w:val="20"/>
        </w:rPr>
        <w:t xml:space="preserve"> permitirán acentuar aún más el grado de madurez de la Organización en la gestión por resultados</w:t>
      </w:r>
      <w:r w:rsidRPr="008245AE">
        <w:rPr>
          <w:sz w:val="20"/>
        </w:rPr>
        <w:t>.</w:t>
      </w:r>
    </w:p>
    <w:p w:rsidR="00236E18" w:rsidRPr="00984EFC" w:rsidRDefault="00236E18" w:rsidP="00236E18">
      <w:pPr>
        <w:ind w:left="6"/>
        <w:jc w:val="both"/>
        <w:rPr>
          <w:sz w:val="20"/>
          <w:lang w:val="es-ES_tradnl"/>
        </w:rPr>
      </w:pPr>
    </w:p>
    <w:p w:rsidR="00236E18" w:rsidRPr="00984EFC" w:rsidRDefault="00236E18" w:rsidP="00236E18">
      <w:pPr>
        <w:numPr>
          <w:ilvl w:val="0"/>
          <w:numId w:val="38"/>
        </w:numPr>
        <w:jc w:val="both"/>
        <w:rPr>
          <w:sz w:val="20"/>
          <w:lang w:val="es-ES_tradnl"/>
        </w:rPr>
      </w:pPr>
      <w:r w:rsidRPr="00BE6047">
        <w:rPr>
          <w:sz w:val="20"/>
        </w:rPr>
        <w:t xml:space="preserve">Entre las prioridades del programa figurará el continuo perfeccionamiento de los procesos de previsión y gestión de ingresos de la OMPI, así como de seguimiento de los gastos.  Esta labor conllevará seguir colaborando con los programas que generan ingresos para seguir conociendo mejor las pautas de pago respecto de las tasas PCT recibidas de las Oficinas receptoras y mejorar los procesos y la prestación de servicios al cliente </w:t>
      </w:r>
      <w:r>
        <w:rPr>
          <w:sz w:val="20"/>
        </w:rPr>
        <w:t>en lo relativo a</w:t>
      </w:r>
      <w:r w:rsidRPr="00BE6047">
        <w:rPr>
          <w:sz w:val="20"/>
        </w:rPr>
        <w:t xml:space="preserve"> las tasas del Sistema de Madrid.</w:t>
      </w:r>
      <w:r>
        <w:rPr>
          <w:sz w:val="20"/>
        </w:rPr>
        <w:t xml:space="preserve">  En el marco del programa se efectuará el seguimiento, en colaboración con el programa 5, de las decisiones que adopten los Estados miembros para cubrirse del riesgo cambiario asociado a las tasas del PCT.  </w:t>
      </w:r>
      <w:r w:rsidRPr="00BE6047">
        <w:rPr>
          <w:sz w:val="20"/>
        </w:rPr>
        <w:t xml:space="preserve">  </w:t>
      </w:r>
      <w:r w:rsidRPr="00BE6047">
        <w:rPr>
          <w:sz w:val="20"/>
          <w:lang w:val="es-ES_tradnl"/>
        </w:rPr>
        <w:t xml:space="preserve">Está previsto que estas iniciativas sigan fortaleciendo la gestión de riesgos financieros.  </w:t>
      </w:r>
      <w:r w:rsidRPr="00BE6047">
        <w:rPr>
          <w:sz w:val="20"/>
        </w:rPr>
        <w:t>El próximo bienio se caracterizará por varios cambios en el ámbito bancario y de inversiones habida cuenta de que al final de diciembre de 2015 finalizará el ventajoso acuerdo financiero que ofrece actualmente a la OMPI el Departamento Federal Suizo de Finanzas y la introducción de tipos de interés negativos en los depósitos en francos suizos.  Por lo tanto, el programa tendrá que velar por adoptar un enfoque más activo de planificación y gestión de inversiones que resulte no obstante prudente, bajo la orientación de una política revisada de inversiones aprobada por los Estados miembros.</w:t>
      </w:r>
      <w:r>
        <w:rPr>
          <w:sz w:val="20"/>
        </w:rPr>
        <w:t xml:space="preserve">  Además, el programa velará, en colaboración con el programa 23 (Gestión y desarrollo de los recursos humanos), por que se efectúe una supervisión estrecha de los gastos de personal de cara a su contención de conformidad con el plan.</w:t>
      </w:r>
    </w:p>
    <w:p w:rsidR="00236E18" w:rsidRPr="00984EFC" w:rsidRDefault="00236E18" w:rsidP="00236E18">
      <w:pPr>
        <w:tabs>
          <w:tab w:val="left" w:pos="567"/>
          <w:tab w:val="left" w:pos="1985"/>
        </w:tabs>
        <w:jc w:val="both"/>
        <w:rPr>
          <w:bCs/>
          <w:sz w:val="20"/>
          <w:lang w:val="es-ES_tradnl"/>
        </w:rPr>
      </w:pPr>
    </w:p>
    <w:p w:rsidR="00236E18" w:rsidRPr="00781BE0" w:rsidRDefault="00236E18" w:rsidP="00236E18">
      <w:pPr>
        <w:numPr>
          <w:ilvl w:val="0"/>
          <w:numId w:val="38"/>
        </w:numPr>
        <w:jc w:val="both"/>
        <w:rPr>
          <w:sz w:val="20"/>
        </w:rPr>
      </w:pPr>
      <w:r w:rsidRPr="00781BE0">
        <w:rPr>
          <w:sz w:val="20"/>
        </w:rPr>
        <w:t xml:space="preserve">El programa seguirá asumiendo como parte de las operaciones la implantación de nuevos módulos y capacidades del sistema de PRI que conlleven la necesidad de respaldar y sostener un sistema de PRI plenamente integrado de manera eficaz en función de los costos y orientado a los servicios.  La subcontratación de la labor de apoyo, mantenimiento y desarrollo técnico en el marco de un marco sólido de gestión y control de calidad seguirá siendo una estrategia esencial.  La puesta en práctica del sistema de planificación de los recursos institucionales y de mejores capacidades para la presentación de informes representa una gran oportunidad para sistematizar el uso de los instrumentos de análisis y la información institucional para fundamentar las decisiones que deban adoptarse en materia de programas y de gestión de recursos.  Un sistema de presentación de informes mejorado también permitirá que en el marco del programa se evalúe y se siga reforzando los controles donde sea necesario.  La puesta en práctica de la cartera de proyectos del PRI, la entrada en funcionamiento de los </w:t>
      </w:r>
      <w:r w:rsidRPr="00781BE0">
        <w:rPr>
          <w:sz w:val="20"/>
        </w:rPr>
        <w:lastRenderedPageBreak/>
        <w:t>sistemas implantados y una mayor atención al seguimiento y evaluación de los beneficios garantizarán la continuidad del valor generado por la cartera de proyectos.</w:t>
      </w:r>
    </w:p>
    <w:p w:rsidR="00236E18" w:rsidRPr="00781BE0" w:rsidRDefault="00236E18" w:rsidP="00236E18">
      <w:pPr>
        <w:rPr>
          <w:sz w:val="20"/>
        </w:rPr>
      </w:pPr>
    </w:p>
    <w:p w:rsidR="00236E18" w:rsidRPr="00781BE0" w:rsidRDefault="00236E18" w:rsidP="00236E18">
      <w:pPr>
        <w:numPr>
          <w:ilvl w:val="0"/>
          <w:numId w:val="38"/>
        </w:numPr>
        <w:jc w:val="both"/>
        <w:rPr>
          <w:sz w:val="20"/>
        </w:rPr>
      </w:pPr>
      <w:r w:rsidRPr="00781BE0">
        <w:rPr>
          <w:sz w:val="20"/>
        </w:rPr>
        <w:t>En el bienio presente se han desarrollado notablemente la cultura y los procesos de gestión de riesgos de la Organización.  Teniendo como base esa situación, el programa seguirá facilitando la labor del Grupo de Gestión de Riesgos mediante el examen y la supervisión de riesgos esenciales e institucionales, así como mediante la presentación sistemática de informes sobre riesgos y el apoyo al proceso de gestión de riesgos en toda la Organización.  El programa prestará gran atención a fomentar visiblemente el desarrollo del sistema de control interno de la Organización.  En este contexto, proseguirán los esfuerzos para que quede constancia de los procesos esenciales de control, se fomente la sensibilización acerca de las circunstancias que rodean la labor de control y de los controles esenciales, se mejore el apoyo que se ofrece al sistema de control mediante la información y los análisis de los sistemas de PRI y se evalúe de manera constante la efectividad de los controles esenciales.  El programa otorgará carácter prioritario al diálogo establecido de manera continua con los órganos de auditoría y supervisión y al seguimiento sistemático de todas las recomendaciones pendientes.</w:t>
      </w:r>
    </w:p>
    <w:p w:rsidR="00236E18" w:rsidRPr="00781BE0" w:rsidRDefault="00236E18" w:rsidP="00236E18">
      <w:pPr>
        <w:ind w:left="6"/>
        <w:jc w:val="both"/>
        <w:rPr>
          <w:sz w:val="20"/>
        </w:rPr>
      </w:pPr>
    </w:p>
    <w:p w:rsidR="00236E18" w:rsidRPr="00781BE0" w:rsidRDefault="00236E18" w:rsidP="00236E18">
      <w:pPr>
        <w:ind w:left="6"/>
        <w:jc w:val="both"/>
        <w:rPr>
          <w:sz w:val="20"/>
        </w:rPr>
      </w:pPr>
    </w:p>
    <w:p w:rsidR="00236E18" w:rsidRPr="00781BE0" w:rsidRDefault="00236E18" w:rsidP="00236E18">
      <w:pPr>
        <w:jc w:val="both"/>
        <w:rPr>
          <w:sz w:val="28"/>
          <w:szCs w:val="28"/>
        </w:rPr>
      </w:pPr>
      <w:r w:rsidRPr="00781BE0">
        <w:rPr>
          <w:szCs w:val="22"/>
        </w:rPr>
        <w:t xml:space="preserve">PRINCIPALES RIESGOS Y ESTRATEGIAS DE MITIGACIÓN </w:t>
      </w:r>
    </w:p>
    <w:p w:rsidR="00236E18" w:rsidRPr="00781BE0" w:rsidRDefault="00236E18" w:rsidP="00236E18">
      <w:pPr>
        <w:rPr>
          <w:sz w:val="20"/>
        </w:rPr>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245"/>
      </w:tblGrid>
      <w:tr w:rsidR="00236E18" w:rsidRPr="00781BE0" w:rsidTr="00294272">
        <w:trPr>
          <w:trHeight w:val="577"/>
        </w:trPr>
        <w:tc>
          <w:tcPr>
            <w:tcW w:w="4111" w:type="dxa"/>
            <w:tcBorders>
              <w:top w:val="single" w:sz="4" w:space="0" w:color="auto"/>
              <w:bottom w:val="single" w:sz="4" w:space="0" w:color="auto"/>
            </w:tcBorders>
            <w:shd w:val="clear" w:color="auto" w:fill="C6D9F1"/>
            <w:vAlign w:val="center"/>
          </w:tcPr>
          <w:p w:rsidR="00236E18" w:rsidRPr="00781BE0" w:rsidRDefault="00236E18" w:rsidP="00294272">
            <w:pPr>
              <w:jc w:val="center"/>
              <w:rPr>
                <w:b/>
                <w:bCs/>
                <w:sz w:val="18"/>
                <w:szCs w:val="18"/>
              </w:rPr>
            </w:pPr>
            <w:r w:rsidRPr="00781BE0">
              <w:rPr>
                <w:b/>
                <w:bCs/>
                <w:sz w:val="18"/>
                <w:szCs w:val="18"/>
              </w:rPr>
              <w:t>Riesgo</w:t>
            </w:r>
          </w:p>
        </w:tc>
        <w:tc>
          <w:tcPr>
            <w:tcW w:w="5245" w:type="dxa"/>
            <w:tcBorders>
              <w:top w:val="single" w:sz="4" w:space="0" w:color="auto"/>
              <w:bottom w:val="single" w:sz="4" w:space="0" w:color="auto"/>
            </w:tcBorders>
            <w:shd w:val="clear" w:color="auto" w:fill="C6D9F1"/>
            <w:vAlign w:val="center"/>
          </w:tcPr>
          <w:p w:rsidR="00236E18" w:rsidRPr="00781BE0" w:rsidRDefault="00236E18" w:rsidP="00294272">
            <w:pPr>
              <w:jc w:val="center"/>
              <w:rPr>
                <w:b/>
                <w:bCs/>
                <w:sz w:val="18"/>
                <w:szCs w:val="18"/>
              </w:rPr>
            </w:pPr>
            <w:r w:rsidRPr="00781BE0">
              <w:rPr>
                <w:b/>
                <w:bCs/>
                <w:sz w:val="18"/>
                <w:szCs w:val="18"/>
              </w:rPr>
              <w:t>Mitigación</w:t>
            </w:r>
          </w:p>
        </w:tc>
      </w:tr>
      <w:tr w:rsidR="00236E18" w:rsidRPr="00781BE0" w:rsidTr="00294272">
        <w:trPr>
          <w:trHeight w:val="1101"/>
        </w:trPr>
        <w:tc>
          <w:tcPr>
            <w:tcW w:w="4111" w:type="dxa"/>
            <w:tcBorders>
              <w:top w:val="single" w:sz="4" w:space="0" w:color="auto"/>
            </w:tcBorders>
            <w:shd w:val="clear" w:color="auto" w:fill="auto"/>
            <w:tcMar>
              <w:top w:w="113" w:type="dxa"/>
              <w:bottom w:w="113" w:type="dxa"/>
            </w:tcMar>
          </w:tcPr>
          <w:p w:rsidR="00236E18" w:rsidRPr="00781BE0" w:rsidRDefault="00236E18" w:rsidP="00294272">
            <w:pPr>
              <w:rPr>
                <w:sz w:val="16"/>
                <w:szCs w:val="16"/>
              </w:rPr>
            </w:pPr>
            <w:r w:rsidRPr="00781BE0">
              <w:rPr>
                <w:sz w:val="16"/>
                <w:szCs w:val="16"/>
              </w:rPr>
              <w:t>Los niveles de ingresos podrían ser bastante inferiores a los previstos.  Esta circunstancia, unida a la incapacidad para reaccionar rápidamente a fin de reducir gastos a un nivel adecuado, podría acarrear un déficit y repercutir negativamente en la ejecución de los programas.</w:t>
            </w:r>
          </w:p>
        </w:tc>
        <w:tc>
          <w:tcPr>
            <w:tcW w:w="5245" w:type="dxa"/>
            <w:tcBorders>
              <w:top w:val="single" w:sz="4" w:space="0" w:color="auto"/>
            </w:tcBorders>
            <w:shd w:val="clear" w:color="auto" w:fill="auto"/>
            <w:tcMar>
              <w:top w:w="113" w:type="dxa"/>
              <w:bottom w:w="113" w:type="dxa"/>
            </w:tcMar>
          </w:tcPr>
          <w:p w:rsidR="00236E18" w:rsidRPr="00984EFC" w:rsidRDefault="00236E18" w:rsidP="00294272">
            <w:pPr>
              <w:rPr>
                <w:sz w:val="16"/>
                <w:szCs w:val="16"/>
                <w:lang w:val="es-ES_tradnl"/>
              </w:rPr>
            </w:pPr>
            <w:r w:rsidRPr="00150F07">
              <w:rPr>
                <w:sz w:val="16"/>
                <w:szCs w:val="16"/>
              </w:rPr>
              <w:t xml:space="preserve">La Organización mantiene actualmente un nivel de reservas adecuado (alrededor del 18% del presupuesto bienal) para poder hacer frente a una posible disminución de los ingresos.  El aumento de las reservas específicas contribuirá a mitigar ese riego.  </w:t>
            </w:r>
          </w:p>
          <w:p w:rsidR="00236E18" w:rsidRPr="00984EFC" w:rsidRDefault="00236E18" w:rsidP="00294272">
            <w:pPr>
              <w:rPr>
                <w:sz w:val="16"/>
                <w:szCs w:val="16"/>
                <w:lang w:val="es-ES_tradnl"/>
              </w:rPr>
            </w:pPr>
          </w:p>
          <w:p w:rsidR="00236E18" w:rsidRPr="00150F07" w:rsidRDefault="00236E18" w:rsidP="00294272">
            <w:pPr>
              <w:rPr>
                <w:sz w:val="16"/>
                <w:szCs w:val="16"/>
              </w:rPr>
            </w:pPr>
            <w:r w:rsidRPr="00150F07">
              <w:rPr>
                <w:sz w:val="16"/>
                <w:szCs w:val="16"/>
              </w:rPr>
              <w:t>La Secretaría actualiza trimestralmente las previsiones de ingresos y supervisa estrechamente los ingresos y los gastos.</w:t>
            </w:r>
          </w:p>
        </w:tc>
      </w:tr>
      <w:tr w:rsidR="00236E18" w:rsidRPr="00781BE0" w:rsidTr="00294272">
        <w:trPr>
          <w:trHeight w:val="1188"/>
        </w:trPr>
        <w:tc>
          <w:tcPr>
            <w:tcW w:w="4111" w:type="dxa"/>
            <w:shd w:val="clear" w:color="auto" w:fill="auto"/>
            <w:tcMar>
              <w:top w:w="113" w:type="dxa"/>
              <w:bottom w:w="113" w:type="dxa"/>
            </w:tcMar>
          </w:tcPr>
          <w:p w:rsidR="00236E18" w:rsidRPr="00781BE0" w:rsidRDefault="00236E18" w:rsidP="00294272">
            <w:pPr>
              <w:rPr>
                <w:sz w:val="16"/>
                <w:szCs w:val="16"/>
              </w:rPr>
            </w:pPr>
            <w:r w:rsidRPr="00781BE0">
              <w:rPr>
                <w:sz w:val="16"/>
                <w:szCs w:val="16"/>
              </w:rPr>
              <w:t>En el contexto de una Organización con aversión al riesgo y del cambio en la política del Banco Nacional Suizo en relación con la gestión de las cuentas de las organizaciones internacionales, se puede producir el riesgo de que aumenten los gastos así como de que se reduzcan los activos netos (reservas) debido a:  i) tipos de interés negativos, ii) cargas adicionales por colocaciones múltiples y iii) falta de garantía plena de capital para cubrir los activos líquidos que será necesario colocar en varios bancos comerciales de calificación inferior.</w:t>
            </w:r>
          </w:p>
        </w:tc>
        <w:tc>
          <w:tcPr>
            <w:tcW w:w="5245" w:type="dxa"/>
            <w:shd w:val="clear" w:color="auto" w:fill="auto"/>
            <w:tcMar>
              <w:top w:w="113" w:type="dxa"/>
              <w:bottom w:w="113" w:type="dxa"/>
            </w:tcMar>
          </w:tcPr>
          <w:p w:rsidR="00236E18" w:rsidRPr="00044170" w:rsidRDefault="00236E18" w:rsidP="00294272">
            <w:pPr>
              <w:rPr>
                <w:sz w:val="16"/>
                <w:szCs w:val="16"/>
                <w:highlight w:val="lightGray"/>
              </w:rPr>
            </w:pPr>
            <w:r w:rsidRPr="00150F07">
              <w:rPr>
                <w:sz w:val="16"/>
                <w:szCs w:val="16"/>
              </w:rPr>
              <w:t xml:space="preserve">La aprobación por los Estados miembros de una nueva política de inversiones i) posibilitará a la Organización colocar sus activos líquidos en instituciones financieras que tienen una calificación inferior a la del Banco Nacional Suizo y ii) hará posible que se inviertan los activos líquidos de la Organización para obtener </w:t>
            </w:r>
            <w:r>
              <w:rPr>
                <w:sz w:val="16"/>
                <w:szCs w:val="16"/>
              </w:rPr>
              <w:t>algo de rendimiento</w:t>
            </w:r>
            <w:r w:rsidRPr="00150F07">
              <w:rPr>
                <w:sz w:val="16"/>
                <w:szCs w:val="16"/>
              </w:rPr>
              <w:t>, en caso de que se acepte la posibilidad de que se produzcan pérdidas limitadas</w:t>
            </w:r>
            <w:r>
              <w:rPr>
                <w:sz w:val="16"/>
                <w:szCs w:val="16"/>
              </w:rPr>
              <w:t xml:space="preserve"> y iii) permitirá que se inviertan, de forma que generen una tasa positiva de rentabilidad a largo plazo, los fondos de la Organización destinados a las prestaciones de seguro médico después de la separación del servicio.</w:t>
            </w:r>
          </w:p>
        </w:tc>
      </w:tr>
    </w:tbl>
    <w:p w:rsidR="00236E18" w:rsidRPr="00781BE0" w:rsidRDefault="00236E18" w:rsidP="00236E18">
      <w:pPr>
        <w:tabs>
          <w:tab w:val="left" w:pos="567"/>
          <w:tab w:val="left" w:pos="1985"/>
        </w:tabs>
        <w:jc w:val="both"/>
        <w:rPr>
          <w:bCs/>
          <w:sz w:val="20"/>
        </w:rPr>
      </w:pPr>
    </w:p>
    <w:p w:rsidR="00236E18" w:rsidRPr="00781BE0" w:rsidRDefault="00236E18" w:rsidP="00236E18">
      <w:pPr>
        <w:tabs>
          <w:tab w:val="left" w:pos="567"/>
          <w:tab w:val="left" w:pos="1985"/>
        </w:tabs>
        <w:jc w:val="both"/>
        <w:rPr>
          <w:bCs/>
          <w:sz w:val="20"/>
        </w:rPr>
      </w:pPr>
    </w:p>
    <w:p w:rsidR="00236E18" w:rsidRPr="00781BE0" w:rsidRDefault="00236E18" w:rsidP="00236E18">
      <w:pPr>
        <w:tabs>
          <w:tab w:val="left" w:pos="567"/>
          <w:tab w:val="left" w:pos="1985"/>
        </w:tabs>
        <w:jc w:val="both"/>
        <w:rPr>
          <w:bCs/>
          <w:szCs w:val="22"/>
        </w:rPr>
      </w:pPr>
      <w:r w:rsidRPr="00781BE0">
        <w:rPr>
          <w:bCs/>
          <w:szCs w:val="22"/>
        </w:rPr>
        <w:t>MARCO DE RESULTADOS</w:t>
      </w:r>
    </w:p>
    <w:p w:rsidR="00236E18" w:rsidRPr="00781BE0" w:rsidRDefault="00236E18" w:rsidP="00236E18">
      <w:pPr>
        <w:tabs>
          <w:tab w:val="left" w:pos="567"/>
          <w:tab w:val="left" w:pos="1985"/>
        </w:tabs>
        <w:jc w:val="both"/>
        <w:rPr>
          <w:bCs/>
          <w:szCs w:val="22"/>
        </w:rPr>
      </w:pPr>
    </w:p>
    <w:tbl>
      <w:tblPr>
        <w:tblW w:w="9371" w:type="dxa"/>
        <w:tblInd w:w="93" w:type="dxa"/>
        <w:tblLook w:val="04A0" w:firstRow="1" w:lastRow="0" w:firstColumn="1" w:lastColumn="0" w:noHBand="0" w:noVBand="1"/>
      </w:tblPr>
      <w:tblGrid>
        <w:gridCol w:w="2320"/>
        <w:gridCol w:w="2320"/>
        <w:gridCol w:w="2420"/>
        <w:gridCol w:w="2311"/>
      </w:tblGrid>
      <w:tr w:rsidR="00236E18" w:rsidRPr="00781BE0" w:rsidTr="00294272">
        <w:trPr>
          <w:trHeight w:val="465"/>
          <w:tblHeader/>
        </w:trPr>
        <w:tc>
          <w:tcPr>
            <w:tcW w:w="2320" w:type="dxa"/>
            <w:tcBorders>
              <w:top w:val="single" w:sz="4" w:space="0" w:color="auto"/>
              <w:left w:val="single" w:sz="4" w:space="0" w:color="auto"/>
              <w:bottom w:val="single" w:sz="4" w:space="0" w:color="auto"/>
              <w:right w:val="nil"/>
            </w:tcBorders>
            <w:shd w:val="clear" w:color="auto" w:fill="C6D9F1"/>
            <w:tcMar>
              <w:top w:w="85" w:type="dxa"/>
            </w:tcMar>
            <w:vAlign w:val="center"/>
            <w:hideMark/>
          </w:tcPr>
          <w:p w:rsidR="00236E18" w:rsidRPr="00781BE0" w:rsidRDefault="00236E18" w:rsidP="00294272">
            <w:pPr>
              <w:jc w:val="center"/>
              <w:rPr>
                <w:b/>
                <w:bCs/>
                <w:sz w:val="18"/>
                <w:szCs w:val="18"/>
              </w:rPr>
            </w:pPr>
            <w:r w:rsidRPr="00781BE0">
              <w:rPr>
                <w:b/>
                <w:bCs/>
                <w:sz w:val="18"/>
                <w:szCs w:val="18"/>
              </w:rPr>
              <w:t>Resultados previstos</w:t>
            </w:r>
          </w:p>
        </w:tc>
        <w:tc>
          <w:tcPr>
            <w:tcW w:w="2320" w:type="dxa"/>
            <w:tcBorders>
              <w:top w:val="single" w:sz="4" w:space="0" w:color="auto"/>
              <w:left w:val="nil"/>
              <w:bottom w:val="single" w:sz="4" w:space="0" w:color="auto"/>
              <w:right w:val="nil"/>
            </w:tcBorders>
            <w:shd w:val="clear" w:color="auto" w:fill="C6D9F1"/>
            <w:tcMar>
              <w:top w:w="85" w:type="dxa"/>
            </w:tcMar>
            <w:vAlign w:val="center"/>
            <w:hideMark/>
          </w:tcPr>
          <w:p w:rsidR="00236E18" w:rsidRPr="00781BE0" w:rsidRDefault="00236E18" w:rsidP="00294272">
            <w:pPr>
              <w:jc w:val="center"/>
              <w:rPr>
                <w:b/>
                <w:bCs/>
                <w:sz w:val="18"/>
                <w:szCs w:val="18"/>
              </w:rPr>
            </w:pPr>
            <w:r w:rsidRPr="00781BE0">
              <w:rPr>
                <w:b/>
                <w:bCs/>
                <w:sz w:val="18"/>
                <w:szCs w:val="18"/>
              </w:rPr>
              <w:t>Indicadores de rendimiento</w:t>
            </w:r>
          </w:p>
        </w:tc>
        <w:tc>
          <w:tcPr>
            <w:tcW w:w="2420" w:type="dxa"/>
            <w:tcBorders>
              <w:top w:val="single" w:sz="4" w:space="0" w:color="auto"/>
              <w:left w:val="nil"/>
              <w:bottom w:val="single" w:sz="4" w:space="0" w:color="auto"/>
              <w:right w:val="nil"/>
            </w:tcBorders>
            <w:shd w:val="clear" w:color="auto" w:fill="C6D9F1"/>
            <w:tcMar>
              <w:top w:w="85" w:type="dxa"/>
            </w:tcMar>
            <w:vAlign w:val="center"/>
            <w:hideMark/>
          </w:tcPr>
          <w:p w:rsidR="00236E18" w:rsidRPr="00781BE0" w:rsidRDefault="00236E18" w:rsidP="00294272">
            <w:pPr>
              <w:jc w:val="center"/>
              <w:rPr>
                <w:b/>
                <w:bCs/>
                <w:sz w:val="18"/>
                <w:szCs w:val="18"/>
              </w:rPr>
            </w:pPr>
            <w:r w:rsidRPr="00781BE0">
              <w:rPr>
                <w:b/>
                <w:bCs/>
                <w:sz w:val="18"/>
                <w:szCs w:val="18"/>
              </w:rPr>
              <w:t>Referencia</w:t>
            </w:r>
          </w:p>
        </w:tc>
        <w:tc>
          <w:tcPr>
            <w:tcW w:w="2311" w:type="dxa"/>
            <w:tcBorders>
              <w:top w:val="single" w:sz="4" w:space="0" w:color="auto"/>
              <w:left w:val="nil"/>
              <w:bottom w:val="single" w:sz="4" w:space="0" w:color="auto"/>
              <w:right w:val="single" w:sz="4" w:space="0" w:color="auto"/>
            </w:tcBorders>
            <w:shd w:val="clear" w:color="auto" w:fill="C6D9F1"/>
            <w:tcMar>
              <w:top w:w="85" w:type="dxa"/>
            </w:tcMar>
            <w:vAlign w:val="center"/>
            <w:hideMark/>
          </w:tcPr>
          <w:p w:rsidR="00236E18" w:rsidRPr="00781BE0" w:rsidRDefault="00236E18" w:rsidP="00294272">
            <w:pPr>
              <w:jc w:val="center"/>
              <w:rPr>
                <w:b/>
                <w:bCs/>
                <w:sz w:val="18"/>
                <w:szCs w:val="18"/>
              </w:rPr>
            </w:pPr>
            <w:r w:rsidRPr="00781BE0">
              <w:rPr>
                <w:b/>
                <w:bCs/>
                <w:sz w:val="18"/>
                <w:szCs w:val="18"/>
              </w:rPr>
              <w:t>Objetivos</w:t>
            </w:r>
          </w:p>
        </w:tc>
      </w:tr>
      <w:tr w:rsidR="00236E18" w:rsidRPr="00781BE0" w:rsidTr="00294272">
        <w:trPr>
          <w:trHeight w:val="1593"/>
        </w:trPr>
        <w:tc>
          <w:tcPr>
            <w:tcW w:w="2320" w:type="dxa"/>
            <w:tcBorders>
              <w:top w:val="single" w:sz="4" w:space="0" w:color="auto"/>
              <w:left w:val="single" w:sz="4" w:space="0" w:color="auto"/>
              <w:right w:val="nil"/>
            </w:tcBorders>
            <w:shd w:val="clear" w:color="000000" w:fill="FFFFFF"/>
            <w:tcMar>
              <w:top w:w="85" w:type="dxa"/>
            </w:tcMar>
            <w:hideMark/>
          </w:tcPr>
          <w:p w:rsidR="00236E18" w:rsidRPr="00781BE0" w:rsidRDefault="00236E18" w:rsidP="00294272">
            <w:pPr>
              <w:rPr>
                <w:sz w:val="16"/>
                <w:szCs w:val="16"/>
              </w:rPr>
            </w:pPr>
            <w:r w:rsidRPr="00781BE0">
              <w:rPr>
                <w:sz w:val="16"/>
                <w:szCs w:val="16"/>
              </w:rPr>
              <w:t>IX.</w:t>
            </w:r>
            <w:r w:rsidRPr="00150F07">
              <w:rPr>
                <w:sz w:val="16"/>
                <w:szCs w:val="16"/>
              </w:rPr>
              <w:t xml:space="preserve">1  </w:t>
            </w:r>
            <w:r w:rsidRPr="00150F07">
              <w:rPr>
                <w:sz w:val="16"/>
                <w:szCs w:val="16"/>
                <w:lang w:val="es-ES_tradnl"/>
              </w:rPr>
              <w:t>Servicios de apoyo eficaces, eficientes, de calidad y orientados al cliente, tanto a los usuarios internos como a las partes interesadas externas</w:t>
            </w:r>
          </w:p>
        </w:tc>
        <w:tc>
          <w:tcPr>
            <w:tcW w:w="2320" w:type="dxa"/>
            <w:tcBorders>
              <w:top w:val="single" w:sz="4" w:space="0" w:color="auto"/>
              <w:left w:val="nil"/>
              <w:right w:val="nil"/>
            </w:tcBorders>
            <w:shd w:val="clear" w:color="000000" w:fill="FFFFFF"/>
            <w:tcMar>
              <w:top w:w="85" w:type="dxa"/>
            </w:tcMar>
            <w:hideMark/>
          </w:tcPr>
          <w:p w:rsidR="00236E18" w:rsidRPr="00781BE0" w:rsidRDefault="00236E18" w:rsidP="00294272">
            <w:pPr>
              <w:rPr>
                <w:sz w:val="16"/>
                <w:szCs w:val="16"/>
              </w:rPr>
            </w:pPr>
            <w:r w:rsidRPr="00781BE0">
              <w:rPr>
                <w:sz w:val="16"/>
                <w:szCs w:val="16"/>
              </w:rPr>
              <w:t xml:space="preserve">Suministro de informes y análisis financieros y de </w:t>
            </w:r>
            <w:proofErr w:type="gramStart"/>
            <w:r w:rsidRPr="00781BE0">
              <w:rPr>
                <w:sz w:val="16"/>
                <w:szCs w:val="16"/>
              </w:rPr>
              <w:t>gestión solicitados</w:t>
            </w:r>
            <w:proofErr w:type="gramEnd"/>
            <w:r w:rsidRPr="00781BE0">
              <w:rPr>
                <w:sz w:val="16"/>
                <w:szCs w:val="16"/>
              </w:rPr>
              <w:t xml:space="preserve"> por el personal directivo superior, los directores de programas y los Estados miembros, con arreglo a los plazos acordados.</w:t>
            </w:r>
          </w:p>
        </w:tc>
        <w:tc>
          <w:tcPr>
            <w:tcW w:w="2420" w:type="dxa"/>
            <w:tcBorders>
              <w:top w:val="single" w:sz="4" w:space="0" w:color="auto"/>
              <w:left w:val="nil"/>
              <w:right w:val="nil"/>
            </w:tcBorders>
            <w:shd w:val="clear" w:color="000000" w:fill="FFFFFF"/>
            <w:tcMar>
              <w:top w:w="85" w:type="dxa"/>
            </w:tcMar>
            <w:hideMark/>
          </w:tcPr>
          <w:p w:rsidR="00236E18" w:rsidRPr="00781BE0" w:rsidRDefault="00236E18" w:rsidP="00294272">
            <w:pPr>
              <w:ind w:left="87"/>
              <w:rPr>
                <w:sz w:val="16"/>
                <w:szCs w:val="16"/>
              </w:rPr>
            </w:pPr>
            <w:r w:rsidRPr="00781BE0">
              <w:rPr>
                <w:sz w:val="16"/>
                <w:szCs w:val="16"/>
              </w:rPr>
              <w:t>El cierre mensual finaliza 10 días laborables después del final de mes (salvo en enero, cuando el cierre se determina por los avances en el cierre anual).</w:t>
            </w:r>
          </w:p>
        </w:tc>
        <w:tc>
          <w:tcPr>
            <w:tcW w:w="2311" w:type="dxa"/>
            <w:tcBorders>
              <w:top w:val="single" w:sz="4" w:space="0" w:color="auto"/>
              <w:left w:val="nil"/>
              <w:right w:val="single" w:sz="4" w:space="0" w:color="auto"/>
            </w:tcBorders>
            <w:shd w:val="clear" w:color="000000" w:fill="FFFFFF"/>
            <w:tcMar>
              <w:top w:w="85" w:type="dxa"/>
            </w:tcMar>
            <w:hideMark/>
          </w:tcPr>
          <w:p w:rsidR="00236E18" w:rsidRPr="00781BE0" w:rsidRDefault="00236E18" w:rsidP="00294272">
            <w:pPr>
              <w:keepNext/>
              <w:keepLines/>
              <w:ind w:left="77"/>
              <w:rPr>
                <w:sz w:val="16"/>
                <w:szCs w:val="16"/>
              </w:rPr>
            </w:pPr>
            <w:r w:rsidRPr="00781BE0">
              <w:rPr>
                <w:sz w:val="16"/>
                <w:szCs w:val="16"/>
              </w:rPr>
              <w:t>Igual a la referencia de base.</w:t>
            </w:r>
          </w:p>
        </w:tc>
      </w:tr>
      <w:tr w:rsidR="00236E18" w:rsidRPr="00781BE0" w:rsidTr="00294272">
        <w:trPr>
          <w:trHeight w:val="635"/>
        </w:trPr>
        <w:tc>
          <w:tcPr>
            <w:tcW w:w="2320" w:type="dxa"/>
            <w:tcBorders>
              <w:top w:val="nil"/>
              <w:left w:val="single" w:sz="4" w:space="0" w:color="auto"/>
              <w:right w:val="nil"/>
            </w:tcBorders>
            <w:shd w:val="clear" w:color="000000" w:fill="FFFFFF"/>
            <w:tcMar>
              <w:top w:w="85" w:type="dxa"/>
            </w:tcMar>
            <w:hideMark/>
          </w:tcPr>
          <w:p w:rsidR="00236E18" w:rsidRPr="00781BE0" w:rsidRDefault="00236E18" w:rsidP="00294272">
            <w:pPr>
              <w:rPr>
                <w:sz w:val="16"/>
                <w:szCs w:val="16"/>
              </w:rPr>
            </w:pPr>
          </w:p>
        </w:tc>
        <w:tc>
          <w:tcPr>
            <w:tcW w:w="2320" w:type="dxa"/>
            <w:tcBorders>
              <w:top w:val="nil"/>
              <w:left w:val="nil"/>
              <w:right w:val="nil"/>
            </w:tcBorders>
            <w:shd w:val="clear" w:color="000000" w:fill="FFFFFF"/>
            <w:tcMar>
              <w:top w:w="85" w:type="dxa"/>
            </w:tcMar>
            <w:hideMark/>
          </w:tcPr>
          <w:p w:rsidR="00236E18" w:rsidRPr="00781BE0" w:rsidRDefault="00236E18" w:rsidP="00294272">
            <w:pPr>
              <w:ind w:left="-3"/>
              <w:rPr>
                <w:sz w:val="16"/>
                <w:szCs w:val="16"/>
              </w:rPr>
            </w:pPr>
            <w:r w:rsidRPr="00781BE0">
              <w:rPr>
                <w:sz w:val="16"/>
                <w:szCs w:val="16"/>
              </w:rPr>
              <w:t>N</w:t>
            </w:r>
            <w:r>
              <w:rPr>
                <w:sz w:val="16"/>
                <w:szCs w:val="16"/>
              </w:rPr>
              <w:t>º</w:t>
            </w:r>
            <w:r w:rsidRPr="00781BE0">
              <w:rPr>
                <w:sz w:val="16"/>
                <w:szCs w:val="16"/>
              </w:rPr>
              <w:t xml:space="preserve"> de documentos del PBC presentados a tiempo a los Estados miembros</w:t>
            </w:r>
          </w:p>
        </w:tc>
        <w:tc>
          <w:tcPr>
            <w:tcW w:w="2420" w:type="dxa"/>
            <w:tcBorders>
              <w:top w:val="nil"/>
              <w:left w:val="nil"/>
              <w:right w:val="nil"/>
            </w:tcBorders>
            <w:shd w:val="clear" w:color="000000" w:fill="FFFFFF"/>
            <w:tcMar>
              <w:top w:w="85" w:type="dxa"/>
            </w:tcMar>
            <w:hideMark/>
          </w:tcPr>
          <w:p w:rsidR="00236E18" w:rsidRPr="00781BE0" w:rsidRDefault="00236E18" w:rsidP="00294272">
            <w:pPr>
              <w:ind w:left="87"/>
              <w:rPr>
                <w:sz w:val="16"/>
                <w:szCs w:val="16"/>
              </w:rPr>
            </w:pPr>
            <w:r>
              <w:rPr>
                <w:sz w:val="16"/>
                <w:szCs w:val="16"/>
              </w:rPr>
              <w:t>12</w:t>
            </w:r>
            <w:r w:rsidRPr="00781BE0">
              <w:rPr>
                <w:sz w:val="16"/>
                <w:szCs w:val="16"/>
              </w:rPr>
              <w:t xml:space="preserve">% (2014 sobre la base de un plazo de </w:t>
            </w:r>
            <w:r>
              <w:rPr>
                <w:sz w:val="16"/>
                <w:szCs w:val="16"/>
              </w:rPr>
              <w:t>8</w:t>
            </w:r>
            <w:r w:rsidRPr="00781BE0">
              <w:rPr>
                <w:sz w:val="16"/>
                <w:szCs w:val="16"/>
              </w:rPr>
              <w:t xml:space="preserve"> semanas)</w:t>
            </w:r>
          </w:p>
        </w:tc>
        <w:tc>
          <w:tcPr>
            <w:tcW w:w="2311" w:type="dxa"/>
            <w:tcBorders>
              <w:top w:val="nil"/>
              <w:left w:val="nil"/>
              <w:right w:val="single" w:sz="4" w:space="0" w:color="auto"/>
            </w:tcBorders>
            <w:shd w:val="clear" w:color="000000" w:fill="FFFFFF"/>
            <w:tcMar>
              <w:top w:w="85" w:type="dxa"/>
            </w:tcMar>
            <w:hideMark/>
          </w:tcPr>
          <w:p w:rsidR="00236E18" w:rsidRPr="00781BE0" w:rsidRDefault="00236E18" w:rsidP="00294272">
            <w:pPr>
              <w:keepNext/>
              <w:keepLines/>
              <w:ind w:left="77"/>
              <w:rPr>
                <w:sz w:val="16"/>
                <w:szCs w:val="16"/>
              </w:rPr>
            </w:pPr>
            <w:r>
              <w:rPr>
                <w:sz w:val="16"/>
                <w:szCs w:val="16"/>
              </w:rPr>
              <w:t>15</w:t>
            </w:r>
            <w:r w:rsidRPr="00781BE0">
              <w:rPr>
                <w:sz w:val="16"/>
                <w:szCs w:val="16"/>
              </w:rPr>
              <w:t>% (sobre la base de un plazo de 8 semanas)</w:t>
            </w:r>
          </w:p>
        </w:tc>
      </w:tr>
      <w:tr w:rsidR="00236E18" w:rsidRPr="00781BE0" w:rsidTr="00294272">
        <w:trPr>
          <w:trHeight w:val="1280"/>
        </w:trPr>
        <w:tc>
          <w:tcPr>
            <w:tcW w:w="2320" w:type="dxa"/>
            <w:tcBorders>
              <w:left w:val="single" w:sz="4" w:space="0" w:color="auto"/>
              <w:bottom w:val="single" w:sz="4" w:space="0" w:color="auto"/>
              <w:right w:val="nil"/>
            </w:tcBorders>
            <w:shd w:val="clear" w:color="000000" w:fill="FFFFFF"/>
            <w:tcMar>
              <w:top w:w="85" w:type="dxa"/>
            </w:tcMar>
            <w:hideMark/>
          </w:tcPr>
          <w:p w:rsidR="00236E18" w:rsidRPr="00781BE0" w:rsidRDefault="00236E18" w:rsidP="00294272">
            <w:pPr>
              <w:rPr>
                <w:sz w:val="16"/>
                <w:szCs w:val="16"/>
              </w:rPr>
            </w:pPr>
          </w:p>
        </w:tc>
        <w:tc>
          <w:tcPr>
            <w:tcW w:w="2320" w:type="dxa"/>
            <w:tcBorders>
              <w:left w:val="nil"/>
              <w:bottom w:val="single" w:sz="4" w:space="0" w:color="auto"/>
              <w:right w:val="nil"/>
            </w:tcBorders>
            <w:shd w:val="clear" w:color="000000" w:fill="FFFFFF"/>
            <w:tcMar>
              <w:top w:w="85" w:type="dxa"/>
            </w:tcMar>
            <w:hideMark/>
          </w:tcPr>
          <w:p w:rsidR="00236E18" w:rsidRPr="00781BE0" w:rsidRDefault="00236E18" w:rsidP="00294272">
            <w:pPr>
              <w:ind w:left="-3"/>
              <w:rPr>
                <w:sz w:val="16"/>
                <w:szCs w:val="16"/>
              </w:rPr>
            </w:pPr>
            <w:r w:rsidRPr="00781BE0">
              <w:rPr>
                <w:sz w:val="16"/>
                <w:szCs w:val="16"/>
              </w:rPr>
              <w:t>El sistema de la OMPI de PRI (AIMS) funciona eficazmente con arreglo a las necesidades operacionales y en concordancia con las mejores prácticas</w:t>
            </w:r>
          </w:p>
        </w:tc>
        <w:tc>
          <w:tcPr>
            <w:tcW w:w="2420" w:type="dxa"/>
            <w:tcBorders>
              <w:left w:val="nil"/>
              <w:bottom w:val="single" w:sz="4" w:space="0" w:color="auto"/>
              <w:right w:val="nil"/>
            </w:tcBorders>
            <w:shd w:val="clear" w:color="000000" w:fill="FFFFFF"/>
            <w:tcMar>
              <w:top w:w="85" w:type="dxa"/>
            </w:tcMar>
            <w:hideMark/>
          </w:tcPr>
          <w:p w:rsidR="00236E18" w:rsidRPr="00781BE0" w:rsidRDefault="00236E18" w:rsidP="00294272">
            <w:pPr>
              <w:keepNext/>
              <w:keepLines/>
              <w:ind w:left="87"/>
              <w:rPr>
                <w:sz w:val="16"/>
                <w:szCs w:val="16"/>
              </w:rPr>
            </w:pPr>
            <w:r w:rsidRPr="00781BE0">
              <w:rPr>
                <w:sz w:val="16"/>
                <w:szCs w:val="16"/>
              </w:rPr>
              <w:t xml:space="preserve">En 2014, el porcentaje de tiempo útil del AIMS fue del 99.80%.  El número más elevado de incidentes de carácter prioritario que están sin resolver en todo momento fue de 25. </w:t>
            </w:r>
          </w:p>
        </w:tc>
        <w:tc>
          <w:tcPr>
            <w:tcW w:w="2311" w:type="dxa"/>
            <w:tcBorders>
              <w:left w:val="nil"/>
              <w:bottom w:val="single" w:sz="4" w:space="0" w:color="auto"/>
              <w:right w:val="single" w:sz="4" w:space="0" w:color="auto"/>
            </w:tcBorders>
            <w:shd w:val="clear" w:color="000000" w:fill="FFFFFF"/>
            <w:tcMar>
              <w:top w:w="85" w:type="dxa"/>
            </w:tcMar>
            <w:hideMark/>
          </w:tcPr>
          <w:p w:rsidR="00236E18" w:rsidRPr="00781BE0" w:rsidRDefault="00236E18" w:rsidP="00294272">
            <w:pPr>
              <w:keepNext/>
              <w:keepLines/>
              <w:ind w:left="77"/>
              <w:rPr>
                <w:sz w:val="16"/>
                <w:szCs w:val="16"/>
              </w:rPr>
            </w:pPr>
            <w:r>
              <w:rPr>
                <w:sz w:val="16"/>
                <w:szCs w:val="16"/>
              </w:rPr>
              <w:t>P</w:t>
            </w:r>
            <w:r w:rsidRPr="00781BE0">
              <w:rPr>
                <w:sz w:val="16"/>
                <w:szCs w:val="16"/>
              </w:rPr>
              <w:t>orcentaje de tiempo útil de AIMS es superior al 99</w:t>
            </w:r>
            <w:r>
              <w:rPr>
                <w:sz w:val="16"/>
                <w:szCs w:val="16"/>
              </w:rPr>
              <w:t>,</w:t>
            </w:r>
            <w:r w:rsidRPr="00781BE0">
              <w:rPr>
                <w:sz w:val="16"/>
                <w:szCs w:val="16"/>
              </w:rPr>
              <w:t>9%</w:t>
            </w:r>
            <w:r>
              <w:rPr>
                <w:sz w:val="16"/>
                <w:szCs w:val="16"/>
              </w:rPr>
              <w:t xml:space="preserve">. </w:t>
            </w:r>
            <w:r w:rsidRPr="00781BE0">
              <w:rPr>
                <w:sz w:val="16"/>
                <w:szCs w:val="16"/>
              </w:rPr>
              <w:t>No hay más de 20 incidentes de carácter prioritario que estén sin resolver en todo momento. Los incidentes de carácter prioritario se resuelven en 8 días</w:t>
            </w:r>
            <w:r>
              <w:rPr>
                <w:sz w:val="16"/>
                <w:szCs w:val="16"/>
              </w:rPr>
              <w:t xml:space="preserve"> como máximo</w:t>
            </w:r>
            <w:r w:rsidRPr="00781BE0">
              <w:rPr>
                <w:sz w:val="16"/>
                <w:szCs w:val="16"/>
              </w:rPr>
              <w:t>.</w:t>
            </w:r>
          </w:p>
        </w:tc>
      </w:tr>
      <w:tr w:rsidR="00236E18" w:rsidRPr="00781BE0" w:rsidTr="00294272">
        <w:trPr>
          <w:trHeight w:val="764"/>
        </w:trPr>
        <w:tc>
          <w:tcPr>
            <w:tcW w:w="2320" w:type="dxa"/>
            <w:tcBorders>
              <w:top w:val="single" w:sz="4" w:space="0" w:color="auto"/>
              <w:left w:val="single" w:sz="4" w:space="0" w:color="auto"/>
              <w:right w:val="nil"/>
            </w:tcBorders>
            <w:shd w:val="clear" w:color="000000" w:fill="FFFFFF"/>
            <w:tcMar>
              <w:top w:w="85" w:type="dxa"/>
            </w:tcMar>
            <w:hideMark/>
          </w:tcPr>
          <w:p w:rsidR="00236E18" w:rsidRPr="00781BE0" w:rsidRDefault="00236E18" w:rsidP="00294272">
            <w:pPr>
              <w:rPr>
                <w:sz w:val="16"/>
                <w:szCs w:val="16"/>
              </w:rPr>
            </w:pPr>
            <w:r w:rsidRPr="00781BE0">
              <w:rPr>
                <w:sz w:val="16"/>
                <w:szCs w:val="16"/>
              </w:rPr>
              <w:lastRenderedPageBreak/>
              <w:t> </w:t>
            </w:r>
          </w:p>
        </w:tc>
        <w:tc>
          <w:tcPr>
            <w:tcW w:w="2320" w:type="dxa"/>
            <w:tcBorders>
              <w:top w:val="single" w:sz="4" w:space="0" w:color="auto"/>
              <w:left w:val="nil"/>
              <w:right w:val="nil"/>
            </w:tcBorders>
            <w:shd w:val="clear" w:color="000000" w:fill="FFFFFF"/>
            <w:tcMar>
              <w:top w:w="85" w:type="dxa"/>
            </w:tcMar>
            <w:hideMark/>
          </w:tcPr>
          <w:p w:rsidR="00236E18" w:rsidRPr="00781BE0" w:rsidRDefault="00236E18" w:rsidP="00294272">
            <w:pPr>
              <w:ind w:left="-3"/>
              <w:rPr>
                <w:sz w:val="16"/>
                <w:szCs w:val="16"/>
              </w:rPr>
            </w:pPr>
            <w:r w:rsidRPr="00781BE0">
              <w:rPr>
                <w:sz w:val="16"/>
                <w:szCs w:val="16"/>
              </w:rPr>
              <w:t>Los proyectos de PRI se ejecutan con arreglo a lo previsto y en el marco del presupuesto de la cartera</w:t>
            </w:r>
          </w:p>
        </w:tc>
        <w:tc>
          <w:tcPr>
            <w:tcW w:w="2420" w:type="dxa"/>
            <w:tcBorders>
              <w:top w:val="single" w:sz="4" w:space="0" w:color="auto"/>
              <w:left w:val="nil"/>
              <w:right w:val="nil"/>
            </w:tcBorders>
            <w:shd w:val="clear" w:color="000000" w:fill="FFFFFF"/>
            <w:tcMar>
              <w:top w:w="85" w:type="dxa"/>
            </w:tcMar>
            <w:hideMark/>
          </w:tcPr>
          <w:p w:rsidR="00236E18" w:rsidRPr="00781BE0" w:rsidRDefault="00236E18" w:rsidP="00294272">
            <w:pPr>
              <w:ind w:left="87"/>
              <w:rPr>
                <w:sz w:val="16"/>
                <w:szCs w:val="16"/>
              </w:rPr>
            </w:pPr>
            <w:r w:rsidRPr="004C05E1">
              <w:rPr>
                <w:sz w:val="16"/>
                <w:szCs w:val="16"/>
              </w:rPr>
              <w:t>Plan actualizado comunicado a los Estados miembros en 2015.  El presupuesto corresponde al aprobado por los Estados miembros en 2010.</w:t>
            </w:r>
          </w:p>
        </w:tc>
        <w:tc>
          <w:tcPr>
            <w:tcW w:w="2311" w:type="dxa"/>
            <w:tcBorders>
              <w:top w:val="single" w:sz="4" w:space="0" w:color="auto"/>
              <w:left w:val="nil"/>
              <w:right w:val="single" w:sz="4" w:space="0" w:color="auto"/>
            </w:tcBorders>
            <w:shd w:val="clear" w:color="000000" w:fill="FFFFFF"/>
            <w:tcMar>
              <w:top w:w="85" w:type="dxa"/>
            </w:tcMar>
            <w:hideMark/>
          </w:tcPr>
          <w:p w:rsidR="00236E18" w:rsidRPr="00781BE0" w:rsidRDefault="00236E18" w:rsidP="00294272">
            <w:pPr>
              <w:tabs>
                <w:tab w:val="left" w:pos="218"/>
              </w:tabs>
              <w:ind w:leftChars="90" w:left="198"/>
              <w:rPr>
                <w:sz w:val="16"/>
                <w:szCs w:val="16"/>
              </w:rPr>
            </w:pPr>
            <w:r w:rsidRPr="00781BE0">
              <w:rPr>
                <w:sz w:val="16"/>
                <w:szCs w:val="16"/>
              </w:rPr>
              <w:t xml:space="preserve">De conformidad con lo previsto </w:t>
            </w:r>
          </w:p>
        </w:tc>
      </w:tr>
      <w:tr w:rsidR="00236E18" w:rsidRPr="00781BE0" w:rsidTr="00294272">
        <w:trPr>
          <w:trHeight w:val="1840"/>
        </w:trPr>
        <w:tc>
          <w:tcPr>
            <w:tcW w:w="2320" w:type="dxa"/>
            <w:tcBorders>
              <w:left w:val="single" w:sz="4" w:space="0" w:color="auto"/>
              <w:bottom w:val="nil"/>
              <w:right w:val="nil"/>
            </w:tcBorders>
            <w:shd w:val="clear" w:color="000000" w:fill="FFFFFF"/>
            <w:tcMar>
              <w:top w:w="85" w:type="dxa"/>
            </w:tcMar>
            <w:hideMark/>
          </w:tcPr>
          <w:p w:rsidR="00236E18" w:rsidRPr="00781BE0" w:rsidRDefault="00236E18" w:rsidP="00294272">
            <w:pPr>
              <w:rPr>
                <w:sz w:val="16"/>
                <w:szCs w:val="16"/>
              </w:rPr>
            </w:pPr>
            <w:r w:rsidRPr="00781BE0">
              <w:rPr>
                <w:sz w:val="16"/>
                <w:szCs w:val="16"/>
              </w:rPr>
              <w:t>IX.</w:t>
            </w:r>
            <w:r w:rsidRPr="004C05E1">
              <w:rPr>
                <w:sz w:val="16"/>
                <w:szCs w:val="16"/>
              </w:rPr>
              <w:t xml:space="preserve">2  </w:t>
            </w:r>
            <w:r w:rsidRPr="004C05E1">
              <w:rPr>
                <w:sz w:val="16"/>
                <w:szCs w:val="16"/>
                <w:lang w:val="es-ES_tradnl"/>
              </w:rPr>
              <w:t>Funcionamiento sin contratiempos de la Secretaría, provista de un personal bien dirigido, dotado de las competencias adecuadas, y capaz de conseguir resultados</w:t>
            </w:r>
          </w:p>
        </w:tc>
        <w:tc>
          <w:tcPr>
            <w:tcW w:w="2320" w:type="dxa"/>
            <w:tcBorders>
              <w:left w:val="nil"/>
              <w:bottom w:val="nil"/>
              <w:right w:val="nil"/>
            </w:tcBorders>
            <w:shd w:val="clear" w:color="000000" w:fill="FFFFFF"/>
            <w:tcMar>
              <w:top w:w="85" w:type="dxa"/>
            </w:tcMar>
            <w:hideMark/>
          </w:tcPr>
          <w:p w:rsidR="00236E18" w:rsidRPr="00781BE0" w:rsidRDefault="00236E18" w:rsidP="00294272">
            <w:pPr>
              <w:ind w:left="-3"/>
              <w:rPr>
                <w:sz w:val="16"/>
                <w:szCs w:val="16"/>
              </w:rPr>
            </w:pPr>
            <w:r w:rsidRPr="00781BE0">
              <w:rPr>
                <w:sz w:val="16"/>
                <w:szCs w:val="16"/>
              </w:rPr>
              <w:t>Informe financiero satisfactorio del auditor externo que confirma la conformidad de las operaciones contables con los convenios y tratados de la OMPI, el Reglamento y Reglamentación Financier</w:t>
            </w:r>
            <w:r>
              <w:rPr>
                <w:sz w:val="16"/>
                <w:szCs w:val="16"/>
              </w:rPr>
              <w:t>os</w:t>
            </w:r>
            <w:r w:rsidRPr="00781BE0">
              <w:rPr>
                <w:sz w:val="16"/>
                <w:szCs w:val="16"/>
              </w:rPr>
              <w:t xml:space="preserve"> de la OMPI y las IPSAS, según proceda.</w:t>
            </w:r>
          </w:p>
        </w:tc>
        <w:tc>
          <w:tcPr>
            <w:tcW w:w="2420" w:type="dxa"/>
            <w:tcBorders>
              <w:left w:val="nil"/>
              <w:bottom w:val="nil"/>
              <w:right w:val="nil"/>
            </w:tcBorders>
            <w:shd w:val="clear" w:color="000000" w:fill="FFFFFF"/>
            <w:tcMar>
              <w:top w:w="85" w:type="dxa"/>
            </w:tcMar>
            <w:hideMark/>
          </w:tcPr>
          <w:p w:rsidR="00236E18" w:rsidRPr="00781BE0" w:rsidRDefault="00236E18" w:rsidP="00294272">
            <w:pPr>
              <w:ind w:left="87"/>
              <w:rPr>
                <w:sz w:val="16"/>
                <w:szCs w:val="16"/>
              </w:rPr>
            </w:pPr>
            <w:r w:rsidRPr="00781BE0">
              <w:rPr>
                <w:sz w:val="16"/>
                <w:szCs w:val="16"/>
              </w:rPr>
              <w:t>Informe de auditoría satisfactorio en 2014 y 2015 y respuestas proporcionadas en relación con todas las recomendaciones de auditoría.</w:t>
            </w:r>
          </w:p>
        </w:tc>
        <w:tc>
          <w:tcPr>
            <w:tcW w:w="2311" w:type="dxa"/>
            <w:tcBorders>
              <w:left w:val="nil"/>
              <w:bottom w:val="nil"/>
              <w:right w:val="single" w:sz="4" w:space="0" w:color="auto"/>
            </w:tcBorders>
            <w:shd w:val="clear" w:color="000000" w:fill="FFFFFF"/>
            <w:tcMar>
              <w:top w:w="85" w:type="dxa"/>
            </w:tcMar>
            <w:hideMark/>
          </w:tcPr>
          <w:p w:rsidR="00236E18" w:rsidRPr="00781BE0" w:rsidRDefault="00236E18" w:rsidP="00294272">
            <w:pPr>
              <w:ind w:left="218"/>
              <w:rPr>
                <w:sz w:val="16"/>
                <w:szCs w:val="16"/>
              </w:rPr>
            </w:pPr>
            <w:r w:rsidRPr="00781BE0">
              <w:rPr>
                <w:sz w:val="16"/>
                <w:szCs w:val="16"/>
              </w:rPr>
              <w:t xml:space="preserve">Informes de auditoría </w:t>
            </w:r>
            <w:proofErr w:type="gramStart"/>
            <w:r w:rsidRPr="00781BE0">
              <w:rPr>
                <w:sz w:val="16"/>
                <w:szCs w:val="16"/>
              </w:rPr>
              <w:t>satisfactorios</w:t>
            </w:r>
            <w:proofErr w:type="gramEnd"/>
            <w:r w:rsidRPr="00781BE0">
              <w:rPr>
                <w:sz w:val="16"/>
                <w:szCs w:val="16"/>
              </w:rPr>
              <w:t xml:space="preserve"> respecto de los dos años del bienio.</w:t>
            </w:r>
          </w:p>
        </w:tc>
      </w:tr>
      <w:tr w:rsidR="00236E18" w:rsidRPr="00781BE0" w:rsidTr="00294272">
        <w:trPr>
          <w:trHeight w:val="478"/>
        </w:trPr>
        <w:tc>
          <w:tcPr>
            <w:tcW w:w="2320" w:type="dxa"/>
            <w:tcBorders>
              <w:top w:val="nil"/>
              <w:left w:val="single" w:sz="4" w:space="0" w:color="auto"/>
              <w:bottom w:val="nil"/>
              <w:right w:val="nil"/>
            </w:tcBorders>
            <w:shd w:val="clear" w:color="000000" w:fill="FFFFFF"/>
            <w:tcMar>
              <w:top w:w="85" w:type="dxa"/>
            </w:tcMar>
            <w:hideMark/>
          </w:tcPr>
          <w:p w:rsidR="00236E18" w:rsidRPr="00781BE0" w:rsidRDefault="00236E18" w:rsidP="00294272">
            <w:pPr>
              <w:rPr>
                <w:sz w:val="16"/>
                <w:szCs w:val="16"/>
              </w:rPr>
            </w:pPr>
            <w:r w:rsidRPr="00781BE0">
              <w:rPr>
                <w:sz w:val="16"/>
                <w:szCs w:val="16"/>
              </w:rPr>
              <w:t> </w:t>
            </w:r>
          </w:p>
        </w:tc>
        <w:tc>
          <w:tcPr>
            <w:tcW w:w="2320" w:type="dxa"/>
            <w:tcBorders>
              <w:top w:val="nil"/>
              <w:left w:val="nil"/>
              <w:bottom w:val="nil"/>
              <w:right w:val="nil"/>
            </w:tcBorders>
            <w:shd w:val="clear" w:color="000000" w:fill="FFFFFF"/>
            <w:tcMar>
              <w:top w:w="85" w:type="dxa"/>
            </w:tcMar>
            <w:hideMark/>
          </w:tcPr>
          <w:p w:rsidR="00236E18" w:rsidRPr="00781BE0" w:rsidRDefault="00236E18" w:rsidP="00294272">
            <w:pPr>
              <w:ind w:left="-3"/>
              <w:rPr>
                <w:sz w:val="16"/>
                <w:szCs w:val="16"/>
              </w:rPr>
            </w:pPr>
            <w:r w:rsidRPr="00781BE0">
              <w:rPr>
                <w:sz w:val="16"/>
                <w:szCs w:val="16"/>
              </w:rPr>
              <w:t>Fomento del desarrollo de la gestión por resultados</w:t>
            </w:r>
          </w:p>
        </w:tc>
        <w:tc>
          <w:tcPr>
            <w:tcW w:w="2420" w:type="dxa"/>
            <w:tcBorders>
              <w:top w:val="nil"/>
              <w:left w:val="nil"/>
              <w:bottom w:val="nil"/>
              <w:right w:val="nil"/>
            </w:tcBorders>
            <w:shd w:val="clear" w:color="000000" w:fill="FFFFFF"/>
            <w:tcMar>
              <w:top w:w="85" w:type="dxa"/>
            </w:tcMar>
            <w:hideMark/>
          </w:tcPr>
          <w:p w:rsidR="00236E18" w:rsidRPr="00781BE0" w:rsidRDefault="00236E18" w:rsidP="00294272">
            <w:pPr>
              <w:ind w:left="87"/>
              <w:rPr>
                <w:sz w:val="16"/>
                <w:szCs w:val="16"/>
              </w:rPr>
            </w:pPr>
            <w:r w:rsidRPr="00781BE0">
              <w:rPr>
                <w:sz w:val="16"/>
                <w:szCs w:val="16"/>
              </w:rPr>
              <w:t>Nivel de desarrollo 2</w:t>
            </w:r>
          </w:p>
        </w:tc>
        <w:tc>
          <w:tcPr>
            <w:tcW w:w="2311" w:type="dxa"/>
            <w:tcBorders>
              <w:top w:val="nil"/>
              <w:left w:val="nil"/>
              <w:bottom w:val="nil"/>
              <w:right w:val="single" w:sz="4" w:space="0" w:color="auto"/>
            </w:tcBorders>
            <w:shd w:val="clear" w:color="000000" w:fill="FFFFFF"/>
            <w:tcMar>
              <w:top w:w="85" w:type="dxa"/>
            </w:tcMar>
            <w:hideMark/>
          </w:tcPr>
          <w:p w:rsidR="00236E18" w:rsidRPr="00781BE0" w:rsidRDefault="00236E18" w:rsidP="00294272">
            <w:pPr>
              <w:tabs>
                <w:tab w:val="left" w:pos="218"/>
              </w:tabs>
              <w:ind w:left="218"/>
              <w:rPr>
                <w:sz w:val="16"/>
                <w:szCs w:val="16"/>
              </w:rPr>
            </w:pPr>
            <w:r w:rsidRPr="00781BE0">
              <w:rPr>
                <w:sz w:val="16"/>
                <w:szCs w:val="16"/>
              </w:rPr>
              <w:t>Nivel de desarrollo 3</w:t>
            </w:r>
          </w:p>
        </w:tc>
      </w:tr>
      <w:tr w:rsidR="00236E18" w:rsidRPr="00781BE0" w:rsidTr="00294272">
        <w:trPr>
          <w:trHeight w:val="1123"/>
        </w:trPr>
        <w:tc>
          <w:tcPr>
            <w:tcW w:w="2320" w:type="dxa"/>
            <w:tcBorders>
              <w:top w:val="nil"/>
              <w:left w:val="single" w:sz="4" w:space="0" w:color="auto"/>
              <w:bottom w:val="nil"/>
              <w:right w:val="nil"/>
            </w:tcBorders>
            <w:shd w:val="clear" w:color="000000" w:fill="FFFFFF"/>
            <w:tcMar>
              <w:top w:w="85" w:type="dxa"/>
            </w:tcMar>
            <w:hideMark/>
          </w:tcPr>
          <w:p w:rsidR="00236E18" w:rsidRPr="00781BE0" w:rsidRDefault="00236E18" w:rsidP="00294272">
            <w:pPr>
              <w:rPr>
                <w:sz w:val="16"/>
                <w:szCs w:val="16"/>
              </w:rPr>
            </w:pPr>
            <w:r w:rsidRPr="00781BE0">
              <w:rPr>
                <w:sz w:val="16"/>
                <w:szCs w:val="16"/>
              </w:rPr>
              <w:t> </w:t>
            </w:r>
          </w:p>
        </w:tc>
        <w:tc>
          <w:tcPr>
            <w:tcW w:w="2320" w:type="dxa"/>
            <w:tcBorders>
              <w:top w:val="nil"/>
              <w:left w:val="nil"/>
              <w:bottom w:val="nil"/>
              <w:right w:val="nil"/>
            </w:tcBorders>
            <w:shd w:val="clear" w:color="000000" w:fill="FFFFFF"/>
            <w:tcMar>
              <w:top w:w="85" w:type="dxa"/>
            </w:tcMar>
            <w:hideMark/>
          </w:tcPr>
          <w:p w:rsidR="00236E18" w:rsidRPr="00781BE0" w:rsidRDefault="00236E18" w:rsidP="00294272">
            <w:pPr>
              <w:ind w:left="-3"/>
              <w:rPr>
                <w:sz w:val="16"/>
                <w:szCs w:val="16"/>
              </w:rPr>
            </w:pPr>
            <w:r w:rsidRPr="00781BE0">
              <w:rPr>
                <w:sz w:val="16"/>
                <w:szCs w:val="16"/>
              </w:rPr>
              <w:t>Rendimiento del capital invertido en concordancia con los parámetros establecidos por el Comité Asesor de Inversiones (CAI).</w:t>
            </w:r>
          </w:p>
        </w:tc>
        <w:tc>
          <w:tcPr>
            <w:tcW w:w="2420" w:type="dxa"/>
            <w:tcBorders>
              <w:top w:val="nil"/>
              <w:left w:val="nil"/>
              <w:bottom w:val="nil"/>
              <w:right w:val="nil"/>
            </w:tcBorders>
            <w:shd w:val="clear" w:color="000000" w:fill="FFFFFF"/>
            <w:tcMar>
              <w:top w:w="85" w:type="dxa"/>
            </w:tcMar>
            <w:hideMark/>
          </w:tcPr>
          <w:p w:rsidR="00236E18" w:rsidRPr="00781BE0" w:rsidRDefault="00236E18" w:rsidP="00294272">
            <w:pPr>
              <w:ind w:left="87"/>
              <w:rPr>
                <w:sz w:val="16"/>
                <w:szCs w:val="16"/>
              </w:rPr>
            </w:pPr>
            <w:r w:rsidRPr="00781BE0">
              <w:rPr>
                <w:sz w:val="16"/>
                <w:szCs w:val="16"/>
              </w:rPr>
              <w:t>Siguen las inversiones con las autoridades suizas, en concordancia con los parámetros establecidos por el CAI en 2014/15</w:t>
            </w:r>
          </w:p>
          <w:p w:rsidR="00236E18" w:rsidRPr="00781BE0" w:rsidRDefault="00236E18" w:rsidP="00294272">
            <w:pPr>
              <w:ind w:left="229"/>
              <w:rPr>
                <w:sz w:val="16"/>
                <w:szCs w:val="16"/>
              </w:rPr>
            </w:pPr>
          </w:p>
        </w:tc>
        <w:tc>
          <w:tcPr>
            <w:tcW w:w="2311" w:type="dxa"/>
            <w:tcBorders>
              <w:top w:val="nil"/>
              <w:left w:val="nil"/>
              <w:bottom w:val="nil"/>
              <w:right w:val="single" w:sz="4" w:space="0" w:color="auto"/>
            </w:tcBorders>
            <w:shd w:val="clear" w:color="000000" w:fill="FFFFFF"/>
            <w:tcMar>
              <w:top w:w="85" w:type="dxa"/>
            </w:tcMar>
            <w:hideMark/>
          </w:tcPr>
          <w:p w:rsidR="00236E18" w:rsidRPr="00781BE0" w:rsidRDefault="00236E18" w:rsidP="00294272">
            <w:pPr>
              <w:ind w:left="218"/>
              <w:rPr>
                <w:sz w:val="16"/>
                <w:szCs w:val="16"/>
              </w:rPr>
            </w:pPr>
            <w:r w:rsidRPr="00781BE0">
              <w:rPr>
                <w:sz w:val="16"/>
                <w:szCs w:val="16"/>
              </w:rPr>
              <w:t>Rendimiento del capital invertido en concordancia con los parámetros establecidos por el CAI en 2016/17.</w:t>
            </w:r>
          </w:p>
        </w:tc>
      </w:tr>
      <w:tr w:rsidR="00236E18" w:rsidRPr="006A3CA4" w:rsidTr="00294272">
        <w:trPr>
          <w:trHeight w:val="1002"/>
        </w:trPr>
        <w:tc>
          <w:tcPr>
            <w:tcW w:w="2320" w:type="dxa"/>
            <w:tcBorders>
              <w:top w:val="nil"/>
              <w:left w:val="single" w:sz="4" w:space="0" w:color="auto"/>
              <w:right w:val="nil"/>
            </w:tcBorders>
            <w:shd w:val="clear" w:color="000000" w:fill="FFFFFF"/>
            <w:tcMar>
              <w:top w:w="85" w:type="dxa"/>
            </w:tcMar>
            <w:hideMark/>
          </w:tcPr>
          <w:p w:rsidR="00236E18" w:rsidRPr="00781BE0" w:rsidRDefault="00236E18" w:rsidP="00294272">
            <w:pPr>
              <w:rPr>
                <w:sz w:val="16"/>
                <w:szCs w:val="16"/>
              </w:rPr>
            </w:pPr>
            <w:r w:rsidRPr="00781BE0">
              <w:rPr>
                <w:sz w:val="16"/>
                <w:szCs w:val="16"/>
              </w:rPr>
              <w:t> </w:t>
            </w:r>
          </w:p>
        </w:tc>
        <w:tc>
          <w:tcPr>
            <w:tcW w:w="2320" w:type="dxa"/>
            <w:tcBorders>
              <w:top w:val="nil"/>
              <w:left w:val="nil"/>
              <w:right w:val="nil"/>
            </w:tcBorders>
            <w:shd w:val="clear" w:color="000000" w:fill="FFFFFF"/>
            <w:tcMar>
              <w:top w:w="85" w:type="dxa"/>
            </w:tcMar>
            <w:hideMark/>
          </w:tcPr>
          <w:p w:rsidR="00236E18" w:rsidRPr="00781BE0" w:rsidRDefault="00236E18" w:rsidP="00294272">
            <w:pPr>
              <w:ind w:left="-3"/>
              <w:rPr>
                <w:sz w:val="16"/>
                <w:szCs w:val="16"/>
              </w:rPr>
            </w:pPr>
            <w:r w:rsidRPr="00781BE0">
              <w:rPr>
                <w:sz w:val="16"/>
                <w:szCs w:val="16"/>
              </w:rPr>
              <w:t>Gestión eficaz de los gastos y las reservas</w:t>
            </w:r>
          </w:p>
        </w:tc>
        <w:tc>
          <w:tcPr>
            <w:tcW w:w="2420" w:type="dxa"/>
            <w:tcBorders>
              <w:top w:val="nil"/>
              <w:left w:val="nil"/>
              <w:right w:val="nil"/>
            </w:tcBorders>
            <w:shd w:val="clear" w:color="000000" w:fill="FFFFFF"/>
            <w:tcMar>
              <w:top w:w="85" w:type="dxa"/>
            </w:tcMar>
            <w:hideMark/>
          </w:tcPr>
          <w:p w:rsidR="00236E18" w:rsidRPr="004C05E1" w:rsidRDefault="00236E18" w:rsidP="00294272">
            <w:pPr>
              <w:ind w:left="87"/>
              <w:rPr>
                <w:sz w:val="16"/>
                <w:szCs w:val="16"/>
              </w:rPr>
            </w:pPr>
            <w:r w:rsidRPr="004C05E1">
              <w:rPr>
                <w:color w:val="000000"/>
                <w:sz w:val="16"/>
                <w:szCs w:val="16"/>
              </w:rPr>
              <w:t>Panorama de gastos en 2014/15 (presupuesto antes de ajuste IPSAS</w:t>
            </w:r>
            <w:proofErr w:type="gramStart"/>
            <w:r w:rsidRPr="004C05E1">
              <w:rPr>
                <w:color w:val="000000"/>
                <w:sz w:val="16"/>
                <w:szCs w:val="16"/>
              </w:rPr>
              <w:t>) :</w:t>
            </w:r>
            <w:proofErr w:type="gramEnd"/>
            <w:r w:rsidRPr="004C05E1">
              <w:rPr>
                <w:color w:val="000000"/>
                <w:sz w:val="16"/>
                <w:szCs w:val="16"/>
              </w:rPr>
              <w:t xml:space="preserve"> 659</w:t>
            </w:r>
            <w:r>
              <w:rPr>
                <w:color w:val="000000"/>
                <w:sz w:val="16"/>
                <w:szCs w:val="16"/>
              </w:rPr>
              <w:t>,</w:t>
            </w:r>
            <w:r w:rsidRPr="004C05E1">
              <w:rPr>
                <w:color w:val="000000"/>
                <w:sz w:val="16"/>
                <w:szCs w:val="16"/>
              </w:rPr>
              <w:t>9 millon</w:t>
            </w:r>
            <w:r>
              <w:rPr>
                <w:color w:val="000000"/>
                <w:sz w:val="16"/>
                <w:szCs w:val="16"/>
              </w:rPr>
              <w:t>es de francos suizos</w:t>
            </w:r>
            <w:r w:rsidRPr="004C05E1">
              <w:rPr>
                <w:color w:val="000000"/>
                <w:sz w:val="16"/>
                <w:szCs w:val="16"/>
              </w:rPr>
              <w:t xml:space="preserve"> (</w:t>
            </w:r>
            <w:r>
              <w:rPr>
                <w:color w:val="000000"/>
                <w:sz w:val="16"/>
                <w:szCs w:val="16"/>
              </w:rPr>
              <w:t>en abril de</w:t>
            </w:r>
            <w:r w:rsidRPr="004C05E1">
              <w:rPr>
                <w:color w:val="000000"/>
                <w:sz w:val="16"/>
                <w:szCs w:val="16"/>
              </w:rPr>
              <w:t>l 2015).</w:t>
            </w:r>
          </w:p>
        </w:tc>
        <w:tc>
          <w:tcPr>
            <w:tcW w:w="2311" w:type="dxa"/>
            <w:tcBorders>
              <w:top w:val="nil"/>
              <w:left w:val="nil"/>
              <w:right w:val="single" w:sz="4" w:space="0" w:color="auto"/>
            </w:tcBorders>
            <w:shd w:val="clear" w:color="000000" w:fill="FFFFFF"/>
            <w:tcMar>
              <w:top w:w="85" w:type="dxa"/>
            </w:tcMar>
            <w:hideMark/>
          </w:tcPr>
          <w:p w:rsidR="00236E18" w:rsidRPr="00295415" w:rsidRDefault="00236E18" w:rsidP="00294272">
            <w:pPr>
              <w:ind w:left="218"/>
              <w:rPr>
                <w:sz w:val="16"/>
                <w:szCs w:val="16"/>
              </w:rPr>
            </w:pPr>
            <w:r w:rsidRPr="00295415">
              <w:rPr>
                <w:sz w:val="16"/>
                <w:szCs w:val="16"/>
              </w:rPr>
              <w:t xml:space="preserve">Los gastos se gestionan dentro de la asignación presupuestaria global pero no deben superar a los ingresos </w:t>
            </w:r>
            <w:r w:rsidRPr="00295415">
              <w:rPr>
                <w:color w:val="000000"/>
                <w:sz w:val="16"/>
                <w:szCs w:val="16"/>
              </w:rPr>
              <w:t>(</w:t>
            </w:r>
            <w:r>
              <w:rPr>
                <w:color w:val="000000"/>
                <w:sz w:val="16"/>
                <w:szCs w:val="16"/>
              </w:rPr>
              <w:t>si</w:t>
            </w:r>
            <w:r w:rsidRPr="00295415">
              <w:rPr>
                <w:color w:val="000000"/>
                <w:sz w:val="16"/>
                <w:szCs w:val="16"/>
              </w:rPr>
              <w:t xml:space="preserve"> excep</w:t>
            </w:r>
            <w:r>
              <w:rPr>
                <w:color w:val="000000"/>
                <w:sz w:val="16"/>
                <w:szCs w:val="16"/>
              </w:rPr>
              <w:t>c</w:t>
            </w:r>
            <w:r w:rsidRPr="00295415">
              <w:rPr>
                <w:color w:val="000000"/>
                <w:sz w:val="16"/>
                <w:szCs w:val="16"/>
              </w:rPr>
              <w:t>ional</w:t>
            </w:r>
            <w:r>
              <w:rPr>
                <w:color w:val="000000"/>
                <w:sz w:val="16"/>
                <w:szCs w:val="16"/>
              </w:rPr>
              <w:t>mente se previera una caída de los ingresos por debajo del gasto previsto</w:t>
            </w:r>
            <w:r w:rsidRPr="00295415">
              <w:rPr>
                <w:color w:val="000000"/>
                <w:sz w:val="16"/>
                <w:szCs w:val="16"/>
              </w:rPr>
              <w:t>.)</w:t>
            </w:r>
          </w:p>
        </w:tc>
      </w:tr>
      <w:tr w:rsidR="00236E18" w:rsidRPr="00781BE0" w:rsidTr="00294272">
        <w:trPr>
          <w:trHeight w:val="1330"/>
        </w:trPr>
        <w:tc>
          <w:tcPr>
            <w:tcW w:w="2320" w:type="dxa"/>
            <w:tcBorders>
              <w:top w:val="nil"/>
              <w:left w:val="single" w:sz="4" w:space="0" w:color="auto"/>
              <w:right w:val="nil"/>
            </w:tcBorders>
            <w:shd w:val="clear" w:color="000000" w:fill="FFFFFF"/>
            <w:tcMar>
              <w:top w:w="85" w:type="dxa"/>
            </w:tcMar>
            <w:hideMark/>
          </w:tcPr>
          <w:p w:rsidR="00236E18" w:rsidRPr="00984EFC" w:rsidRDefault="00236E18" w:rsidP="00294272">
            <w:pPr>
              <w:rPr>
                <w:sz w:val="16"/>
                <w:szCs w:val="16"/>
                <w:lang w:val="es-ES_tradnl"/>
              </w:rPr>
            </w:pPr>
            <w:r w:rsidRPr="00984EFC">
              <w:rPr>
                <w:sz w:val="16"/>
                <w:szCs w:val="16"/>
                <w:lang w:val="es-ES_tradnl"/>
              </w:rPr>
              <w:t> </w:t>
            </w:r>
          </w:p>
        </w:tc>
        <w:tc>
          <w:tcPr>
            <w:tcW w:w="2320" w:type="dxa"/>
            <w:tcBorders>
              <w:top w:val="nil"/>
              <w:left w:val="nil"/>
              <w:right w:val="nil"/>
            </w:tcBorders>
            <w:shd w:val="clear" w:color="000000" w:fill="FFFFFF"/>
            <w:tcMar>
              <w:top w:w="85" w:type="dxa"/>
            </w:tcMar>
            <w:hideMark/>
          </w:tcPr>
          <w:p w:rsidR="00236E18" w:rsidRPr="00781BE0" w:rsidRDefault="00236E18" w:rsidP="00294272">
            <w:pPr>
              <w:ind w:left="-3"/>
              <w:rPr>
                <w:sz w:val="16"/>
                <w:szCs w:val="16"/>
              </w:rPr>
            </w:pPr>
            <w:r w:rsidRPr="00781BE0">
              <w:rPr>
                <w:sz w:val="16"/>
                <w:szCs w:val="16"/>
              </w:rPr>
              <w:t xml:space="preserve">Los pagos (incluidas las tasas correspondientes a los Sistemas de Madrid y de </w:t>
            </w:r>
            <w:r>
              <w:rPr>
                <w:sz w:val="16"/>
                <w:szCs w:val="16"/>
              </w:rPr>
              <w:t>La Haya</w:t>
            </w:r>
            <w:r w:rsidRPr="00781BE0">
              <w:rPr>
                <w:sz w:val="16"/>
                <w:szCs w:val="16"/>
              </w:rPr>
              <w:t>) se efectúan en el plazo estipulado.</w:t>
            </w:r>
          </w:p>
        </w:tc>
        <w:tc>
          <w:tcPr>
            <w:tcW w:w="2420" w:type="dxa"/>
            <w:tcBorders>
              <w:top w:val="nil"/>
              <w:left w:val="nil"/>
              <w:right w:val="nil"/>
            </w:tcBorders>
            <w:shd w:val="clear" w:color="000000" w:fill="FFFFFF"/>
            <w:tcMar>
              <w:top w:w="85" w:type="dxa"/>
            </w:tcMar>
            <w:hideMark/>
          </w:tcPr>
          <w:p w:rsidR="00236E18" w:rsidRPr="00781BE0" w:rsidRDefault="00236E18" w:rsidP="00294272">
            <w:pPr>
              <w:ind w:left="87"/>
              <w:rPr>
                <w:sz w:val="16"/>
                <w:szCs w:val="16"/>
              </w:rPr>
            </w:pPr>
            <w:r w:rsidRPr="00781BE0">
              <w:rPr>
                <w:sz w:val="16"/>
                <w:szCs w:val="16"/>
              </w:rPr>
              <w:t>90% de los pagos efectuados en un plazo de siete días con arreglo a las condiciones de pago o la fecha de recepción (en caso de recepción tardía) cuando no haya otros problemas de flujo de trabajo (por ejemplo, la no ent</w:t>
            </w:r>
            <w:r>
              <w:rPr>
                <w:sz w:val="16"/>
                <w:szCs w:val="16"/>
              </w:rPr>
              <w:t>rega de la orden de compra, etc.</w:t>
            </w:r>
            <w:r w:rsidRPr="00781BE0">
              <w:rPr>
                <w:sz w:val="16"/>
                <w:szCs w:val="16"/>
              </w:rPr>
              <w:t>).</w:t>
            </w:r>
          </w:p>
        </w:tc>
        <w:tc>
          <w:tcPr>
            <w:tcW w:w="2311" w:type="dxa"/>
            <w:tcBorders>
              <w:top w:val="nil"/>
              <w:left w:val="nil"/>
              <w:right w:val="single" w:sz="4" w:space="0" w:color="auto"/>
            </w:tcBorders>
            <w:shd w:val="clear" w:color="000000" w:fill="FFFFFF"/>
            <w:tcMar>
              <w:top w:w="85" w:type="dxa"/>
            </w:tcMar>
            <w:hideMark/>
          </w:tcPr>
          <w:p w:rsidR="00236E18" w:rsidRPr="00781BE0" w:rsidRDefault="00236E18" w:rsidP="00294272">
            <w:pPr>
              <w:ind w:left="218"/>
              <w:rPr>
                <w:sz w:val="16"/>
                <w:szCs w:val="16"/>
              </w:rPr>
            </w:pPr>
            <w:r w:rsidRPr="00781BE0">
              <w:rPr>
                <w:sz w:val="16"/>
                <w:szCs w:val="16"/>
              </w:rPr>
              <w:t>90% de los pagos efectuados en un plazo de dos a tres días a partir de la recepción de la factura.</w:t>
            </w:r>
          </w:p>
        </w:tc>
      </w:tr>
      <w:tr w:rsidR="00236E18" w:rsidRPr="00781BE0" w:rsidTr="00294272">
        <w:trPr>
          <w:trHeight w:val="207"/>
        </w:trPr>
        <w:tc>
          <w:tcPr>
            <w:tcW w:w="2320" w:type="dxa"/>
            <w:tcBorders>
              <w:left w:val="single" w:sz="4" w:space="0" w:color="auto"/>
              <w:right w:val="nil"/>
            </w:tcBorders>
            <w:shd w:val="clear" w:color="000000" w:fill="FFFFFF"/>
            <w:tcMar>
              <w:top w:w="85" w:type="dxa"/>
            </w:tcMar>
            <w:hideMark/>
          </w:tcPr>
          <w:p w:rsidR="00236E18" w:rsidRPr="00781BE0" w:rsidRDefault="00236E18" w:rsidP="00294272">
            <w:pPr>
              <w:keepNext/>
              <w:rPr>
                <w:sz w:val="16"/>
                <w:szCs w:val="16"/>
              </w:rPr>
            </w:pPr>
            <w:r w:rsidRPr="00781BE0">
              <w:rPr>
                <w:sz w:val="16"/>
                <w:szCs w:val="16"/>
              </w:rPr>
              <w:t>IX.3</w:t>
            </w:r>
            <w:r>
              <w:rPr>
                <w:sz w:val="16"/>
                <w:szCs w:val="16"/>
              </w:rPr>
              <w:t xml:space="preserve"> </w:t>
            </w:r>
            <w:r w:rsidRPr="00781BE0">
              <w:rPr>
                <w:sz w:val="16"/>
                <w:szCs w:val="16"/>
              </w:rPr>
              <w:t xml:space="preserve"> </w:t>
            </w:r>
            <w:r w:rsidRPr="00295415">
              <w:rPr>
                <w:sz w:val="16"/>
                <w:szCs w:val="16"/>
                <w:lang w:val="es-ES_tradnl"/>
              </w:rPr>
              <w:t>Entorno de trabajo propicio basado en un marco reglamentario eficaz y medios adecuados para atender los temas de interés del personal</w:t>
            </w:r>
          </w:p>
        </w:tc>
        <w:tc>
          <w:tcPr>
            <w:tcW w:w="2320" w:type="dxa"/>
            <w:tcBorders>
              <w:left w:val="nil"/>
              <w:right w:val="nil"/>
            </w:tcBorders>
            <w:shd w:val="clear" w:color="000000" w:fill="FFFFFF"/>
            <w:tcMar>
              <w:top w:w="85" w:type="dxa"/>
            </w:tcMar>
            <w:hideMark/>
          </w:tcPr>
          <w:p w:rsidR="00236E18" w:rsidRPr="00781BE0" w:rsidRDefault="00236E18" w:rsidP="00294272">
            <w:pPr>
              <w:ind w:left="-3"/>
              <w:rPr>
                <w:sz w:val="16"/>
                <w:szCs w:val="16"/>
              </w:rPr>
            </w:pPr>
            <w:r w:rsidRPr="00781BE0">
              <w:rPr>
                <w:sz w:val="16"/>
                <w:szCs w:val="16"/>
              </w:rPr>
              <w:t xml:space="preserve">Reglamento </w:t>
            </w:r>
            <w:r>
              <w:rPr>
                <w:sz w:val="16"/>
                <w:szCs w:val="16"/>
              </w:rPr>
              <w:t>y</w:t>
            </w:r>
            <w:r w:rsidRPr="00781BE0">
              <w:rPr>
                <w:sz w:val="16"/>
                <w:szCs w:val="16"/>
              </w:rPr>
              <w:t xml:space="preserve"> Reglamentación Financier</w:t>
            </w:r>
            <w:r>
              <w:rPr>
                <w:sz w:val="16"/>
                <w:szCs w:val="16"/>
              </w:rPr>
              <w:t>os</w:t>
            </w:r>
            <w:r w:rsidRPr="00781BE0">
              <w:rPr>
                <w:sz w:val="16"/>
                <w:szCs w:val="16"/>
              </w:rPr>
              <w:t xml:space="preserve"> y órdenes de servicio pertinentes están actualizados.</w:t>
            </w:r>
          </w:p>
        </w:tc>
        <w:tc>
          <w:tcPr>
            <w:tcW w:w="2420" w:type="dxa"/>
            <w:tcBorders>
              <w:left w:val="nil"/>
              <w:right w:val="nil"/>
            </w:tcBorders>
            <w:shd w:val="clear" w:color="000000" w:fill="FFFFFF"/>
            <w:tcMar>
              <w:top w:w="85" w:type="dxa"/>
            </w:tcMar>
            <w:hideMark/>
          </w:tcPr>
          <w:p w:rsidR="00236E18" w:rsidRPr="00781BE0" w:rsidRDefault="00236E18" w:rsidP="00294272">
            <w:pPr>
              <w:ind w:left="87"/>
              <w:rPr>
                <w:sz w:val="16"/>
                <w:szCs w:val="16"/>
              </w:rPr>
            </w:pPr>
            <w:r>
              <w:rPr>
                <w:sz w:val="16"/>
                <w:szCs w:val="16"/>
              </w:rPr>
              <w:t>Ó</w:t>
            </w:r>
            <w:r w:rsidRPr="00781BE0">
              <w:rPr>
                <w:sz w:val="16"/>
                <w:szCs w:val="16"/>
              </w:rPr>
              <w:t>rdenes de servicio emitidas en 2014 y 2015.  Reglamento y Reglamentación Financier</w:t>
            </w:r>
            <w:r>
              <w:rPr>
                <w:sz w:val="16"/>
                <w:szCs w:val="16"/>
              </w:rPr>
              <w:t>os</w:t>
            </w:r>
            <w:r w:rsidRPr="00781BE0">
              <w:rPr>
                <w:sz w:val="16"/>
                <w:szCs w:val="16"/>
              </w:rPr>
              <w:t xml:space="preserve"> modificados en 2014 cuando hubo necesidad. </w:t>
            </w:r>
          </w:p>
        </w:tc>
        <w:tc>
          <w:tcPr>
            <w:tcW w:w="2311" w:type="dxa"/>
            <w:tcBorders>
              <w:left w:val="nil"/>
              <w:right w:val="single" w:sz="4" w:space="0" w:color="auto"/>
            </w:tcBorders>
            <w:shd w:val="clear" w:color="000000" w:fill="FFFFFF"/>
            <w:tcMar>
              <w:top w:w="85" w:type="dxa"/>
            </w:tcMar>
            <w:hideMark/>
          </w:tcPr>
          <w:p w:rsidR="00236E18" w:rsidRPr="00781BE0" w:rsidRDefault="00236E18" w:rsidP="00294272">
            <w:pPr>
              <w:keepNext/>
              <w:ind w:left="218"/>
              <w:rPr>
                <w:sz w:val="16"/>
                <w:szCs w:val="16"/>
              </w:rPr>
            </w:pPr>
            <w:r w:rsidRPr="00781BE0">
              <w:rPr>
                <w:sz w:val="16"/>
                <w:szCs w:val="16"/>
              </w:rPr>
              <w:t>Examen y revisión del marco regulador cuando se considere apropiado.</w:t>
            </w:r>
          </w:p>
        </w:tc>
      </w:tr>
      <w:tr w:rsidR="00236E18" w:rsidRPr="00781BE0" w:rsidTr="00294272">
        <w:trPr>
          <w:trHeight w:val="999"/>
        </w:trPr>
        <w:tc>
          <w:tcPr>
            <w:tcW w:w="2320" w:type="dxa"/>
            <w:tcBorders>
              <w:left w:val="single" w:sz="4" w:space="0" w:color="auto"/>
              <w:right w:val="nil"/>
            </w:tcBorders>
            <w:shd w:val="clear" w:color="000000" w:fill="FFFFFF"/>
            <w:tcMar>
              <w:top w:w="85" w:type="dxa"/>
            </w:tcMar>
            <w:hideMark/>
          </w:tcPr>
          <w:p w:rsidR="00236E18" w:rsidRPr="00781BE0" w:rsidRDefault="00236E18" w:rsidP="00294272">
            <w:pPr>
              <w:rPr>
                <w:sz w:val="16"/>
                <w:szCs w:val="16"/>
              </w:rPr>
            </w:pPr>
            <w:r w:rsidRPr="00781BE0">
              <w:rPr>
                <w:sz w:val="16"/>
                <w:szCs w:val="16"/>
              </w:rPr>
              <w:t> </w:t>
            </w:r>
          </w:p>
        </w:tc>
        <w:tc>
          <w:tcPr>
            <w:tcW w:w="2320" w:type="dxa"/>
            <w:tcBorders>
              <w:left w:val="nil"/>
              <w:right w:val="nil"/>
            </w:tcBorders>
            <w:shd w:val="clear" w:color="000000" w:fill="FFFFFF"/>
            <w:tcMar>
              <w:top w:w="85" w:type="dxa"/>
            </w:tcMar>
            <w:hideMark/>
          </w:tcPr>
          <w:p w:rsidR="00236E18" w:rsidRPr="00781BE0" w:rsidRDefault="00236E18" w:rsidP="00294272">
            <w:pPr>
              <w:ind w:left="-3"/>
              <w:rPr>
                <w:sz w:val="16"/>
                <w:szCs w:val="16"/>
              </w:rPr>
            </w:pPr>
            <w:r w:rsidRPr="00781BE0">
              <w:rPr>
                <w:sz w:val="16"/>
                <w:szCs w:val="16"/>
              </w:rPr>
              <w:t>Fomento del desarrollo de la gestión de riesgos y controles internos, de conformidad con la Hoja de ruta de control interno</w:t>
            </w:r>
          </w:p>
        </w:tc>
        <w:tc>
          <w:tcPr>
            <w:tcW w:w="2420" w:type="dxa"/>
            <w:tcBorders>
              <w:left w:val="nil"/>
              <w:right w:val="nil"/>
            </w:tcBorders>
            <w:shd w:val="clear" w:color="000000" w:fill="FFFFFF"/>
            <w:tcMar>
              <w:top w:w="85" w:type="dxa"/>
            </w:tcMar>
            <w:hideMark/>
          </w:tcPr>
          <w:p w:rsidR="00236E18" w:rsidRPr="00781BE0" w:rsidRDefault="00236E18" w:rsidP="00294272">
            <w:pPr>
              <w:ind w:left="87"/>
              <w:rPr>
                <w:sz w:val="16"/>
                <w:szCs w:val="16"/>
              </w:rPr>
            </w:pPr>
            <w:r w:rsidRPr="00781BE0">
              <w:rPr>
                <w:sz w:val="16"/>
                <w:szCs w:val="16"/>
              </w:rPr>
              <w:t>Avance del 75% en la Hoja de ruta de gestión de riesgos; avance del 25% en la Hoja de ruta de control interno</w:t>
            </w:r>
          </w:p>
          <w:p w:rsidR="00236E18" w:rsidRPr="00781BE0" w:rsidRDefault="00236E18" w:rsidP="00294272">
            <w:pPr>
              <w:ind w:left="229"/>
              <w:rPr>
                <w:sz w:val="16"/>
                <w:szCs w:val="16"/>
              </w:rPr>
            </w:pPr>
          </w:p>
        </w:tc>
        <w:tc>
          <w:tcPr>
            <w:tcW w:w="2311" w:type="dxa"/>
            <w:tcBorders>
              <w:left w:val="nil"/>
              <w:right w:val="single" w:sz="4" w:space="0" w:color="auto"/>
            </w:tcBorders>
            <w:shd w:val="clear" w:color="000000" w:fill="FFFFFF"/>
            <w:tcMar>
              <w:top w:w="85" w:type="dxa"/>
            </w:tcMar>
            <w:hideMark/>
          </w:tcPr>
          <w:p w:rsidR="00236E18" w:rsidRPr="00781BE0" w:rsidRDefault="00236E18" w:rsidP="00294272">
            <w:pPr>
              <w:ind w:left="218"/>
              <w:rPr>
                <w:sz w:val="16"/>
                <w:szCs w:val="16"/>
              </w:rPr>
            </w:pPr>
            <w:r w:rsidRPr="00781BE0">
              <w:rPr>
                <w:sz w:val="16"/>
                <w:szCs w:val="16"/>
              </w:rPr>
              <w:t xml:space="preserve">Avance del 100% en la Hoja de ruta de gestión de riesgos;  avance del 80% en la Hoja de ruta de  control interno </w:t>
            </w:r>
          </w:p>
        </w:tc>
      </w:tr>
      <w:tr w:rsidR="00236E18" w:rsidRPr="00781BE0" w:rsidTr="00294272">
        <w:trPr>
          <w:trHeight w:val="2181"/>
        </w:trPr>
        <w:tc>
          <w:tcPr>
            <w:tcW w:w="2320" w:type="dxa"/>
            <w:tcBorders>
              <w:left w:val="single" w:sz="4" w:space="0" w:color="auto"/>
              <w:bottom w:val="single" w:sz="4" w:space="0" w:color="auto"/>
              <w:right w:val="nil"/>
            </w:tcBorders>
            <w:shd w:val="clear" w:color="000000" w:fill="FFFFFF"/>
            <w:tcMar>
              <w:top w:w="85" w:type="dxa"/>
            </w:tcMar>
            <w:hideMark/>
          </w:tcPr>
          <w:p w:rsidR="00236E18" w:rsidRPr="00781BE0" w:rsidRDefault="00236E18" w:rsidP="00294272">
            <w:pPr>
              <w:rPr>
                <w:sz w:val="16"/>
                <w:szCs w:val="16"/>
              </w:rPr>
            </w:pPr>
            <w:r w:rsidRPr="00781BE0">
              <w:rPr>
                <w:sz w:val="16"/>
                <w:szCs w:val="16"/>
              </w:rPr>
              <w:t> </w:t>
            </w:r>
          </w:p>
        </w:tc>
        <w:tc>
          <w:tcPr>
            <w:tcW w:w="2320" w:type="dxa"/>
            <w:tcBorders>
              <w:left w:val="nil"/>
              <w:bottom w:val="single" w:sz="4" w:space="0" w:color="auto"/>
              <w:right w:val="nil"/>
            </w:tcBorders>
            <w:shd w:val="clear" w:color="000000" w:fill="FFFFFF"/>
            <w:tcMar>
              <w:top w:w="85" w:type="dxa"/>
            </w:tcMar>
            <w:hideMark/>
          </w:tcPr>
          <w:p w:rsidR="00236E18" w:rsidRPr="00781BE0" w:rsidRDefault="00236E18" w:rsidP="00294272">
            <w:pPr>
              <w:ind w:left="-3"/>
              <w:rPr>
                <w:sz w:val="16"/>
                <w:szCs w:val="16"/>
              </w:rPr>
            </w:pPr>
            <w:r w:rsidRPr="00781BE0">
              <w:rPr>
                <w:sz w:val="16"/>
                <w:szCs w:val="16"/>
              </w:rPr>
              <w:t>Seguimiento eficaz de las recomendaciones en materia de supervisión</w:t>
            </w:r>
          </w:p>
        </w:tc>
        <w:tc>
          <w:tcPr>
            <w:tcW w:w="2420" w:type="dxa"/>
            <w:tcBorders>
              <w:left w:val="nil"/>
              <w:bottom w:val="single" w:sz="4" w:space="0" w:color="auto"/>
              <w:right w:val="nil"/>
            </w:tcBorders>
            <w:shd w:val="clear" w:color="000000" w:fill="FFFFFF"/>
            <w:tcMar>
              <w:top w:w="85" w:type="dxa"/>
            </w:tcMar>
            <w:hideMark/>
          </w:tcPr>
          <w:p w:rsidR="00236E18" w:rsidRPr="00781BE0" w:rsidRDefault="00236E18" w:rsidP="00294272">
            <w:pPr>
              <w:ind w:left="87"/>
              <w:rPr>
                <w:sz w:val="16"/>
                <w:szCs w:val="16"/>
              </w:rPr>
            </w:pPr>
            <w:r w:rsidRPr="00781BE0">
              <w:rPr>
                <w:sz w:val="16"/>
                <w:szCs w:val="16"/>
              </w:rPr>
              <w:t>AE = 47% de las recomendaciones pendientes a fin de 2013 dadas por aplicadas en 2014 (en toda la Organización)</w:t>
            </w:r>
            <w:r w:rsidRPr="00781BE0">
              <w:rPr>
                <w:sz w:val="16"/>
                <w:szCs w:val="16"/>
              </w:rPr>
              <w:br/>
              <w:t>DSI = 64% de las recomendaciones pendientes a fin de 2013 dadas por aplicadas en 2014  (</w:t>
            </w:r>
            <w:proofErr w:type="spellStart"/>
            <w:r w:rsidRPr="00781BE0">
              <w:rPr>
                <w:sz w:val="16"/>
                <w:szCs w:val="16"/>
              </w:rPr>
              <w:t>prog</w:t>
            </w:r>
            <w:proofErr w:type="spellEnd"/>
            <w:r>
              <w:rPr>
                <w:sz w:val="16"/>
                <w:szCs w:val="16"/>
              </w:rPr>
              <w:t>.</w:t>
            </w:r>
            <w:r w:rsidRPr="00781BE0">
              <w:rPr>
                <w:sz w:val="16"/>
                <w:szCs w:val="16"/>
              </w:rPr>
              <w:t xml:space="preserve"> 22)</w:t>
            </w:r>
            <w:r w:rsidRPr="00781BE0">
              <w:rPr>
                <w:sz w:val="16"/>
                <w:szCs w:val="16"/>
              </w:rPr>
              <w:br/>
              <w:t>DCI = 61% de las recomendaciones pendientes a fin de 2013 dadas por aplicadas en 2014 (comenzando en 2010)</w:t>
            </w:r>
          </w:p>
        </w:tc>
        <w:tc>
          <w:tcPr>
            <w:tcW w:w="2311" w:type="dxa"/>
            <w:tcBorders>
              <w:left w:val="nil"/>
              <w:bottom w:val="single" w:sz="4" w:space="0" w:color="auto"/>
              <w:right w:val="single" w:sz="4" w:space="0" w:color="auto"/>
            </w:tcBorders>
            <w:shd w:val="clear" w:color="000000" w:fill="FFFFFF"/>
            <w:tcMar>
              <w:top w:w="85" w:type="dxa"/>
            </w:tcMar>
            <w:hideMark/>
          </w:tcPr>
          <w:p w:rsidR="00236E18" w:rsidRPr="00781BE0" w:rsidRDefault="00236E18" w:rsidP="00294272">
            <w:pPr>
              <w:ind w:left="218"/>
              <w:rPr>
                <w:sz w:val="16"/>
                <w:szCs w:val="16"/>
              </w:rPr>
            </w:pPr>
            <w:r w:rsidRPr="00781BE0">
              <w:rPr>
                <w:sz w:val="16"/>
                <w:szCs w:val="16"/>
              </w:rPr>
              <w:t xml:space="preserve">AE = 55% de las recomendaciones pendientes a fin de 2015 dadas por aplicadas en 2016/17 </w:t>
            </w:r>
          </w:p>
          <w:p w:rsidR="00236E18" w:rsidRPr="00781BE0" w:rsidRDefault="00236E18" w:rsidP="00294272">
            <w:pPr>
              <w:ind w:left="218"/>
              <w:rPr>
                <w:sz w:val="16"/>
                <w:szCs w:val="16"/>
              </w:rPr>
            </w:pPr>
            <w:r w:rsidRPr="00781BE0">
              <w:rPr>
                <w:sz w:val="16"/>
                <w:szCs w:val="16"/>
              </w:rPr>
              <w:t>DSI = 70% de las recomendaciones pendientes a fin de 2015 dadas por aplicadas en 2016/17</w:t>
            </w:r>
          </w:p>
          <w:p w:rsidR="00236E18" w:rsidRPr="00781BE0" w:rsidRDefault="00236E18" w:rsidP="00294272">
            <w:pPr>
              <w:ind w:left="218"/>
              <w:rPr>
                <w:sz w:val="16"/>
                <w:szCs w:val="16"/>
              </w:rPr>
            </w:pPr>
            <w:r w:rsidRPr="00781BE0">
              <w:rPr>
                <w:sz w:val="16"/>
                <w:szCs w:val="16"/>
              </w:rPr>
              <w:t>DCI = 70% de las recomendaciones pendientes a fin de 2015 dadas por aplicadas en 2016/17 (</w:t>
            </w:r>
            <w:r>
              <w:rPr>
                <w:sz w:val="16"/>
                <w:szCs w:val="16"/>
              </w:rPr>
              <w:t>desde</w:t>
            </w:r>
            <w:r w:rsidRPr="00781BE0">
              <w:rPr>
                <w:sz w:val="16"/>
                <w:szCs w:val="16"/>
              </w:rPr>
              <w:t xml:space="preserve"> en 2010)</w:t>
            </w:r>
          </w:p>
        </w:tc>
      </w:tr>
    </w:tbl>
    <w:p w:rsidR="00236E18" w:rsidRPr="00781BE0" w:rsidRDefault="00236E18" w:rsidP="00236E18">
      <w:pPr>
        <w:rPr>
          <w:sz w:val="20"/>
        </w:rPr>
      </w:pPr>
    </w:p>
    <w:p w:rsidR="00236E18" w:rsidRDefault="00236E18" w:rsidP="00236E18">
      <w:pPr>
        <w:rPr>
          <w:sz w:val="20"/>
        </w:rPr>
      </w:pPr>
    </w:p>
    <w:p w:rsidR="00236E18" w:rsidRPr="00446D89" w:rsidRDefault="00236E18" w:rsidP="00236E18">
      <w:r>
        <w:t>RECURSOS PARA EL PROGRAMA</w:t>
      </w:r>
      <w:r w:rsidRPr="00446D89">
        <w:t xml:space="preserve"> 22</w:t>
      </w:r>
    </w:p>
    <w:p w:rsidR="00236E18" w:rsidRPr="00446D89" w:rsidRDefault="00236E18" w:rsidP="00236E18"/>
    <w:p w:rsidR="00236E18" w:rsidRPr="00446D89" w:rsidRDefault="00236E18" w:rsidP="00236E18">
      <w:pPr>
        <w:numPr>
          <w:ilvl w:val="0"/>
          <w:numId w:val="38"/>
        </w:numPr>
        <w:jc w:val="both"/>
        <w:rPr>
          <w:rFonts w:eastAsia="Times New Roman"/>
          <w:sz w:val="20"/>
        </w:rPr>
      </w:pPr>
      <w:r w:rsidRPr="00892A2A">
        <w:rPr>
          <w:sz w:val="20"/>
        </w:rPr>
        <w:t>En 2016/17, puede observarse un aumento de 5 millones de francos suizos con respecto al presupuesto de 2014/</w:t>
      </w:r>
      <w:r>
        <w:rPr>
          <w:sz w:val="20"/>
        </w:rPr>
        <w:t>15 tras las</w:t>
      </w:r>
      <w:r w:rsidRPr="00892A2A">
        <w:rPr>
          <w:sz w:val="20"/>
        </w:rPr>
        <w:t xml:space="preserve"> transferencias.  El incremento neto en el marco del resultado previsto IX.1 se debe principalmente a la dotación adicional de 1,6 millones de francos suizos de recursos </w:t>
      </w:r>
      <w:r>
        <w:rPr>
          <w:sz w:val="20"/>
        </w:rPr>
        <w:t>no relativos a personal</w:t>
      </w:r>
      <w:r w:rsidRPr="00892A2A">
        <w:rPr>
          <w:sz w:val="20"/>
        </w:rPr>
        <w:t xml:space="preserve"> para la integración de los nuevos módulos y capacidades del sistema de PRI en las actividades de la Organización, así como un aumento adicional de 4,3 millones de francos suizos en el marco del resultado previsto IX.</w:t>
      </w:r>
      <w:r>
        <w:rPr>
          <w:sz w:val="20"/>
        </w:rPr>
        <w:t>2</w:t>
      </w:r>
      <w:r w:rsidRPr="00892A2A">
        <w:rPr>
          <w:sz w:val="20"/>
        </w:rPr>
        <w:t>, relativo a la asignación correspondiente a los tipos de interés negativos sobre los depósitos en francos suizos (2,4 millones de francos suizos) y al aumento reglamentario de los gastos de personal.</w:t>
      </w:r>
      <w:r>
        <w:rPr>
          <w:sz w:val="20"/>
        </w:rPr>
        <w:t xml:space="preserve"> </w:t>
      </w:r>
      <w:r w:rsidRPr="00892A2A">
        <w:rPr>
          <w:sz w:val="20"/>
        </w:rPr>
        <w:t xml:space="preserve"> En el aumento marginal, en </w:t>
      </w:r>
      <w:r>
        <w:rPr>
          <w:sz w:val="20"/>
        </w:rPr>
        <w:t>el marco del resultado previsto </w:t>
      </w:r>
      <w:r w:rsidRPr="00892A2A">
        <w:rPr>
          <w:sz w:val="20"/>
        </w:rPr>
        <w:t>IX.3, se tienen en cuenta los recursos previstos para la gestión del riesgo institucional, el fortalecimiento de los controles internos y la transferencia de responsabilidades con respecto a la coordinación de la DCI y los costos conexos desde el programa 24 (Servicios</w:t>
      </w:r>
      <w:r>
        <w:rPr>
          <w:sz w:val="20"/>
        </w:rPr>
        <w:t xml:space="preserve"> generales </w:t>
      </w:r>
      <w:r w:rsidRPr="00892A2A">
        <w:rPr>
          <w:sz w:val="20"/>
        </w:rPr>
        <w:t>de apoyo) al programa.</w:t>
      </w:r>
      <w:r w:rsidRPr="00446D89">
        <w:rPr>
          <w:rFonts w:eastAsia="Times New Roman"/>
          <w:sz w:val="20"/>
        </w:rPr>
        <w:t xml:space="preserve"> </w:t>
      </w:r>
    </w:p>
    <w:p w:rsidR="00236E18" w:rsidRPr="00446D89" w:rsidRDefault="00236E18" w:rsidP="00236E18">
      <w:pPr>
        <w:ind w:left="6"/>
        <w:jc w:val="both"/>
        <w:rPr>
          <w:rFonts w:eastAsia="Times New Roman"/>
          <w:sz w:val="20"/>
        </w:rPr>
      </w:pPr>
    </w:p>
    <w:p w:rsidR="00236E18" w:rsidRPr="00426D53" w:rsidRDefault="00236E18" w:rsidP="00236E18">
      <w:pPr>
        <w:numPr>
          <w:ilvl w:val="0"/>
          <w:numId w:val="38"/>
        </w:numPr>
        <w:jc w:val="both"/>
        <w:rPr>
          <w:rFonts w:eastAsia="Times New Roman"/>
          <w:sz w:val="20"/>
        </w:rPr>
      </w:pPr>
      <w:r w:rsidRPr="00892A2A">
        <w:rPr>
          <w:sz w:val="20"/>
        </w:rPr>
        <w:t>Los recursos vinculados con el resultado previsto IX.8 reflejan la asignación presupuestaria al Auditor Extern</w:t>
      </w:r>
      <w:r>
        <w:rPr>
          <w:sz w:val="20"/>
        </w:rPr>
        <w:t>o y a la Comisión Consultiva Independiente de Supervisión (CCIS).  La dotación de recursos de personal para la CCIS asciende a 446.600 francos suizos, un aumento del 14% respecto del presupuesto aprobado de 2014/15.</w:t>
      </w:r>
    </w:p>
    <w:p w:rsidR="00236E18" w:rsidRPr="00426D53" w:rsidRDefault="00236E18" w:rsidP="00236E18">
      <w:pPr>
        <w:pStyle w:val="NormalWeb"/>
        <w:shd w:val="clear" w:color="auto" w:fill="FFFFFF"/>
        <w:rPr>
          <w:rFonts w:ascii="Calibri" w:hAnsi="Calibri"/>
          <w:color w:val="000000"/>
          <w:lang w:val="es-ES"/>
        </w:rPr>
      </w:pPr>
    </w:p>
    <w:p w:rsidR="00236E18" w:rsidRPr="00426D53" w:rsidRDefault="00236E18" w:rsidP="00236E18">
      <w:pPr>
        <w:rPr>
          <w:b/>
          <w:sz w:val="20"/>
          <w:szCs w:val="24"/>
        </w:rPr>
      </w:pPr>
    </w:p>
    <w:p w:rsidR="00236E18" w:rsidRPr="001744A9" w:rsidRDefault="00236E18" w:rsidP="00236E18">
      <w:pPr>
        <w:tabs>
          <w:tab w:val="left" w:pos="1427"/>
        </w:tabs>
        <w:jc w:val="center"/>
        <w:rPr>
          <w:sz w:val="20"/>
          <w:lang w:val="es-ES_tradnl"/>
        </w:rPr>
      </w:pPr>
      <w:r w:rsidRPr="001744A9">
        <w:rPr>
          <w:b/>
          <w:sz w:val="20"/>
          <w:lang w:val="es-ES_tradnl"/>
        </w:rPr>
        <w:t>Programa 22</w:t>
      </w:r>
      <w:proofErr w:type="gramStart"/>
      <w:r w:rsidRPr="001744A9">
        <w:rPr>
          <w:b/>
          <w:sz w:val="20"/>
          <w:lang w:val="es-ES_tradnl"/>
        </w:rPr>
        <w:t>:  Recursos</w:t>
      </w:r>
      <w:proofErr w:type="gramEnd"/>
      <w:r w:rsidRPr="001744A9">
        <w:rPr>
          <w:b/>
          <w:sz w:val="20"/>
          <w:lang w:val="es-ES_tradnl"/>
        </w:rPr>
        <w:t xml:space="preserve"> por resultado</w:t>
      </w:r>
    </w:p>
    <w:p w:rsidR="00236E18" w:rsidRPr="001744A9" w:rsidRDefault="00236E18" w:rsidP="00236E18">
      <w:pPr>
        <w:tabs>
          <w:tab w:val="left" w:pos="1427"/>
        </w:tabs>
        <w:jc w:val="center"/>
        <w:rPr>
          <w:i/>
          <w:sz w:val="20"/>
          <w:szCs w:val="24"/>
          <w:lang w:val="es-ES_tradnl"/>
        </w:rPr>
      </w:pPr>
      <w:r w:rsidRPr="001744A9">
        <w:rPr>
          <w:i/>
          <w:sz w:val="20"/>
          <w:szCs w:val="24"/>
          <w:lang w:val="es-ES_tradnl"/>
        </w:rPr>
        <w:t>(</w:t>
      </w:r>
      <w:proofErr w:type="gramStart"/>
      <w:r w:rsidRPr="001744A9">
        <w:rPr>
          <w:i/>
          <w:sz w:val="20"/>
          <w:szCs w:val="24"/>
          <w:lang w:val="es-ES_tradnl"/>
        </w:rPr>
        <w:t>en</w:t>
      </w:r>
      <w:proofErr w:type="gramEnd"/>
      <w:r w:rsidRPr="001744A9">
        <w:rPr>
          <w:i/>
          <w:sz w:val="20"/>
          <w:szCs w:val="24"/>
          <w:lang w:val="es-ES_tradnl"/>
        </w:rPr>
        <w:t xml:space="preserve"> miles de francos suizos)</w:t>
      </w:r>
    </w:p>
    <w:p w:rsidR="00236E18" w:rsidRPr="00D26095" w:rsidRDefault="00236E18" w:rsidP="00236E18">
      <w:pPr>
        <w:tabs>
          <w:tab w:val="left" w:pos="1427"/>
        </w:tabs>
        <w:jc w:val="center"/>
        <w:rPr>
          <w:i/>
          <w:sz w:val="20"/>
          <w:szCs w:val="24"/>
          <w:lang w:val="es-ES_tradnl"/>
        </w:rPr>
      </w:pPr>
    </w:p>
    <w:p w:rsidR="00236E18" w:rsidRDefault="00236E18" w:rsidP="00236E18">
      <w:pPr>
        <w:tabs>
          <w:tab w:val="left" w:pos="1427"/>
        </w:tabs>
        <w:jc w:val="center"/>
        <w:rPr>
          <w:i/>
          <w:sz w:val="20"/>
          <w:szCs w:val="24"/>
        </w:rPr>
      </w:pPr>
      <w:r w:rsidRPr="00295415">
        <w:rPr>
          <w:noProof/>
          <w:lang w:val="en-US" w:eastAsia="en-US"/>
        </w:rPr>
        <w:drawing>
          <wp:inline distT="0" distB="0" distL="0" distR="0" wp14:anchorId="34D38CE0" wp14:editId="32D02E90">
            <wp:extent cx="5677535" cy="3084830"/>
            <wp:effectExtent l="0" t="0" r="0" b="1270"/>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677535" cy="3084830"/>
                    </a:xfrm>
                    <a:prstGeom prst="rect">
                      <a:avLst/>
                    </a:prstGeom>
                    <a:noFill/>
                    <a:ln>
                      <a:noFill/>
                    </a:ln>
                  </pic:spPr>
                </pic:pic>
              </a:graphicData>
            </a:graphic>
          </wp:inline>
        </w:drawing>
      </w:r>
    </w:p>
    <w:p w:rsidR="00236E18" w:rsidRDefault="00236E18" w:rsidP="00236E18">
      <w:pPr>
        <w:tabs>
          <w:tab w:val="left" w:pos="1427"/>
        </w:tabs>
        <w:rPr>
          <w:i/>
          <w:sz w:val="20"/>
          <w:szCs w:val="24"/>
        </w:rPr>
      </w:pPr>
    </w:p>
    <w:p w:rsidR="00236E18" w:rsidRDefault="00236E18" w:rsidP="00236E18">
      <w:pPr>
        <w:tabs>
          <w:tab w:val="left" w:pos="1427"/>
        </w:tabs>
        <w:rPr>
          <w:i/>
          <w:sz w:val="20"/>
          <w:szCs w:val="24"/>
        </w:rPr>
      </w:pPr>
    </w:p>
    <w:p w:rsidR="00236E18" w:rsidRDefault="00236E18" w:rsidP="00236E18">
      <w:pPr>
        <w:rPr>
          <w:b/>
          <w:sz w:val="20"/>
          <w:szCs w:val="24"/>
        </w:rPr>
      </w:pPr>
      <w:r>
        <w:rPr>
          <w:b/>
          <w:sz w:val="20"/>
          <w:szCs w:val="24"/>
        </w:rPr>
        <w:br w:type="page"/>
      </w:r>
    </w:p>
    <w:p w:rsidR="00236E18" w:rsidRPr="005012AC" w:rsidRDefault="00236E18" w:rsidP="00236E18">
      <w:pPr>
        <w:tabs>
          <w:tab w:val="left" w:pos="1427"/>
        </w:tabs>
        <w:jc w:val="center"/>
        <w:rPr>
          <w:sz w:val="20"/>
          <w:lang w:val="es-ES_tradnl"/>
        </w:rPr>
      </w:pPr>
      <w:r w:rsidRPr="005012AC">
        <w:rPr>
          <w:b/>
          <w:sz w:val="20"/>
          <w:lang w:val="es-ES_tradnl"/>
        </w:rPr>
        <w:lastRenderedPageBreak/>
        <w:t>Programa 22</w:t>
      </w:r>
      <w:proofErr w:type="gramStart"/>
      <w:r w:rsidRPr="005012AC">
        <w:rPr>
          <w:b/>
          <w:sz w:val="20"/>
          <w:lang w:val="es-ES_tradnl"/>
        </w:rPr>
        <w:t>:  Recursos</w:t>
      </w:r>
      <w:proofErr w:type="gramEnd"/>
      <w:r w:rsidRPr="005012AC">
        <w:rPr>
          <w:b/>
          <w:sz w:val="20"/>
          <w:lang w:val="es-ES_tradnl"/>
        </w:rPr>
        <w:t xml:space="preserve"> por objeto de gasto</w:t>
      </w:r>
    </w:p>
    <w:p w:rsidR="00236E18" w:rsidRPr="005012AC" w:rsidRDefault="00236E18" w:rsidP="00236E18">
      <w:pPr>
        <w:tabs>
          <w:tab w:val="left" w:pos="1427"/>
        </w:tabs>
        <w:jc w:val="center"/>
        <w:rPr>
          <w:i/>
          <w:sz w:val="20"/>
          <w:szCs w:val="24"/>
          <w:lang w:val="es-ES_tradnl"/>
        </w:rPr>
      </w:pPr>
      <w:r w:rsidRPr="005012AC">
        <w:rPr>
          <w:i/>
          <w:sz w:val="20"/>
          <w:szCs w:val="24"/>
          <w:lang w:val="es-ES_tradnl"/>
        </w:rPr>
        <w:t>(</w:t>
      </w:r>
      <w:proofErr w:type="gramStart"/>
      <w:r w:rsidRPr="005012AC">
        <w:rPr>
          <w:i/>
          <w:sz w:val="20"/>
          <w:szCs w:val="24"/>
          <w:lang w:val="es-ES_tradnl"/>
        </w:rPr>
        <w:t>en</w:t>
      </w:r>
      <w:proofErr w:type="gramEnd"/>
      <w:r w:rsidRPr="005012AC">
        <w:rPr>
          <w:i/>
          <w:sz w:val="20"/>
          <w:szCs w:val="24"/>
          <w:lang w:val="es-ES_tradnl"/>
        </w:rPr>
        <w:t xml:space="preserve"> miles de francos suizos)</w:t>
      </w:r>
    </w:p>
    <w:p w:rsidR="00236E18" w:rsidRPr="005012AC" w:rsidRDefault="00236E18" w:rsidP="00236E18">
      <w:pPr>
        <w:tabs>
          <w:tab w:val="left" w:pos="1427"/>
        </w:tabs>
        <w:jc w:val="center"/>
        <w:rPr>
          <w:i/>
          <w:sz w:val="20"/>
          <w:szCs w:val="24"/>
          <w:lang w:val="es-ES_tradnl"/>
        </w:rPr>
      </w:pPr>
    </w:p>
    <w:p w:rsidR="00236E18" w:rsidRDefault="00236E18" w:rsidP="00236E18">
      <w:pPr>
        <w:jc w:val="center"/>
        <w:rPr>
          <w:sz w:val="20"/>
        </w:rPr>
      </w:pPr>
      <w:r>
        <w:rPr>
          <w:noProof/>
          <w:lang w:val="en-US" w:eastAsia="en-US"/>
        </w:rPr>
        <w:drawing>
          <wp:inline distT="0" distB="0" distL="0" distR="0" wp14:anchorId="417A79E6" wp14:editId="12A33D08">
            <wp:extent cx="5940425" cy="6128285"/>
            <wp:effectExtent l="0" t="0" r="3175" b="6350"/>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940425" cy="6128285"/>
                    </a:xfrm>
                    <a:prstGeom prst="rect">
                      <a:avLst/>
                    </a:prstGeom>
                    <a:noFill/>
                    <a:ln>
                      <a:noFill/>
                    </a:ln>
                  </pic:spPr>
                </pic:pic>
              </a:graphicData>
            </a:graphic>
          </wp:inline>
        </w:drawing>
      </w:r>
    </w:p>
    <w:p w:rsidR="00236E18" w:rsidRPr="0082048C" w:rsidRDefault="00236E18" w:rsidP="00236E18">
      <w:pPr>
        <w:rPr>
          <w:sz w:val="20"/>
        </w:rPr>
      </w:pPr>
    </w:p>
    <w:p w:rsidR="00236E18" w:rsidRDefault="00236E18" w:rsidP="00236E18">
      <w:pPr>
        <w:shd w:val="clear" w:color="auto" w:fill="FFFFFF"/>
        <w:tabs>
          <w:tab w:val="left" w:pos="709"/>
        </w:tabs>
        <w:suppressAutoHyphens/>
        <w:jc w:val="both"/>
        <w:rPr>
          <w:szCs w:val="22"/>
        </w:rPr>
      </w:pPr>
    </w:p>
    <w:p w:rsidR="00236E18" w:rsidRDefault="00236E18" w:rsidP="00236E18">
      <w:pPr>
        <w:rPr>
          <w:szCs w:val="22"/>
        </w:rPr>
      </w:pPr>
      <w:r>
        <w:rPr>
          <w:szCs w:val="22"/>
        </w:rPr>
        <w:br w:type="page"/>
      </w:r>
    </w:p>
    <w:p w:rsidR="00236E18" w:rsidRPr="00F12B73" w:rsidRDefault="00236E18" w:rsidP="00236E18">
      <w:pPr>
        <w:pStyle w:val="StyleStyleHeading3ComplexItalicLatin12pt"/>
        <w:rPr>
          <w:lang w:val="es-ES"/>
        </w:rPr>
      </w:pPr>
      <w:bookmarkStart w:id="119" w:name="_Toc431573572"/>
      <w:bookmarkStart w:id="120" w:name="_Toc431573973"/>
      <w:r w:rsidRPr="00F12B73">
        <w:rPr>
          <w:caps w:val="0"/>
          <w:lang w:val="es-ES"/>
        </w:rPr>
        <w:lastRenderedPageBreak/>
        <w:t>PROGRAMA 23</w:t>
      </w:r>
      <w:r w:rsidRPr="00F12B73">
        <w:rPr>
          <w:caps w:val="0"/>
          <w:lang w:val="es-ES"/>
        </w:rPr>
        <w:tab/>
        <w:t>GESTIÓN Y DESARROLLO DE LOS RECURSOS HUMANOS</w:t>
      </w:r>
      <w:bookmarkEnd w:id="119"/>
      <w:bookmarkEnd w:id="120"/>
    </w:p>
    <w:p w:rsidR="00236E18" w:rsidRPr="00B46E56" w:rsidRDefault="00236E18" w:rsidP="00236E18">
      <w:pPr>
        <w:rPr>
          <w:lang w:val="es-ES_tradnl"/>
        </w:rPr>
      </w:pPr>
    </w:p>
    <w:p w:rsidR="00236E18" w:rsidRPr="00B46E56" w:rsidRDefault="00236E18" w:rsidP="00236E18">
      <w:pPr>
        <w:rPr>
          <w:sz w:val="20"/>
          <w:lang w:val="es-ES_tradnl"/>
        </w:rPr>
      </w:pPr>
    </w:p>
    <w:p w:rsidR="00236E18" w:rsidRPr="00B46E56" w:rsidRDefault="00236E18" w:rsidP="00236E18">
      <w:pPr>
        <w:rPr>
          <w:lang w:val="es-ES_tradnl"/>
        </w:rPr>
      </w:pPr>
      <w:r w:rsidRPr="00B46E56">
        <w:rPr>
          <w:lang w:val="es-ES_tradnl"/>
        </w:rPr>
        <w:t>CONTEXTO DE PLANIFICACIÓN</w:t>
      </w:r>
    </w:p>
    <w:p w:rsidR="00236E18" w:rsidRPr="00B46E56" w:rsidRDefault="00236E18" w:rsidP="00236E18">
      <w:pPr>
        <w:rPr>
          <w:sz w:val="20"/>
          <w:lang w:val="es-ES_tradnl"/>
        </w:rPr>
      </w:pPr>
    </w:p>
    <w:p w:rsidR="00236E18" w:rsidRPr="00B2103B" w:rsidRDefault="00236E18" w:rsidP="00236E18">
      <w:pPr>
        <w:pStyle w:val="ListParagraph"/>
        <w:numPr>
          <w:ilvl w:val="0"/>
          <w:numId w:val="39"/>
        </w:numPr>
        <w:tabs>
          <w:tab w:val="left" w:pos="709"/>
        </w:tabs>
        <w:ind w:left="0" w:firstLine="0"/>
        <w:jc w:val="both"/>
        <w:rPr>
          <w:rFonts w:ascii="Arial" w:hAnsi="Arial" w:cs="Arial"/>
          <w:sz w:val="20"/>
          <w:szCs w:val="20"/>
          <w:lang w:val="es-ES_tradnl"/>
        </w:rPr>
      </w:pPr>
      <w:r w:rsidRPr="00B2103B">
        <w:rPr>
          <w:rFonts w:ascii="Arial" w:hAnsi="Arial" w:cs="Arial"/>
          <w:sz w:val="20"/>
          <w:szCs w:val="20"/>
          <w:lang w:val="es-ES_tradnl"/>
        </w:rPr>
        <w:t>Con el fin de lograr sus objetivos fundamentales, la OMPI debe contar con una Secretaría eficaz que disponga de un personal bien dirigido y con las competencias adecuadas, además de políticas claras, procedimientos eficaces y sistemas modernos.  Muchos de los retos a que se enfrenta la Organización en este contexto han sido abordados mediante la aplicación de la estrategia de recursos humanos.  No obstante, todavía quedan algunos retos por abordar, en particular, l</w:t>
      </w:r>
      <w:r>
        <w:rPr>
          <w:rFonts w:ascii="Arial" w:hAnsi="Arial" w:cs="Arial"/>
          <w:sz w:val="20"/>
          <w:szCs w:val="20"/>
          <w:lang w:val="es-ES_tradnl"/>
        </w:rPr>
        <w:t>ograr que</w:t>
      </w:r>
      <w:r w:rsidRPr="00B2103B">
        <w:rPr>
          <w:rFonts w:ascii="Arial" w:hAnsi="Arial" w:cs="Arial"/>
          <w:sz w:val="20"/>
          <w:szCs w:val="20"/>
          <w:lang w:val="es-ES_tradnl"/>
        </w:rPr>
        <w:t xml:space="preserve"> las competencias y aptitudes </w:t>
      </w:r>
      <w:r>
        <w:rPr>
          <w:rFonts w:ascii="Arial" w:hAnsi="Arial" w:cs="Arial"/>
          <w:sz w:val="20"/>
          <w:szCs w:val="20"/>
          <w:lang w:val="es-ES_tradnl"/>
        </w:rPr>
        <w:t>del personal permitan</w:t>
      </w:r>
      <w:r w:rsidRPr="00B2103B">
        <w:rPr>
          <w:rFonts w:ascii="Arial" w:hAnsi="Arial" w:cs="Arial"/>
          <w:sz w:val="20"/>
          <w:szCs w:val="20"/>
          <w:lang w:val="es-ES_tradnl"/>
        </w:rPr>
        <w:t xml:space="preserve"> satisfacer las necesidades de la Organización</w:t>
      </w:r>
      <w:r>
        <w:rPr>
          <w:rFonts w:ascii="Arial" w:hAnsi="Arial" w:cs="Arial"/>
          <w:sz w:val="20"/>
          <w:szCs w:val="20"/>
          <w:lang w:val="es-ES_tradnl"/>
        </w:rPr>
        <w:t xml:space="preserve"> en constante evolución</w:t>
      </w:r>
      <w:r w:rsidRPr="00B2103B">
        <w:rPr>
          <w:rFonts w:ascii="Arial" w:hAnsi="Arial" w:cs="Arial"/>
          <w:sz w:val="20"/>
          <w:szCs w:val="20"/>
          <w:lang w:val="es-ES_tradnl"/>
        </w:rPr>
        <w:t xml:space="preserve">, </w:t>
      </w:r>
      <w:r>
        <w:rPr>
          <w:rFonts w:ascii="Arial" w:hAnsi="Arial" w:cs="Arial"/>
          <w:sz w:val="20"/>
          <w:szCs w:val="20"/>
          <w:lang w:val="es-ES_tradnl"/>
        </w:rPr>
        <w:t>y mejorar la situación en torn</w:t>
      </w:r>
      <w:r w:rsidRPr="00B2103B">
        <w:rPr>
          <w:rFonts w:ascii="Arial" w:hAnsi="Arial" w:cs="Arial"/>
          <w:sz w:val="20"/>
          <w:szCs w:val="20"/>
          <w:lang w:val="es-ES_tradnl"/>
        </w:rPr>
        <w:t xml:space="preserve">o </w:t>
      </w:r>
      <w:r>
        <w:rPr>
          <w:rFonts w:ascii="Arial" w:hAnsi="Arial" w:cs="Arial"/>
          <w:sz w:val="20"/>
          <w:szCs w:val="20"/>
          <w:lang w:val="es-ES_tradnl"/>
        </w:rPr>
        <w:t>a</w:t>
      </w:r>
      <w:r w:rsidRPr="00B2103B">
        <w:rPr>
          <w:rFonts w:ascii="Arial" w:hAnsi="Arial" w:cs="Arial"/>
          <w:sz w:val="20"/>
          <w:szCs w:val="20"/>
          <w:lang w:val="es-ES_tradnl"/>
        </w:rPr>
        <w:t>l equilibrio de género y la diversidad de la representación geográfica.</w:t>
      </w:r>
    </w:p>
    <w:p w:rsidR="00236E18" w:rsidRPr="00B46E56" w:rsidRDefault="00236E18" w:rsidP="00236E18">
      <w:pPr>
        <w:pStyle w:val="ListParagraph"/>
        <w:ind w:left="0"/>
        <w:jc w:val="both"/>
        <w:rPr>
          <w:rFonts w:ascii="Arial" w:hAnsi="Arial" w:cs="Arial"/>
          <w:sz w:val="20"/>
          <w:szCs w:val="20"/>
          <w:lang w:val="es-ES_tradnl"/>
        </w:rPr>
      </w:pPr>
    </w:p>
    <w:p w:rsidR="00236E18" w:rsidRPr="00B2103B" w:rsidRDefault="00236E18" w:rsidP="00236E18">
      <w:pPr>
        <w:pStyle w:val="ListParagraph"/>
        <w:numPr>
          <w:ilvl w:val="0"/>
          <w:numId w:val="39"/>
        </w:numPr>
        <w:ind w:left="0" w:firstLine="0"/>
        <w:jc w:val="both"/>
        <w:rPr>
          <w:rFonts w:ascii="Arial" w:hAnsi="Arial" w:cs="Arial"/>
          <w:sz w:val="20"/>
          <w:szCs w:val="20"/>
          <w:lang w:val="es-ES_tradnl"/>
        </w:rPr>
      </w:pPr>
      <w:r w:rsidRPr="00B2103B">
        <w:rPr>
          <w:rFonts w:ascii="Arial" w:hAnsi="Arial" w:cs="Arial"/>
          <w:sz w:val="20"/>
          <w:szCs w:val="20"/>
          <w:lang w:val="es-ES_tradnl"/>
        </w:rPr>
        <w:t xml:space="preserve">La </w:t>
      </w:r>
      <w:r>
        <w:rPr>
          <w:rFonts w:ascii="Arial" w:hAnsi="Arial" w:cs="Arial"/>
          <w:sz w:val="20"/>
          <w:szCs w:val="20"/>
          <w:lang w:val="es-ES_tradnl"/>
        </w:rPr>
        <w:t xml:space="preserve">puesta en </w:t>
      </w:r>
      <w:r w:rsidRPr="00B2103B">
        <w:rPr>
          <w:rFonts w:ascii="Arial" w:hAnsi="Arial" w:cs="Arial"/>
          <w:sz w:val="20"/>
          <w:szCs w:val="20"/>
          <w:lang w:val="es-ES_tradnl"/>
        </w:rPr>
        <w:t xml:space="preserve">aplicación del sistema de planificación de los recursos institucionales (PRI) en este bienio permitirá una mayor integración de </w:t>
      </w:r>
      <w:r>
        <w:rPr>
          <w:rFonts w:ascii="Arial" w:hAnsi="Arial" w:cs="Arial"/>
          <w:sz w:val="20"/>
          <w:szCs w:val="20"/>
          <w:lang w:val="es-ES_tradnl"/>
        </w:rPr>
        <w:t xml:space="preserve">los </w:t>
      </w:r>
      <w:r w:rsidRPr="00B2103B">
        <w:rPr>
          <w:rFonts w:ascii="Arial" w:hAnsi="Arial" w:cs="Arial"/>
          <w:sz w:val="20"/>
          <w:szCs w:val="20"/>
          <w:lang w:val="es-ES_tradnl"/>
        </w:rPr>
        <w:t>sistemas y procedimientos en materia de recursos humanos en el Departamento de Gestión de Recursos Humanos, y también en el resto de la Organización.</w:t>
      </w:r>
    </w:p>
    <w:p w:rsidR="00236E18" w:rsidRPr="00B46E56" w:rsidRDefault="00236E18" w:rsidP="00236E18">
      <w:pPr>
        <w:rPr>
          <w:sz w:val="20"/>
          <w:lang w:val="es-ES_tradnl"/>
        </w:rPr>
      </w:pPr>
    </w:p>
    <w:p w:rsidR="00236E18" w:rsidRPr="00B46E56" w:rsidRDefault="00236E18" w:rsidP="00236E18">
      <w:pPr>
        <w:rPr>
          <w:sz w:val="20"/>
          <w:lang w:val="es-ES_tradnl"/>
        </w:rPr>
      </w:pPr>
    </w:p>
    <w:p w:rsidR="00236E18" w:rsidRPr="00B46E56" w:rsidRDefault="00236E18" w:rsidP="00236E18">
      <w:pPr>
        <w:rPr>
          <w:lang w:val="es-ES_tradnl"/>
        </w:rPr>
      </w:pPr>
      <w:r w:rsidRPr="00B46E56">
        <w:rPr>
          <w:lang w:val="es-ES_tradnl"/>
        </w:rPr>
        <w:t>ESTRATEGIAS DE EJECUCIÓN</w:t>
      </w:r>
    </w:p>
    <w:p w:rsidR="00236E18" w:rsidRPr="00B46E56" w:rsidRDefault="00236E18" w:rsidP="00236E18">
      <w:pPr>
        <w:rPr>
          <w:sz w:val="20"/>
          <w:lang w:val="es-ES_tradnl"/>
        </w:rPr>
      </w:pPr>
    </w:p>
    <w:p w:rsidR="00236E18" w:rsidRPr="00B46E56" w:rsidRDefault="00236E18" w:rsidP="00236E18">
      <w:pPr>
        <w:pStyle w:val="ListParagraph"/>
        <w:numPr>
          <w:ilvl w:val="0"/>
          <w:numId w:val="39"/>
        </w:numPr>
        <w:ind w:left="0" w:firstLine="0"/>
        <w:jc w:val="both"/>
        <w:rPr>
          <w:rFonts w:ascii="Arial" w:hAnsi="Arial" w:cs="Arial"/>
          <w:sz w:val="20"/>
          <w:szCs w:val="20"/>
          <w:lang w:val="es-ES_tradnl"/>
        </w:rPr>
      </w:pPr>
      <w:r w:rsidRPr="00B46E56">
        <w:rPr>
          <w:rFonts w:ascii="Arial" w:hAnsi="Arial" w:cs="Arial"/>
          <w:sz w:val="20"/>
          <w:szCs w:val="20"/>
          <w:lang w:val="es-ES_tradnl"/>
        </w:rPr>
        <w:t xml:space="preserve">El equilibrio de género y la diversidad de la representación geográfica serán objeto de particular atención en este bienio.  Se continuarán los esfuerzos por reforzar las capacidades de gestión y dirección de las mujeres en la Organización, con objeto de que puedan </w:t>
      </w:r>
      <w:r>
        <w:rPr>
          <w:rFonts w:ascii="Arial" w:hAnsi="Arial" w:cs="Arial"/>
          <w:sz w:val="20"/>
          <w:szCs w:val="20"/>
          <w:lang w:val="es-ES_tradnl"/>
        </w:rPr>
        <w:t>ocupar</w:t>
      </w:r>
      <w:r w:rsidRPr="00B46E56">
        <w:rPr>
          <w:rFonts w:ascii="Arial" w:hAnsi="Arial" w:cs="Arial"/>
          <w:sz w:val="20"/>
          <w:szCs w:val="20"/>
          <w:lang w:val="es-ES_tradnl"/>
        </w:rPr>
        <w:t xml:space="preserve"> </w:t>
      </w:r>
      <w:r>
        <w:rPr>
          <w:rFonts w:ascii="Arial" w:hAnsi="Arial" w:cs="Arial"/>
          <w:sz w:val="20"/>
          <w:szCs w:val="20"/>
          <w:lang w:val="es-ES_tradnl"/>
        </w:rPr>
        <w:t>cargos</w:t>
      </w:r>
      <w:r w:rsidRPr="00B46E56">
        <w:rPr>
          <w:rFonts w:ascii="Arial" w:hAnsi="Arial" w:cs="Arial"/>
          <w:sz w:val="20"/>
          <w:szCs w:val="20"/>
          <w:lang w:val="es-ES_tradnl"/>
        </w:rPr>
        <w:t xml:space="preserve"> en niveles superiores, al mismo tiempo que se continuará con el objetivo de identificar posibles candidatas.  De conformidad con la política sobre igualdad de género, la OMPI fomentará las capacidades de su personal, sobre todo en el caso de los coordinadores y directores de cuestiones de género, y colaborará con los Estados miembros con el objetivo de integrar las cuestiones de género en los programas de la Organización.</w:t>
      </w:r>
    </w:p>
    <w:p w:rsidR="00236E18" w:rsidRPr="00B46E56" w:rsidRDefault="00236E18" w:rsidP="00236E18">
      <w:pPr>
        <w:pStyle w:val="ListParagraph"/>
        <w:ind w:left="0"/>
        <w:jc w:val="both"/>
        <w:rPr>
          <w:rFonts w:ascii="Arial" w:hAnsi="Arial" w:cs="Arial"/>
          <w:sz w:val="20"/>
          <w:szCs w:val="20"/>
          <w:lang w:val="es-ES_tradnl"/>
        </w:rPr>
      </w:pPr>
    </w:p>
    <w:p w:rsidR="00236E18" w:rsidRPr="00B46E56" w:rsidRDefault="00236E18" w:rsidP="00236E18">
      <w:pPr>
        <w:pStyle w:val="ListParagraph"/>
        <w:numPr>
          <w:ilvl w:val="0"/>
          <w:numId w:val="39"/>
        </w:numPr>
        <w:ind w:left="0" w:firstLine="0"/>
        <w:jc w:val="both"/>
        <w:rPr>
          <w:rFonts w:ascii="Arial" w:hAnsi="Arial" w:cs="Arial"/>
          <w:sz w:val="20"/>
          <w:szCs w:val="20"/>
          <w:lang w:val="es-ES_tradnl"/>
        </w:rPr>
      </w:pPr>
      <w:r w:rsidRPr="00B46E56">
        <w:rPr>
          <w:rFonts w:ascii="Arial" w:hAnsi="Arial" w:cs="Arial"/>
          <w:sz w:val="20"/>
          <w:szCs w:val="20"/>
          <w:lang w:val="es-ES_tradnl"/>
        </w:rPr>
        <w:t>En cuanto a la diversidad geográfica, se prevé realizar esfuerzos sostenidos y dinámicos, con ayuda de los Estados miembros, para entrar en contacto con candidatos de países que no están bien representados en las categorías profesional y superiores.  Estos esfuerzos se basarán en las enseñanzas extraídas de las campañas de sensibilización llevadas a cabo con un número selecto de Estados miembros en 2015.  También se utilizarán las nuevas funcionalidades del instrumento de contratación TALEO para seguir aumentando la capacidad de contratación focalizada de la Organización, entre otras, la búsqueda dinámica y la localización directa a través de coordinadores a nivel nacional.</w:t>
      </w:r>
    </w:p>
    <w:p w:rsidR="00236E18" w:rsidRPr="00B46E56" w:rsidRDefault="00236E18" w:rsidP="00236E18">
      <w:pPr>
        <w:pStyle w:val="ListParagraph"/>
        <w:ind w:left="0"/>
        <w:jc w:val="both"/>
        <w:rPr>
          <w:rFonts w:ascii="Arial" w:hAnsi="Arial" w:cs="Arial"/>
          <w:sz w:val="20"/>
          <w:szCs w:val="20"/>
          <w:lang w:val="es-ES_tradnl"/>
        </w:rPr>
      </w:pPr>
    </w:p>
    <w:p w:rsidR="00236E18" w:rsidRPr="00B46E56" w:rsidRDefault="00236E18" w:rsidP="00236E18">
      <w:pPr>
        <w:pStyle w:val="ListParagraph"/>
        <w:numPr>
          <w:ilvl w:val="0"/>
          <w:numId w:val="39"/>
        </w:numPr>
        <w:ind w:left="0" w:firstLine="0"/>
        <w:jc w:val="both"/>
        <w:rPr>
          <w:rFonts w:ascii="Arial" w:hAnsi="Arial" w:cs="Arial"/>
          <w:sz w:val="20"/>
          <w:szCs w:val="20"/>
          <w:lang w:val="es-ES_tradnl"/>
        </w:rPr>
      </w:pPr>
      <w:r w:rsidRPr="00B46E56">
        <w:rPr>
          <w:rFonts w:ascii="Arial" w:hAnsi="Arial" w:cs="Arial"/>
          <w:sz w:val="20"/>
          <w:szCs w:val="20"/>
          <w:lang w:val="es-ES_tradnl"/>
        </w:rPr>
        <w:t>Gracias a la incorporación de la planificación de los recursos humanos, plenamente integrada con los ciclos de planificación anual y bienal del trabajo, la Organización podrá disminuir paulatinamente la brecha entre las necesidades de personal presentes y futuras, mediante la evaluación sistemática de las cuestiones de personal y la facilitación de la toma de decisiones a mediano y largo plazo.  Para ello, se continuarán integrando conceptos y mejores prácticas en relación con la planificación de los recursos humanos a través de mejoras del sistema.  Además, el personal directivo de la OMPI se encontrará en una mejor posición para gestionar su personal y anticipar necesidades a través del uso de mejores herramientas de presentación de informes de gestión (inteligencia institucional).</w:t>
      </w:r>
    </w:p>
    <w:p w:rsidR="00236E18" w:rsidRPr="00B46E56" w:rsidRDefault="00236E18" w:rsidP="00236E18">
      <w:pPr>
        <w:pStyle w:val="ListParagraph"/>
        <w:ind w:left="0"/>
        <w:rPr>
          <w:rFonts w:ascii="Arial" w:hAnsi="Arial" w:cs="Arial"/>
          <w:sz w:val="20"/>
          <w:szCs w:val="20"/>
          <w:lang w:val="es-ES_tradnl"/>
        </w:rPr>
      </w:pPr>
    </w:p>
    <w:p w:rsidR="00236E18" w:rsidRPr="00B2103B" w:rsidRDefault="00236E18" w:rsidP="00236E18">
      <w:pPr>
        <w:pStyle w:val="ListParagraph"/>
        <w:numPr>
          <w:ilvl w:val="0"/>
          <w:numId w:val="39"/>
        </w:numPr>
        <w:ind w:left="0" w:firstLine="0"/>
        <w:jc w:val="both"/>
        <w:rPr>
          <w:rFonts w:ascii="Arial" w:hAnsi="Arial" w:cs="Arial"/>
          <w:sz w:val="20"/>
          <w:szCs w:val="20"/>
          <w:lang w:val="es-ES_tradnl"/>
        </w:rPr>
      </w:pPr>
      <w:r w:rsidRPr="00B2103B">
        <w:rPr>
          <w:rFonts w:ascii="Arial" w:hAnsi="Arial" w:cs="Arial"/>
          <w:sz w:val="20"/>
          <w:szCs w:val="20"/>
          <w:lang w:val="es-ES_tradnl"/>
        </w:rPr>
        <w:t>Tras la aplicación del Estatuto y Reglamento del Personal revisado, aprobado por el Comité de Coordinación en 2012 y 2013, que incluye el fortalecimiento del sistema de justicia interna, en el próximo bienio se prevén nuevos ajustes y mejoras en el Estatuto y Reglamento del Personal y en las políticas relacionadas con los recursos humanos para obtener un marco regulador transparente, moderno y actualizado que satisfaga las necesidades cambiantes de la Organización y se adecue a las mejores prácticas del sistema de las Naciones Unidas.  Será importante centrarse en el área de la prevención y mitigación de conflictos, y en la gestión eficaz de casos a través del sistema de justicia interna.  La Organización también continuará colaborando</w:t>
      </w:r>
      <w:r>
        <w:rPr>
          <w:rFonts w:ascii="Arial" w:hAnsi="Arial" w:cs="Arial"/>
          <w:sz w:val="20"/>
          <w:szCs w:val="20"/>
          <w:lang w:val="es-ES_tradnl"/>
        </w:rPr>
        <w:t xml:space="preserve"> con la Comisión de Administración Pública Internacional (CAPI) y otras organizaciones de NN.UU.</w:t>
      </w:r>
      <w:r w:rsidRPr="00B2103B">
        <w:rPr>
          <w:rFonts w:ascii="Arial" w:hAnsi="Arial" w:cs="Arial"/>
          <w:sz w:val="20"/>
          <w:szCs w:val="20"/>
          <w:lang w:val="es-ES_tradnl"/>
        </w:rPr>
        <w:t xml:space="preserve"> en la revisión del conjunto integral de la remuneración del régimen común de las Naciones Unidas.</w:t>
      </w:r>
    </w:p>
    <w:p w:rsidR="00236E18" w:rsidRPr="00B46E56" w:rsidRDefault="00236E18" w:rsidP="00236E18">
      <w:pPr>
        <w:pStyle w:val="ListParagraph"/>
        <w:ind w:left="0"/>
        <w:jc w:val="both"/>
        <w:rPr>
          <w:rFonts w:ascii="Arial" w:hAnsi="Arial" w:cs="Arial"/>
          <w:sz w:val="20"/>
          <w:szCs w:val="20"/>
          <w:lang w:val="es-ES_tradnl"/>
        </w:rPr>
      </w:pPr>
    </w:p>
    <w:p w:rsidR="00236E18" w:rsidRPr="00B46E56" w:rsidRDefault="00236E18" w:rsidP="00236E18">
      <w:pPr>
        <w:pStyle w:val="ListParagraph"/>
        <w:numPr>
          <w:ilvl w:val="0"/>
          <w:numId w:val="39"/>
        </w:numPr>
        <w:ind w:left="0" w:firstLine="0"/>
        <w:jc w:val="both"/>
        <w:rPr>
          <w:rFonts w:ascii="Arial" w:hAnsi="Arial" w:cs="Arial"/>
          <w:sz w:val="20"/>
          <w:szCs w:val="20"/>
          <w:lang w:val="es-ES_tradnl"/>
        </w:rPr>
      </w:pPr>
      <w:r w:rsidRPr="00B46E56">
        <w:rPr>
          <w:rFonts w:ascii="Arial" w:hAnsi="Arial" w:cs="Arial"/>
          <w:sz w:val="20"/>
          <w:szCs w:val="20"/>
          <w:lang w:val="es-ES_tradnl"/>
        </w:rPr>
        <w:t xml:space="preserve">A la integración del Sistema de gestión del desempeño y el perfeccionamiento del personal (PMSDS) y de la base de datos de formación vendrán a añadirse las nuevas funcionalidades del PRI, </w:t>
      </w:r>
      <w:r w:rsidRPr="00B46E56">
        <w:rPr>
          <w:rFonts w:ascii="Arial" w:hAnsi="Arial" w:cs="Arial"/>
          <w:sz w:val="20"/>
          <w:szCs w:val="20"/>
          <w:lang w:val="es-ES_tradnl"/>
        </w:rPr>
        <w:lastRenderedPageBreak/>
        <w:t>como por ejemplo, el inventario de las capacidades y el seguimiento más eficaz de los datos de formación, para mejorar la facilidad de uso del sistema y facilitar el acceso y el intercambio de datos entre diferentes áreas de la Organización.</w:t>
      </w:r>
    </w:p>
    <w:p w:rsidR="00236E18" w:rsidRPr="00B46E56" w:rsidRDefault="00236E18" w:rsidP="00236E18">
      <w:pPr>
        <w:pStyle w:val="ListParagraph"/>
        <w:ind w:left="0"/>
        <w:jc w:val="both"/>
        <w:rPr>
          <w:rFonts w:ascii="Arial" w:hAnsi="Arial" w:cs="Arial"/>
          <w:sz w:val="20"/>
          <w:szCs w:val="20"/>
          <w:lang w:val="es-ES_tradnl"/>
        </w:rPr>
      </w:pPr>
    </w:p>
    <w:p w:rsidR="00236E18" w:rsidRPr="00B2103B" w:rsidRDefault="00236E18" w:rsidP="00236E18">
      <w:pPr>
        <w:pStyle w:val="ListParagraph"/>
        <w:numPr>
          <w:ilvl w:val="0"/>
          <w:numId w:val="39"/>
        </w:numPr>
        <w:ind w:left="0" w:firstLine="0"/>
        <w:jc w:val="both"/>
        <w:rPr>
          <w:rFonts w:ascii="Arial" w:hAnsi="Arial" w:cs="Arial"/>
          <w:sz w:val="20"/>
          <w:szCs w:val="20"/>
          <w:lang w:val="es-ES_tradnl"/>
        </w:rPr>
      </w:pPr>
      <w:r w:rsidRPr="00B2103B">
        <w:rPr>
          <w:rFonts w:ascii="Arial" w:hAnsi="Arial" w:cs="Arial"/>
          <w:sz w:val="20"/>
          <w:szCs w:val="20"/>
          <w:lang w:val="es-ES_tradnl"/>
        </w:rPr>
        <w:t xml:space="preserve">Con el objetivo de mejorar la capacidad de gestión de la Organización, el personal directivo recibirá </w:t>
      </w:r>
      <w:r>
        <w:rPr>
          <w:rFonts w:ascii="Arial" w:hAnsi="Arial" w:cs="Arial"/>
          <w:sz w:val="20"/>
          <w:szCs w:val="20"/>
          <w:lang w:val="es-ES_tradnl"/>
        </w:rPr>
        <w:t xml:space="preserve">una </w:t>
      </w:r>
      <w:r w:rsidRPr="00B2103B">
        <w:rPr>
          <w:rFonts w:ascii="Arial" w:hAnsi="Arial" w:cs="Arial"/>
          <w:sz w:val="20"/>
          <w:szCs w:val="20"/>
          <w:lang w:val="es-ES_tradnl"/>
        </w:rPr>
        <w:t>formaci</w:t>
      </w:r>
      <w:r>
        <w:rPr>
          <w:rFonts w:ascii="Arial" w:hAnsi="Arial" w:cs="Arial"/>
          <w:sz w:val="20"/>
          <w:szCs w:val="20"/>
          <w:lang w:val="es-ES_tradnl"/>
        </w:rPr>
        <w:t>ón obligatoria, en particular, sobre gestión de programas, de personal y de tiempo</w:t>
      </w:r>
      <w:r w:rsidRPr="00B2103B">
        <w:rPr>
          <w:rFonts w:ascii="Arial" w:hAnsi="Arial" w:cs="Arial"/>
          <w:sz w:val="20"/>
          <w:szCs w:val="20"/>
          <w:lang w:val="es-ES_tradnl"/>
        </w:rPr>
        <w:t>.</w:t>
      </w:r>
    </w:p>
    <w:p w:rsidR="00236E18" w:rsidRPr="00B2103B" w:rsidRDefault="00236E18" w:rsidP="00236E18">
      <w:pPr>
        <w:pStyle w:val="ListParagraph"/>
        <w:ind w:left="0"/>
        <w:jc w:val="both"/>
        <w:rPr>
          <w:rFonts w:ascii="Arial" w:hAnsi="Arial" w:cs="Arial"/>
          <w:sz w:val="20"/>
          <w:szCs w:val="20"/>
          <w:lang w:val="es-ES_tradnl"/>
        </w:rPr>
      </w:pPr>
    </w:p>
    <w:p w:rsidR="00236E18" w:rsidRPr="00B2103B" w:rsidRDefault="00236E18" w:rsidP="00236E18">
      <w:pPr>
        <w:pStyle w:val="ListParagraph"/>
        <w:numPr>
          <w:ilvl w:val="0"/>
          <w:numId w:val="39"/>
        </w:numPr>
        <w:ind w:left="0" w:firstLine="0"/>
        <w:jc w:val="both"/>
        <w:rPr>
          <w:rFonts w:ascii="Arial" w:hAnsi="Arial" w:cs="Arial"/>
          <w:sz w:val="20"/>
          <w:szCs w:val="20"/>
          <w:lang w:val="es-ES_tradnl"/>
        </w:rPr>
      </w:pPr>
      <w:r w:rsidRPr="00B2103B">
        <w:rPr>
          <w:rFonts w:ascii="Arial" w:hAnsi="Arial" w:cs="Arial"/>
          <w:sz w:val="20"/>
          <w:szCs w:val="20"/>
          <w:lang w:val="es-ES_tradnl"/>
        </w:rPr>
        <w:t xml:space="preserve">Se examinarán y actualizarán los procedimientos y las prácticas en relación con la gestión de los beneficios y prestaciones y, de ser posible, se buscarán soluciones automatizadas.  Además, se ajustarán los sistemas y procedimientos relacionados con la gestión del tiempo, teniendo en cuenta las recomendaciones del personal encargado de la gestión del tiempo.  A través de la fase II del PRI, se pondrán en la Intranet, al servicio de todo el personal, herramientas </w:t>
      </w:r>
      <w:r>
        <w:rPr>
          <w:rFonts w:ascii="Arial" w:hAnsi="Arial" w:cs="Arial"/>
          <w:sz w:val="20"/>
          <w:szCs w:val="20"/>
          <w:lang w:val="es-ES_tradnl"/>
        </w:rPr>
        <w:t>que permitan tratar de forma automatizada pedidos rutinarios,</w:t>
      </w:r>
      <w:r w:rsidRPr="00B2103B">
        <w:rPr>
          <w:rFonts w:ascii="Arial" w:hAnsi="Arial" w:cs="Arial"/>
          <w:sz w:val="20"/>
          <w:szCs w:val="20"/>
          <w:lang w:val="es-ES_tradnl"/>
        </w:rPr>
        <w:t xml:space="preserve"> de modo que </w:t>
      </w:r>
      <w:r>
        <w:rPr>
          <w:rFonts w:ascii="Arial" w:hAnsi="Arial" w:cs="Arial"/>
          <w:sz w:val="20"/>
          <w:szCs w:val="20"/>
          <w:lang w:val="es-ES_tradnl"/>
        </w:rPr>
        <w:t>el personal d</w:t>
      </w:r>
      <w:r w:rsidRPr="00B2103B">
        <w:rPr>
          <w:rFonts w:ascii="Arial" w:hAnsi="Arial" w:cs="Arial"/>
          <w:sz w:val="20"/>
          <w:szCs w:val="20"/>
          <w:lang w:val="es-ES_tradnl"/>
        </w:rPr>
        <w:t>el Departamento de Recursos Humanos  pueda concentrar</w:t>
      </w:r>
      <w:r>
        <w:rPr>
          <w:rFonts w:ascii="Arial" w:hAnsi="Arial" w:cs="Arial"/>
          <w:sz w:val="20"/>
          <w:szCs w:val="20"/>
          <w:lang w:val="es-ES_tradnl"/>
        </w:rPr>
        <w:t>se</w:t>
      </w:r>
      <w:r w:rsidRPr="00B2103B">
        <w:rPr>
          <w:rFonts w:ascii="Arial" w:hAnsi="Arial" w:cs="Arial"/>
          <w:sz w:val="20"/>
          <w:szCs w:val="20"/>
          <w:lang w:val="es-ES_tradnl"/>
        </w:rPr>
        <w:t xml:space="preserve"> en tareas más complejas y, así, brindar un servicio orientado al cliente, más completo y de mejor calidad</w:t>
      </w:r>
      <w:r>
        <w:rPr>
          <w:rFonts w:ascii="Arial" w:hAnsi="Arial" w:cs="Arial"/>
          <w:sz w:val="20"/>
          <w:szCs w:val="20"/>
          <w:lang w:val="es-ES_tradnl"/>
        </w:rPr>
        <w:t xml:space="preserve">. </w:t>
      </w:r>
      <w:r w:rsidRPr="00B2103B">
        <w:rPr>
          <w:rFonts w:ascii="Arial" w:hAnsi="Arial" w:cs="Arial"/>
          <w:sz w:val="20"/>
          <w:szCs w:val="20"/>
          <w:lang w:val="es-ES_tradnl"/>
        </w:rPr>
        <w:t xml:space="preserve"> También se prevé actualizar los servicios y la información para el personal disponible en la Intranet.</w:t>
      </w:r>
    </w:p>
    <w:p w:rsidR="00236E18" w:rsidRPr="00B46E56" w:rsidRDefault="00236E18" w:rsidP="00236E18">
      <w:pPr>
        <w:pStyle w:val="ListParagraph"/>
        <w:ind w:left="0"/>
        <w:rPr>
          <w:rFonts w:ascii="Arial" w:hAnsi="Arial" w:cs="Arial"/>
          <w:sz w:val="20"/>
          <w:szCs w:val="20"/>
          <w:lang w:val="es-ES_tradnl"/>
        </w:rPr>
      </w:pPr>
    </w:p>
    <w:p w:rsidR="00236E18" w:rsidRPr="00B46E56" w:rsidRDefault="00236E18" w:rsidP="00236E18">
      <w:pPr>
        <w:pStyle w:val="ListParagraph"/>
        <w:numPr>
          <w:ilvl w:val="0"/>
          <w:numId w:val="39"/>
        </w:numPr>
        <w:ind w:left="0" w:firstLine="0"/>
        <w:jc w:val="both"/>
        <w:rPr>
          <w:rFonts w:ascii="Arial" w:hAnsi="Arial" w:cs="Arial"/>
          <w:sz w:val="20"/>
          <w:szCs w:val="20"/>
          <w:lang w:val="es-ES_tradnl"/>
        </w:rPr>
      </w:pPr>
      <w:r w:rsidRPr="00B46E56">
        <w:rPr>
          <w:rFonts w:ascii="Arial" w:hAnsi="Arial" w:cs="Arial"/>
          <w:sz w:val="20"/>
          <w:szCs w:val="20"/>
          <w:lang w:val="es-ES_tradnl"/>
        </w:rPr>
        <w:t>Asimismo, se continuará trabajando en la mejora de los servicios médicos en la OMPI, prestando mayor atención a la salud profesional y al seguimiento de las ausencias de larga duración.</w:t>
      </w:r>
    </w:p>
    <w:p w:rsidR="00236E18" w:rsidRPr="00B46E56" w:rsidRDefault="00236E18" w:rsidP="00236E18">
      <w:pPr>
        <w:pStyle w:val="ListParagraph"/>
        <w:ind w:left="0"/>
        <w:jc w:val="both"/>
        <w:rPr>
          <w:rFonts w:ascii="Arial" w:hAnsi="Arial" w:cs="Arial"/>
          <w:sz w:val="20"/>
          <w:szCs w:val="20"/>
          <w:lang w:val="es-ES_tradnl"/>
        </w:rPr>
      </w:pPr>
    </w:p>
    <w:p w:rsidR="00236E18" w:rsidRPr="00B46E56" w:rsidRDefault="00236E18" w:rsidP="00236E18">
      <w:pPr>
        <w:pStyle w:val="ListParagraph"/>
        <w:ind w:left="0"/>
        <w:jc w:val="both"/>
        <w:rPr>
          <w:rFonts w:ascii="Arial" w:hAnsi="Arial" w:cs="Arial"/>
          <w:sz w:val="20"/>
          <w:szCs w:val="20"/>
          <w:lang w:val="es-ES_tradnl"/>
        </w:rPr>
      </w:pPr>
    </w:p>
    <w:p w:rsidR="00236E18" w:rsidRPr="00B46E56" w:rsidRDefault="00236E18" w:rsidP="00236E18">
      <w:pPr>
        <w:rPr>
          <w:lang w:val="es-ES_tradnl"/>
        </w:rPr>
      </w:pPr>
      <w:r w:rsidRPr="00B46E56">
        <w:rPr>
          <w:lang w:val="es-ES_tradnl"/>
        </w:rPr>
        <w:t>PRINCIPALES RIESGOS Y ESTRATEGIAS DE MITIGACIÓN</w:t>
      </w:r>
    </w:p>
    <w:p w:rsidR="00236E18" w:rsidRPr="00B46E56" w:rsidRDefault="00236E18" w:rsidP="00236E18">
      <w:pPr>
        <w:rPr>
          <w:rFonts w:eastAsia="Times New Roman"/>
          <w:sz w:val="20"/>
          <w:lang w:val="es-ES_tradnl"/>
        </w:rPr>
      </w:pPr>
    </w:p>
    <w:tbl>
      <w:tblPr>
        <w:tblW w:w="945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5197"/>
      </w:tblGrid>
      <w:tr w:rsidR="00236E18" w:rsidRPr="00B46E56" w:rsidTr="00294272">
        <w:trPr>
          <w:trHeight w:val="577"/>
        </w:trPr>
        <w:tc>
          <w:tcPr>
            <w:tcW w:w="4253" w:type="dxa"/>
            <w:tcBorders>
              <w:top w:val="single" w:sz="4" w:space="0" w:color="auto"/>
              <w:bottom w:val="single" w:sz="4" w:space="0" w:color="auto"/>
            </w:tcBorders>
            <w:shd w:val="clear" w:color="auto" w:fill="C6D9F1" w:themeFill="text2" w:themeFillTint="33"/>
            <w:vAlign w:val="center"/>
          </w:tcPr>
          <w:p w:rsidR="00236E18" w:rsidRPr="00B46E56" w:rsidRDefault="00236E18" w:rsidP="00294272">
            <w:pPr>
              <w:jc w:val="center"/>
              <w:rPr>
                <w:rFonts w:eastAsia="Times New Roman"/>
                <w:b/>
                <w:bCs/>
                <w:sz w:val="18"/>
                <w:lang w:val="es-ES_tradnl"/>
              </w:rPr>
            </w:pPr>
            <w:r w:rsidRPr="00B46E56">
              <w:rPr>
                <w:rFonts w:eastAsia="Times New Roman"/>
                <w:b/>
                <w:bCs/>
                <w:sz w:val="18"/>
                <w:lang w:val="es-ES_tradnl"/>
              </w:rPr>
              <w:t>Riesgo</w:t>
            </w:r>
          </w:p>
        </w:tc>
        <w:tc>
          <w:tcPr>
            <w:tcW w:w="5197" w:type="dxa"/>
            <w:tcBorders>
              <w:top w:val="single" w:sz="4" w:space="0" w:color="auto"/>
              <w:bottom w:val="single" w:sz="4" w:space="0" w:color="auto"/>
            </w:tcBorders>
            <w:shd w:val="clear" w:color="auto" w:fill="C6D9F1" w:themeFill="text2" w:themeFillTint="33"/>
            <w:vAlign w:val="center"/>
          </w:tcPr>
          <w:p w:rsidR="00236E18" w:rsidRPr="00B46E56" w:rsidRDefault="00236E18" w:rsidP="00294272">
            <w:pPr>
              <w:jc w:val="center"/>
              <w:rPr>
                <w:rFonts w:eastAsia="Times New Roman"/>
                <w:b/>
                <w:bCs/>
                <w:sz w:val="18"/>
                <w:lang w:val="es-ES_tradnl"/>
              </w:rPr>
            </w:pPr>
            <w:r w:rsidRPr="00B46E56">
              <w:rPr>
                <w:rFonts w:eastAsia="Times New Roman"/>
                <w:b/>
                <w:bCs/>
                <w:sz w:val="18"/>
                <w:lang w:val="es-ES_tradnl"/>
              </w:rPr>
              <w:t>Mitigación</w:t>
            </w:r>
          </w:p>
        </w:tc>
      </w:tr>
      <w:tr w:rsidR="00236E18" w:rsidRPr="00B46E56" w:rsidTr="00294272">
        <w:trPr>
          <w:trHeight w:val="1188"/>
        </w:trPr>
        <w:tc>
          <w:tcPr>
            <w:tcW w:w="4253"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236E18" w:rsidRPr="00B46E56" w:rsidRDefault="00236E18" w:rsidP="00294272">
            <w:pPr>
              <w:rPr>
                <w:rFonts w:eastAsia="Times New Roman"/>
                <w:sz w:val="16"/>
                <w:lang w:val="es-ES_tradnl"/>
              </w:rPr>
            </w:pPr>
            <w:r w:rsidRPr="00B46E56">
              <w:rPr>
                <w:rFonts w:eastAsia="Times New Roman"/>
                <w:sz w:val="16"/>
                <w:lang w:val="es-ES_tradnl"/>
              </w:rPr>
              <w:t>La rápida evolución del entorno externo que exige nuevos procedimientos, capacidades y soluciones de T.I. podría dar lugar a desajustes de plantilla en sectores esenciales de la OMPI.  Esto podría acarrear costos elevados de contratación de personal temporal, deficiencias en los procedimientos, retrasos en sectores esenciales y el menoscabo de la reputación de la OMPI.</w:t>
            </w:r>
          </w:p>
        </w:tc>
        <w:tc>
          <w:tcPr>
            <w:tcW w:w="5197"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236E18" w:rsidRPr="00B46E56" w:rsidRDefault="00236E18" w:rsidP="00294272">
            <w:pPr>
              <w:rPr>
                <w:rFonts w:eastAsia="Times New Roman"/>
                <w:sz w:val="16"/>
                <w:lang w:val="es-ES_tradnl"/>
              </w:rPr>
            </w:pPr>
            <w:r w:rsidRPr="00B46E56">
              <w:rPr>
                <w:rFonts w:eastAsia="Times New Roman"/>
                <w:sz w:val="16"/>
                <w:lang w:val="es-ES_tradnl"/>
              </w:rPr>
              <w:t xml:space="preserve">Desarrollo gradual de una plantilla flexible que responda más adecuadamente a las necesidades, dotada de una estructura capaz de responder a las fluctuaciones en la demanda y a los nuevos objetivos prácticos;  labor detallada de análisis y evaluación de las necesidades en cuanto a las capacidades y la solidez de la plantilla, acompañada de planes de ejecución entre los que figuren la reasignación y la formación adecuada del personal, la contratación de personal especializado para desempeñar labores esenciales y la subcontratación, y el uso de una amplia gama de herramientas de contratación para hallar nuevas fuentes de talento. </w:t>
            </w:r>
          </w:p>
        </w:tc>
      </w:tr>
    </w:tbl>
    <w:p w:rsidR="00236E18" w:rsidRPr="00B46E56" w:rsidRDefault="00236E18" w:rsidP="00236E18">
      <w:pPr>
        <w:rPr>
          <w:rFonts w:eastAsia="Times New Roman"/>
          <w:sz w:val="20"/>
          <w:lang w:val="es-ES_tradnl"/>
        </w:rPr>
      </w:pPr>
    </w:p>
    <w:p w:rsidR="00236E18" w:rsidRPr="00B46E56" w:rsidRDefault="00236E18" w:rsidP="00236E18">
      <w:pPr>
        <w:rPr>
          <w:rFonts w:eastAsia="Times New Roman"/>
          <w:sz w:val="20"/>
          <w:lang w:val="es-ES_tradnl"/>
        </w:rPr>
      </w:pPr>
    </w:p>
    <w:p w:rsidR="00236E18" w:rsidRPr="00B46E56" w:rsidRDefault="00236E18" w:rsidP="00236E18">
      <w:pPr>
        <w:rPr>
          <w:rFonts w:eastAsia="Times New Roman"/>
          <w:sz w:val="20"/>
          <w:lang w:val="es-ES_tradnl"/>
        </w:rPr>
      </w:pPr>
      <w:r w:rsidRPr="00B46E56">
        <w:rPr>
          <w:rFonts w:eastAsia="Times New Roman"/>
          <w:sz w:val="20"/>
          <w:lang w:val="es-ES_tradnl"/>
        </w:rPr>
        <w:t>MARCO DE RESULTADOS</w:t>
      </w:r>
    </w:p>
    <w:p w:rsidR="00236E18" w:rsidRPr="00B46E56" w:rsidRDefault="00236E18" w:rsidP="00236E18">
      <w:pPr>
        <w:rPr>
          <w:rFonts w:eastAsia="Times New Roman"/>
          <w:sz w:val="20"/>
          <w:lang w:val="es-ES_tradnl"/>
        </w:rPr>
      </w:pPr>
    </w:p>
    <w:tbl>
      <w:tblPr>
        <w:tblW w:w="9465" w:type="dxa"/>
        <w:tblInd w:w="93" w:type="dxa"/>
        <w:tblLook w:val="04A0" w:firstRow="1" w:lastRow="0" w:firstColumn="1" w:lastColumn="0" w:noHBand="0" w:noVBand="1"/>
      </w:tblPr>
      <w:tblGrid>
        <w:gridCol w:w="2440"/>
        <w:gridCol w:w="2440"/>
        <w:gridCol w:w="2440"/>
        <w:gridCol w:w="2145"/>
      </w:tblGrid>
      <w:tr w:rsidR="00236E18" w:rsidRPr="00B46E56" w:rsidTr="00294272">
        <w:trPr>
          <w:trHeight w:val="674"/>
          <w:tblHeader/>
        </w:trPr>
        <w:tc>
          <w:tcPr>
            <w:tcW w:w="2440"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rsidR="00236E18" w:rsidRPr="00B46E56" w:rsidRDefault="00236E18" w:rsidP="00294272">
            <w:pPr>
              <w:jc w:val="center"/>
              <w:rPr>
                <w:rFonts w:eastAsia="Times New Roman"/>
                <w:b/>
                <w:bCs/>
                <w:sz w:val="18"/>
                <w:szCs w:val="16"/>
                <w:lang w:val="es-ES_tradnl"/>
              </w:rPr>
            </w:pPr>
            <w:r w:rsidRPr="00B46E56">
              <w:rPr>
                <w:rFonts w:eastAsia="Times New Roman"/>
                <w:b/>
                <w:bCs/>
                <w:sz w:val="18"/>
                <w:szCs w:val="16"/>
                <w:lang w:val="es-ES_tradnl"/>
              </w:rPr>
              <w:t xml:space="preserve">Resultados previstos </w:t>
            </w:r>
          </w:p>
        </w:tc>
        <w:tc>
          <w:tcPr>
            <w:tcW w:w="2440" w:type="dxa"/>
            <w:tcBorders>
              <w:top w:val="single" w:sz="4" w:space="0" w:color="auto"/>
              <w:left w:val="nil"/>
              <w:bottom w:val="single" w:sz="4" w:space="0" w:color="auto"/>
              <w:right w:val="nil"/>
            </w:tcBorders>
            <w:shd w:val="clear" w:color="auto" w:fill="C6D9F1" w:themeFill="text2" w:themeFillTint="33"/>
            <w:vAlign w:val="center"/>
            <w:hideMark/>
          </w:tcPr>
          <w:p w:rsidR="00236E18" w:rsidRPr="00B46E56" w:rsidRDefault="00236E18" w:rsidP="00294272">
            <w:pPr>
              <w:jc w:val="center"/>
              <w:rPr>
                <w:rFonts w:eastAsia="Times New Roman"/>
                <w:b/>
                <w:bCs/>
                <w:sz w:val="18"/>
                <w:szCs w:val="16"/>
                <w:lang w:val="es-ES_tradnl"/>
              </w:rPr>
            </w:pPr>
            <w:r w:rsidRPr="00B46E56">
              <w:rPr>
                <w:rFonts w:eastAsia="Times New Roman"/>
                <w:b/>
                <w:bCs/>
                <w:sz w:val="18"/>
                <w:szCs w:val="16"/>
                <w:lang w:val="es-ES_tradnl"/>
              </w:rPr>
              <w:t>Indicadores de rendimiento</w:t>
            </w:r>
          </w:p>
        </w:tc>
        <w:tc>
          <w:tcPr>
            <w:tcW w:w="2440" w:type="dxa"/>
            <w:tcBorders>
              <w:top w:val="single" w:sz="4" w:space="0" w:color="auto"/>
              <w:left w:val="nil"/>
              <w:bottom w:val="single" w:sz="4" w:space="0" w:color="auto"/>
              <w:right w:val="nil"/>
            </w:tcBorders>
            <w:shd w:val="clear" w:color="auto" w:fill="C6D9F1" w:themeFill="text2" w:themeFillTint="33"/>
            <w:vAlign w:val="center"/>
            <w:hideMark/>
          </w:tcPr>
          <w:p w:rsidR="00236E18" w:rsidRPr="00B46E56" w:rsidRDefault="00236E18" w:rsidP="00294272">
            <w:pPr>
              <w:jc w:val="center"/>
              <w:rPr>
                <w:rFonts w:eastAsia="Times New Roman"/>
                <w:b/>
                <w:bCs/>
                <w:sz w:val="18"/>
                <w:szCs w:val="16"/>
                <w:lang w:val="es-ES_tradnl"/>
              </w:rPr>
            </w:pPr>
            <w:r w:rsidRPr="00B46E56">
              <w:rPr>
                <w:rFonts w:eastAsia="Times New Roman"/>
                <w:b/>
                <w:bCs/>
                <w:sz w:val="18"/>
                <w:szCs w:val="16"/>
                <w:lang w:val="es-ES_tradnl"/>
              </w:rPr>
              <w:t>Referencia</w:t>
            </w:r>
          </w:p>
        </w:tc>
        <w:tc>
          <w:tcPr>
            <w:tcW w:w="214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36E18" w:rsidRPr="00B46E56" w:rsidRDefault="00236E18" w:rsidP="00294272">
            <w:pPr>
              <w:jc w:val="center"/>
              <w:rPr>
                <w:rFonts w:eastAsia="Times New Roman"/>
                <w:b/>
                <w:bCs/>
                <w:sz w:val="18"/>
                <w:szCs w:val="16"/>
                <w:lang w:val="es-ES_tradnl"/>
              </w:rPr>
            </w:pPr>
            <w:r w:rsidRPr="00B46E56">
              <w:rPr>
                <w:rFonts w:eastAsia="Times New Roman"/>
                <w:b/>
                <w:bCs/>
                <w:sz w:val="18"/>
                <w:szCs w:val="16"/>
                <w:lang w:val="es-ES_tradnl"/>
              </w:rPr>
              <w:t>Objetivos</w:t>
            </w:r>
          </w:p>
        </w:tc>
      </w:tr>
      <w:tr w:rsidR="00236E18" w:rsidRPr="00B46E56" w:rsidTr="00294272">
        <w:trPr>
          <w:trHeight w:val="1106"/>
        </w:trPr>
        <w:tc>
          <w:tcPr>
            <w:tcW w:w="2440" w:type="dxa"/>
            <w:tcBorders>
              <w:top w:val="nil"/>
              <w:left w:val="single" w:sz="4" w:space="0" w:color="auto"/>
              <w:right w:val="nil"/>
            </w:tcBorders>
            <w:shd w:val="clear" w:color="000000" w:fill="FFFFFF"/>
            <w:hideMark/>
          </w:tcPr>
          <w:p w:rsidR="00236E18" w:rsidRPr="00D323ED" w:rsidRDefault="00236E18" w:rsidP="00294272">
            <w:pPr>
              <w:rPr>
                <w:rFonts w:eastAsia="Times New Roman"/>
                <w:sz w:val="16"/>
                <w:szCs w:val="16"/>
                <w:lang w:val="es-ES_tradnl"/>
              </w:rPr>
            </w:pPr>
          </w:p>
          <w:p w:rsidR="00236E18" w:rsidRPr="00D323ED" w:rsidRDefault="00236E18" w:rsidP="00294272">
            <w:pPr>
              <w:rPr>
                <w:rFonts w:eastAsia="Times New Roman"/>
                <w:sz w:val="16"/>
                <w:szCs w:val="16"/>
                <w:lang w:val="es-ES_tradnl"/>
              </w:rPr>
            </w:pPr>
            <w:r w:rsidRPr="00D323ED">
              <w:rPr>
                <w:rFonts w:eastAsia="Times New Roman"/>
                <w:sz w:val="16"/>
                <w:szCs w:val="16"/>
                <w:lang w:val="es-ES_tradnl"/>
              </w:rPr>
              <w:t xml:space="preserve">IX.1  </w:t>
            </w:r>
            <w:r w:rsidRPr="00D323ED">
              <w:rPr>
                <w:sz w:val="16"/>
                <w:szCs w:val="16"/>
                <w:lang w:val="es-ES_tradnl"/>
              </w:rPr>
              <w:t>Servicios de apoyo eficaces, eficientes, de calidad y orientados al cliente, tanto a los usuarios internos como a las partes interesadas externas</w:t>
            </w:r>
          </w:p>
        </w:tc>
        <w:tc>
          <w:tcPr>
            <w:tcW w:w="2440" w:type="dxa"/>
            <w:tcBorders>
              <w:top w:val="nil"/>
              <w:left w:val="nil"/>
              <w:right w:val="nil"/>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w:t>
            </w: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Porcentaje de miembros del personal satisfechos de los servicios de recursos humanos.</w:t>
            </w:r>
          </w:p>
        </w:tc>
        <w:tc>
          <w:tcPr>
            <w:tcW w:w="2440" w:type="dxa"/>
            <w:tcBorders>
              <w:top w:val="nil"/>
              <w:left w:val="nil"/>
              <w:right w:val="nil"/>
            </w:tcBorders>
            <w:shd w:val="clear" w:color="000000" w:fill="FFFFFF"/>
            <w:hideMark/>
          </w:tcPr>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xml:space="preserve">Muy satisfechos:  30,8%, Satisfechos:  49,1%, Insatisfechos:  17,6%, </w:t>
            </w: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Muy insatisfechos:  2,5%</w:t>
            </w:r>
          </w:p>
        </w:tc>
        <w:tc>
          <w:tcPr>
            <w:tcW w:w="2145" w:type="dxa"/>
            <w:tcBorders>
              <w:top w:val="nil"/>
              <w:left w:val="nil"/>
              <w:right w:val="single" w:sz="4" w:space="0" w:color="auto"/>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w:t>
            </w: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85% muy satisfechos o satisfechos.</w:t>
            </w:r>
          </w:p>
        </w:tc>
      </w:tr>
      <w:tr w:rsidR="00236E18" w:rsidRPr="00B46E56" w:rsidTr="00294272">
        <w:trPr>
          <w:trHeight w:val="549"/>
        </w:trPr>
        <w:tc>
          <w:tcPr>
            <w:tcW w:w="2440" w:type="dxa"/>
            <w:tcBorders>
              <w:top w:val="nil"/>
              <w:left w:val="single" w:sz="4" w:space="0" w:color="auto"/>
              <w:right w:val="nil"/>
            </w:tcBorders>
            <w:shd w:val="clear" w:color="000000" w:fill="FFFFFF"/>
            <w:hideMark/>
          </w:tcPr>
          <w:p w:rsidR="00236E18" w:rsidRPr="00D323ED" w:rsidRDefault="00236E18" w:rsidP="00294272">
            <w:pPr>
              <w:rPr>
                <w:rFonts w:eastAsia="Times New Roman"/>
                <w:sz w:val="16"/>
                <w:szCs w:val="16"/>
                <w:lang w:val="es-ES_tradnl"/>
              </w:rPr>
            </w:pPr>
            <w:r w:rsidRPr="00D323ED">
              <w:rPr>
                <w:rFonts w:eastAsia="Times New Roman"/>
                <w:sz w:val="16"/>
                <w:szCs w:val="16"/>
                <w:lang w:val="es-ES_tradnl"/>
              </w:rPr>
              <w:t> </w:t>
            </w:r>
          </w:p>
        </w:tc>
        <w:tc>
          <w:tcPr>
            <w:tcW w:w="2440" w:type="dxa"/>
            <w:tcBorders>
              <w:top w:val="nil"/>
              <w:left w:val="nil"/>
              <w:right w:val="nil"/>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xml:space="preserve">Aumento de los procedimientos automatizados en lugar de los procesos que actualmente se efectúan a mano. </w:t>
            </w:r>
            <w:r>
              <w:rPr>
                <w:rFonts w:eastAsia="Times New Roman"/>
                <w:sz w:val="16"/>
                <w:szCs w:val="16"/>
                <w:lang w:val="es-ES_tradnl"/>
              </w:rPr>
              <w:br/>
            </w:r>
          </w:p>
        </w:tc>
        <w:tc>
          <w:tcPr>
            <w:tcW w:w="2440" w:type="dxa"/>
            <w:tcBorders>
              <w:top w:val="nil"/>
              <w:left w:val="nil"/>
              <w:right w:val="nil"/>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0%</w:t>
            </w:r>
          </w:p>
        </w:tc>
        <w:tc>
          <w:tcPr>
            <w:tcW w:w="2145" w:type="dxa"/>
            <w:tcBorders>
              <w:top w:val="nil"/>
              <w:left w:val="nil"/>
              <w:right w:val="single" w:sz="4" w:space="0" w:color="auto"/>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67%</w:t>
            </w:r>
          </w:p>
        </w:tc>
      </w:tr>
      <w:tr w:rsidR="00236E18" w:rsidRPr="00B46E56" w:rsidTr="00294272">
        <w:trPr>
          <w:trHeight w:val="522"/>
        </w:trPr>
        <w:tc>
          <w:tcPr>
            <w:tcW w:w="2440" w:type="dxa"/>
            <w:tcBorders>
              <w:left w:val="single" w:sz="4" w:space="0" w:color="auto"/>
              <w:bottom w:val="nil"/>
              <w:right w:val="nil"/>
            </w:tcBorders>
            <w:shd w:val="clear" w:color="000000" w:fill="FFFFFF"/>
            <w:hideMark/>
          </w:tcPr>
          <w:p w:rsidR="00236E18" w:rsidRPr="00D323ED" w:rsidRDefault="00236E18" w:rsidP="00294272">
            <w:pPr>
              <w:rPr>
                <w:rFonts w:eastAsia="Times New Roman"/>
                <w:sz w:val="16"/>
                <w:szCs w:val="16"/>
                <w:lang w:val="es-ES_tradnl"/>
              </w:rPr>
            </w:pPr>
            <w:r w:rsidRPr="00D323ED">
              <w:rPr>
                <w:rFonts w:eastAsia="Times New Roman"/>
                <w:sz w:val="16"/>
                <w:szCs w:val="16"/>
                <w:lang w:val="es-ES_tradnl"/>
              </w:rPr>
              <w:t> </w:t>
            </w:r>
          </w:p>
        </w:tc>
        <w:tc>
          <w:tcPr>
            <w:tcW w:w="2440" w:type="dxa"/>
            <w:tcBorders>
              <w:left w:val="nil"/>
              <w:bottom w:val="nil"/>
              <w:right w:val="nil"/>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Porcentaje de consultas solucionadas en el plazo de 5 días hábiles.</w:t>
            </w:r>
          </w:p>
        </w:tc>
        <w:tc>
          <w:tcPr>
            <w:tcW w:w="2440" w:type="dxa"/>
            <w:tcBorders>
              <w:left w:val="nil"/>
              <w:bottom w:val="nil"/>
              <w:right w:val="nil"/>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A determinar a fines de 2015.</w:t>
            </w:r>
          </w:p>
        </w:tc>
        <w:tc>
          <w:tcPr>
            <w:tcW w:w="2145" w:type="dxa"/>
            <w:tcBorders>
              <w:left w:val="nil"/>
              <w:bottom w:val="nil"/>
              <w:right w:val="single" w:sz="4" w:space="0" w:color="auto"/>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90%</w:t>
            </w:r>
          </w:p>
        </w:tc>
      </w:tr>
      <w:tr w:rsidR="00236E18" w:rsidRPr="00B46E56" w:rsidTr="00294272">
        <w:trPr>
          <w:trHeight w:val="660"/>
        </w:trPr>
        <w:tc>
          <w:tcPr>
            <w:tcW w:w="2440" w:type="dxa"/>
            <w:tcBorders>
              <w:top w:val="nil"/>
              <w:left w:val="single" w:sz="4" w:space="0" w:color="auto"/>
              <w:right w:val="nil"/>
            </w:tcBorders>
            <w:shd w:val="clear" w:color="000000" w:fill="FFFFFF"/>
            <w:hideMark/>
          </w:tcPr>
          <w:p w:rsidR="00236E18" w:rsidRPr="00D323ED" w:rsidRDefault="00236E18" w:rsidP="00294272">
            <w:pPr>
              <w:rPr>
                <w:rFonts w:eastAsia="Times New Roman"/>
                <w:sz w:val="16"/>
                <w:szCs w:val="16"/>
                <w:lang w:val="es-ES_tradnl"/>
              </w:rPr>
            </w:pPr>
            <w:r w:rsidRPr="00D323ED">
              <w:rPr>
                <w:rFonts w:eastAsia="Times New Roman"/>
                <w:sz w:val="16"/>
                <w:szCs w:val="16"/>
                <w:lang w:val="es-ES_tradnl"/>
              </w:rPr>
              <w:t> </w:t>
            </w:r>
          </w:p>
        </w:tc>
        <w:tc>
          <w:tcPr>
            <w:tcW w:w="2440" w:type="dxa"/>
            <w:tcBorders>
              <w:top w:val="nil"/>
              <w:left w:val="nil"/>
              <w:right w:val="nil"/>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xml:space="preserve">Cobertura de seguros optimizada.  </w:t>
            </w:r>
          </w:p>
        </w:tc>
        <w:tc>
          <w:tcPr>
            <w:tcW w:w="2440" w:type="dxa"/>
            <w:tcBorders>
              <w:top w:val="nil"/>
              <w:left w:val="nil"/>
              <w:right w:val="nil"/>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A determinar a fines de 2015.</w:t>
            </w:r>
          </w:p>
        </w:tc>
        <w:tc>
          <w:tcPr>
            <w:tcW w:w="2145" w:type="dxa"/>
            <w:tcBorders>
              <w:top w:val="nil"/>
              <w:left w:val="nil"/>
              <w:right w:val="single" w:sz="4" w:space="0" w:color="auto"/>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A determinar a fines de 2015.</w:t>
            </w:r>
          </w:p>
        </w:tc>
      </w:tr>
      <w:tr w:rsidR="00236E18" w:rsidRPr="00B46E56" w:rsidTr="00294272">
        <w:trPr>
          <w:trHeight w:val="1200"/>
        </w:trPr>
        <w:tc>
          <w:tcPr>
            <w:tcW w:w="2440" w:type="dxa"/>
            <w:tcBorders>
              <w:top w:val="nil"/>
              <w:left w:val="single" w:sz="4" w:space="0" w:color="auto"/>
              <w:bottom w:val="single" w:sz="4" w:space="0" w:color="auto"/>
              <w:right w:val="nil"/>
            </w:tcBorders>
            <w:shd w:val="clear" w:color="000000" w:fill="FFFFFF"/>
            <w:hideMark/>
          </w:tcPr>
          <w:p w:rsidR="00236E18" w:rsidRPr="00D323ED" w:rsidRDefault="00236E18" w:rsidP="00294272">
            <w:pPr>
              <w:rPr>
                <w:rFonts w:eastAsia="Times New Roman"/>
                <w:sz w:val="16"/>
                <w:szCs w:val="16"/>
                <w:lang w:val="es-ES_tradnl"/>
              </w:rPr>
            </w:pPr>
            <w:r w:rsidRPr="00D323ED">
              <w:rPr>
                <w:rFonts w:eastAsia="Times New Roman"/>
                <w:sz w:val="16"/>
                <w:szCs w:val="16"/>
                <w:lang w:val="es-ES_tradnl"/>
              </w:rPr>
              <w:t xml:space="preserve">IX.2  </w:t>
            </w:r>
            <w:r w:rsidRPr="00D323ED">
              <w:rPr>
                <w:sz w:val="16"/>
                <w:szCs w:val="16"/>
                <w:lang w:val="es-ES_tradnl"/>
              </w:rPr>
              <w:t>Funcionamiento sin contratiempos de la Secretaría, provista de un personal bien dirigido, dotado de las competencias adecuadas, y capaz de conseguir resultados</w:t>
            </w:r>
          </w:p>
        </w:tc>
        <w:tc>
          <w:tcPr>
            <w:tcW w:w="2440" w:type="dxa"/>
            <w:tcBorders>
              <w:top w:val="nil"/>
              <w:left w:val="nil"/>
              <w:bottom w:val="single" w:sz="4" w:space="0" w:color="auto"/>
              <w:right w:val="nil"/>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xml:space="preserve">Porcentaje de mujeres </w:t>
            </w:r>
            <w:r>
              <w:rPr>
                <w:rFonts w:eastAsia="Times New Roman"/>
                <w:sz w:val="16"/>
                <w:szCs w:val="16"/>
                <w:lang w:val="es-ES_tradnl"/>
              </w:rPr>
              <w:t>en cargos</w:t>
            </w:r>
            <w:r w:rsidRPr="00B46E56">
              <w:rPr>
                <w:rFonts w:eastAsia="Times New Roman"/>
                <w:sz w:val="16"/>
                <w:szCs w:val="16"/>
                <w:lang w:val="es-ES_tradnl"/>
              </w:rPr>
              <w:t xml:space="preserve"> </w:t>
            </w:r>
            <w:r>
              <w:rPr>
                <w:rFonts w:eastAsia="Times New Roman"/>
                <w:sz w:val="16"/>
                <w:szCs w:val="16"/>
                <w:lang w:val="es-ES_tradnl"/>
              </w:rPr>
              <w:t xml:space="preserve">de categorías </w:t>
            </w:r>
            <w:r w:rsidRPr="00B46E56">
              <w:rPr>
                <w:rFonts w:eastAsia="Times New Roman"/>
                <w:sz w:val="16"/>
                <w:szCs w:val="16"/>
                <w:lang w:val="es-ES_tradnl"/>
              </w:rPr>
              <w:t xml:space="preserve">profesional y </w:t>
            </w:r>
            <w:r>
              <w:rPr>
                <w:rFonts w:eastAsia="Times New Roman"/>
                <w:sz w:val="16"/>
                <w:szCs w:val="16"/>
                <w:lang w:val="es-ES_tradnl"/>
              </w:rPr>
              <w:t>superior</w:t>
            </w:r>
            <w:r w:rsidRPr="00B46E56">
              <w:rPr>
                <w:rFonts w:eastAsia="Times New Roman"/>
                <w:sz w:val="16"/>
                <w:szCs w:val="16"/>
                <w:lang w:val="es-ES_tradnl"/>
              </w:rPr>
              <w:t>.</w:t>
            </w:r>
          </w:p>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Duración del proceso de contratación.</w:t>
            </w:r>
          </w:p>
        </w:tc>
        <w:tc>
          <w:tcPr>
            <w:tcW w:w="2440" w:type="dxa"/>
            <w:tcBorders>
              <w:top w:val="nil"/>
              <w:left w:val="nil"/>
              <w:bottom w:val="single" w:sz="4" w:space="0" w:color="auto"/>
              <w:right w:val="nil"/>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xml:space="preserve">P4 – 44,4%  P5 – 34,4% </w:t>
            </w: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xml:space="preserve">D1 – 26,7%  D2 – 22,2% </w:t>
            </w: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xml:space="preserve">(Dic. de 2014) </w:t>
            </w:r>
          </w:p>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14,7 semanas (con LSTE)</w:t>
            </w:r>
            <w:r w:rsidRPr="00B46E56">
              <w:rPr>
                <w:rFonts w:eastAsia="Times New Roman"/>
                <w:sz w:val="16"/>
                <w:szCs w:val="16"/>
                <w:lang w:val="es-ES_tradnl"/>
              </w:rPr>
              <w:br/>
              <w:t>19,07 semanas (sin LSTE)</w:t>
            </w:r>
          </w:p>
        </w:tc>
        <w:tc>
          <w:tcPr>
            <w:tcW w:w="2145" w:type="dxa"/>
            <w:tcBorders>
              <w:top w:val="nil"/>
              <w:left w:val="nil"/>
              <w:bottom w:val="single" w:sz="4" w:space="0" w:color="auto"/>
              <w:right w:val="single" w:sz="4" w:space="0" w:color="auto"/>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xml:space="preserve">P4 – 46% P5 – 35% </w:t>
            </w: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xml:space="preserve">D1 – 30% D2 – 30% </w:t>
            </w:r>
          </w:p>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19 semanas.</w:t>
            </w:r>
          </w:p>
        </w:tc>
      </w:tr>
      <w:tr w:rsidR="00236E18" w:rsidRPr="00B46E56" w:rsidTr="00294272">
        <w:trPr>
          <w:trHeight w:val="882"/>
        </w:trPr>
        <w:tc>
          <w:tcPr>
            <w:tcW w:w="2440" w:type="dxa"/>
            <w:tcBorders>
              <w:top w:val="single" w:sz="4" w:space="0" w:color="auto"/>
              <w:left w:val="single" w:sz="4" w:space="0" w:color="auto"/>
              <w:right w:val="nil"/>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lastRenderedPageBreak/>
              <w:t> </w:t>
            </w:r>
          </w:p>
        </w:tc>
        <w:tc>
          <w:tcPr>
            <w:tcW w:w="2440" w:type="dxa"/>
            <w:tcBorders>
              <w:top w:val="single" w:sz="4" w:space="0" w:color="auto"/>
              <w:left w:val="nil"/>
              <w:right w:val="nil"/>
            </w:tcBorders>
            <w:shd w:val="clear" w:color="000000" w:fill="FFFFFF"/>
            <w:hideMark/>
          </w:tcPr>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Porcentaje de miembros del personal cuyo desempeño se evalúa en función de objetivos y competencias específicos.</w:t>
            </w:r>
          </w:p>
        </w:tc>
        <w:tc>
          <w:tcPr>
            <w:tcW w:w="2440" w:type="dxa"/>
            <w:tcBorders>
              <w:top w:val="single" w:sz="4" w:space="0" w:color="auto"/>
              <w:left w:val="nil"/>
              <w:right w:val="nil"/>
            </w:tcBorders>
            <w:shd w:val="clear" w:color="000000" w:fill="FFFFFF"/>
            <w:hideMark/>
          </w:tcPr>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82,9% (2014)</w:t>
            </w:r>
          </w:p>
        </w:tc>
        <w:tc>
          <w:tcPr>
            <w:tcW w:w="2145" w:type="dxa"/>
            <w:tcBorders>
              <w:top w:val="single" w:sz="4" w:space="0" w:color="auto"/>
              <w:left w:val="nil"/>
              <w:right w:val="single" w:sz="4" w:space="0" w:color="auto"/>
            </w:tcBorders>
            <w:shd w:val="clear" w:color="000000" w:fill="FFFFFF"/>
            <w:hideMark/>
          </w:tcPr>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90%</w:t>
            </w:r>
          </w:p>
        </w:tc>
      </w:tr>
      <w:tr w:rsidR="00236E18" w:rsidRPr="00B46E56" w:rsidTr="00294272">
        <w:trPr>
          <w:trHeight w:val="1431"/>
        </w:trPr>
        <w:tc>
          <w:tcPr>
            <w:tcW w:w="2440" w:type="dxa"/>
            <w:tcBorders>
              <w:left w:val="single" w:sz="4" w:space="0" w:color="auto"/>
              <w:bottom w:val="nil"/>
              <w:right w:val="nil"/>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w:t>
            </w:r>
          </w:p>
        </w:tc>
        <w:tc>
          <w:tcPr>
            <w:tcW w:w="2440" w:type="dxa"/>
            <w:tcBorders>
              <w:left w:val="nil"/>
              <w:bottom w:val="nil"/>
              <w:right w:val="nil"/>
            </w:tcBorders>
            <w:shd w:val="clear" w:color="000000" w:fill="FFFFFF"/>
            <w:hideMark/>
          </w:tcPr>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N</w:t>
            </w:r>
            <w:r>
              <w:rPr>
                <w:rFonts w:eastAsia="Times New Roman"/>
                <w:sz w:val="16"/>
                <w:szCs w:val="16"/>
                <w:lang w:val="es-ES_tradnl"/>
              </w:rPr>
              <w:t>º</w:t>
            </w:r>
            <w:r w:rsidRPr="00B46E56">
              <w:rPr>
                <w:rFonts w:eastAsia="Times New Roman"/>
                <w:sz w:val="16"/>
                <w:szCs w:val="16"/>
                <w:lang w:val="es-ES_tradnl"/>
              </w:rPr>
              <w:t xml:space="preserve"> de días para:  i) notificar al funcionario decisiones relativas a peticiones de revisión o reclamaciones, ii) notificar al funcionario decisiones relativas a casos de refutación o faltas disciplinarias, y iii) ofrecer respuestas a consultas de asesoramiento. </w:t>
            </w:r>
          </w:p>
        </w:tc>
        <w:tc>
          <w:tcPr>
            <w:tcW w:w="2440" w:type="dxa"/>
            <w:tcBorders>
              <w:left w:val="nil"/>
              <w:bottom w:val="nil"/>
              <w:right w:val="nil"/>
            </w:tcBorders>
            <w:shd w:val="clear" w:color="000000" w:fill="FFFFFF"/>
            <w:hideMark/>
          </w:tcPr>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proofErr w:type="spellStart"/>
            <w:r w:rsidRPr="00B46E56">
              <w:rPr>
                <w:rFonts w:eastAsia="Times New Roman"/>
                <w:sz w:val="16"/>
                <w:szCs w:val="16"/>
                <w:lang w:val="es-ES_tradnl"/>
              </w:rPr>
              <w:t>n</w:t>
            </w:r>
            <w:r>
              <w:rPr>
                <w:rFonts w:eastAsia="Times New Roman"/>
                <w:sz w:val="16"/>
                <w:szCs w:val="16"/>
                <w:lang w:val="es-ES_tradnl"/>
              </w:rPr>
              <w:t>.d</w:t>
            </w:r>
            <w:proofErr w:type="spellEnd"/>
            <w:r>
              <w:rPr>
                <w:rFonts w:eastAsia="Times New Roman"/>
                <w:sz w:val="16"/>
                <w:szCs w:val="16"/>
                <w:lang w:val="es-ES_tradnl"/>
              </w:rPr>
              <w:t>.</w:t>
            </w:r>
          </w:p>
        </w:tc>
        <w:tc>
          <w:tcPr>
            <w:tcW w:w="2145" w:type="dxa"/>
            <w:tcBorders>
              <w:left w:val="nil"/>
              <w:bottom w:val="nil"/>
              <w:right w:val="single" w:sz="4" w:space="0" w:color="auto"/>
            </w:tcBorders>
            <w:shd w:val="clear" w:color="000000" w:fill="FFFFFF"/>
            <w:hideMark/>
          </w:tcPr>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xml:space="preserve">i) 60 días a partir de la recepción de la respuesta a la petición de revisión o reclamación ii) 30 días a partir de la recepción de la refutación o la respuesta a la carta de cargos y iii) 10 días hábiles a partir de la recepción de la consulta </w:t>
            </w:r>
          </w:p>
          <w:p w:rsidR="00236E18" w:rsidRPr="00B46E56" w:rsidRDefault="00236E18" w:rsidP="00294272">
            <w:pPr>
              <w:rPr>
                <w:rFonts w:eastAsia="Times New Roman"/>
                <w:sz w:val="16"/>
                <w:szCs w:val="16"/>
                <w:lang w:val="es-ES_tradnl"/>
              </w:rPr>
            </w:pPr>
          </w:p>
        </w:tc>
      </w:tr>
      <w:tr w:rsidR="00236E18" w:rsidRPr="00B46E56" w:rsidTr="00294272">
        <w:trPr>
          <w:trHeight w:val="2160"/>
        </w:trPr>
        <w:tc>
          <w:tcPr>
            <w:tcW w:w="2440" w:type="dxa"/>
            <w:tcBorders>
              <w:top w:val="nil"/>
              <w:left w:val="single" w:sz="4" w:space="0" w:color="auto"/>
              <w:bottom w:val="nil"/>
              <w:right w:val="nil"/>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w:t>
            </w:r>
          </w:p>
        </w:tc>
        <w:tc>
          <w:tcPr>
            <w:tcW w:w="2440" w:type="dxa"/>
            <w:tcBorders>
              <w:top w:val="nil"/>
              <w:left w:val="nil"/>
              <w:bottom w:val="nil"/>
              <w:right w:val="nil"/>
            </w:tcBorders>
            <w:shd w:val="clear" w:color="000000" w:fill="FFFFFF"/>
            <w:hideMark/>
          </w:tcPr>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Diversidad geográfica – porcentaje de funcionarios por región.</w:t>
            </w:r>
          </w:p>
        </w:tc>
        <w:tc>
          <w:tcPr>
            <w:tcW w:w="2440" w:type="dxa"/>
            <w:tcBorders>
              <w:top w:val="nil"/>
              <w:left w:val="nil"/>
              <w:bottom w:val="nil"/>
              <w:right w:val="nil"/>
            </w:tcBorders>
            <w:shd w:val="clear" w:color="000000" w:fill="FFFFFF"/>
            <w:hideMark/>
          </w:tcPr>
          <w:p w:rsidR="00236E18" w:rsidRPr="00B46E56" w:rsidRDefault="00236E18" w:rsidP="00294272">
            <w:pPr>
              <w:autoSpaceDE w:val="0"/>
              <w:autoSpaceDN w:val="0"/>
              <w:adjustRightInd w:val="0"/>
              <w:rPr>
                <w:sz w:val="16"/>
                <w:szCs w:val="16"/>
                <w:lang w:val="es-ES_tradnl"/>
              </w:rPr>
            </w:pPr>
          </w:p>
          <w:p w:rsidR="00236E18" w:rsidRPr="00B46E56" w:rsidRDefault="00236E18" w:rsidP="00294272">
            <w:pPr>
              <w:autoSpaceDE w:val="0"/>
              <w:autoSpaceDN w:val="0"/>
              <w:adjustRightInd w:val="0"/>
              <w:rPr>
                <w:sz w:val="16"/>
                <w:szCs w:val="16"/>
                <w:lang w:val="es-ES_tradnl"/>
              </w:rPr>
            </w:pPr>
            <w:r w:rsidRPr="00B46E56">
              <w:rPr>
                <w:sz w:val="16"/>
                <w:szCs w:val="16"/>
                <w:lang w:val="es-ES_tradnl"/>
              </w:rPr>
              <w:t xml:space="preserve">África </w:t>
            </w:r>
            <w:r w:rsidRPr="00B46E56">
              <w:rPr>
                <w:rFonts w:eastAsia="Times New Roman"/>
                <w:sz w:val="16"/>
                <w:szCs w:val="16"/>
                <w:lang w:val="es-ES_tradnl"/>
              </w:rPr>
              <w:t>– 10,8%</w:t>
            </w:r>
            <w:r w:rsidRPr="00B46E56">
              <w:rPr>
                <w:rFonts w:eastAsia="Times New Roman"/>
                <w:sz w:val="16"/>
                <w:szCs w:val="16"/>
                <w:lang w:val="es-ES_tradnl"/>
              </w:rPr>
              <w:br/>
              <w:t>Asia y el Pacífico – 13,5%</w:t>
            </w:r>
            <w:r w:rsidRPr="00B46E56">
              <w:rPr>
                <w:rFonts w:eastAsia="Times New Roman"/>
                <w:sz w:val="16"/>
                <w:szCs w:val="16"/>
                <w:lang w:val="es-ES_tradnl"/>
              </w:rPr>
              <w:br/>
            </w:r>
            <w:r w:rsidRPr="00B46E56">
              <w:rPr>
                <w:sz w:val="16"/>
                <w:szCs w:val="16"/>
                <w:lang w:val="es-ES_tradnl"/>
              </w:rPr>
              <w:t>Europa Central y Oriental</w:t>
            </w:r>
          </w:p>
          <w:p w:rsidR="00236E18" w:rsidRPr="00B46E56" w:rsidRDefault="00236E18" w:rsidP="00294272">
            <w:pPr>
              <w:rPr>
                <w:rFonts w:eastAsia="Times New Roman"/>
                <w:sz w:val="16"/>
                <w:szCs w:val="16"/>
                <w:lang w:val="es-ES_tradnl"/>
              </w:rPr>
            </w:pPr>
            <w:r w:rsidRPr="00B46E56">
              <w:rPr>
                <w:sz w:val="16"/>
                <w:szCs w:val="16"/>
                <w:lang w:val="es-ES_tradnl"/>
              </w:rPr>
              <w:t>y Asia Central</w:t>
            </w:r>
            <w:r w:rsidRPr="00B46E56">
              <w:rPr>
                <w:rFonts w:eastAsia="Times New Roman"/>
                <w:sz w:val="16"/>
                <w:szCs w:val="16"/>
                <w:lang w:val="es-ES_tradnl"/>
              </w:rPr>
              <w:t xml:space="preserve"> – 6,7%</w:t>
            </w:r>
            <w:r w:rsidRPr="00B46E56">
              <w:rPr>
                <w:rFonts w:eastAsia="Times New Roman"/>
                <w:sz w:val="16"/>
                <w:szCs w:val="16"/>
                <w:lang w:val="es-ES_tradnl"/>
              </w:rPr>
              <w:br/>
            </w:r>
            <w:r w:rsidRPr="00B46E56">
              <w:rPr>
                <w:sz w:val="16"/>
                <w:szCs w:val="16"/>
                <w:lang w:val="es-ES_tradnl"/>
              </w:rPr>
              <w:t>América Latina y el Caribe</w:t>
            </w:r>
            <w:r w:rsidRPr="00B46E56">
              <w:rPr>
                <w:rFonts w:eastAsia="Times New Roman"/>
                <w:sz w:val="16"/>
                <w:szCs w:val="16"/>
                <w:lang w:val="es-ES_tradnl"/>
              </w:rPr>
              <w:t xml:space="preserve"> – 8,2%</w:t>
            </w:r>
            <w:r w:rsidRPr="00B46E56">
              <w:rPr>
                <w:rFonts w:eastAsia="Times New Roman"/>
                <w:sz w:val="16"/>
                <w:szCs w:val="16"/>
                <w:lang w:val="es-ES_tradnl"/>
              </w:rPr>
              <w:br/>
            </w:r>
            <w:r w:rsidRPr="00B46E56">
              <w:rPr>
                <w:sz w:val="16"/>
                <w:szCs w:val="16"/>
                <w:lang w:val="es-ES_tradnl"/>
              </w:rPr>
              <w:t>Medio Oriente</w:t>
            </w:r>
            <w:r w:rsidRPr="00B46E56">
              <w:rPr>
                <w:rFonts w:eastAsia="Times New Roman"/>
                <w:sz w:val="16"/>
                <w:szCs w:val="16"/>
                <w:lang w:val="es-ES_tradnl"/>
              </w:rPr>
              <w:t xml:space="preserve"> – 1,2%</w:t>
            </w:r>
            <w:r w:rsidRPr="00B46E56">
              <w:rPr>
                <w:rFonts w:eastAsia="Times New Roman"/>
                <w:sz w:val="16"/>
                <w:szCs w:val="16"/>
                <w:lang w:val="es-ES_tradnl"/>
              </w:rPr>
              <w:br/>
            </w:r>
            <w:r w:rsidRPr="00B46E56">
              <w:rPr>
                <w:sz w:val="16"/>
                <w:szCs w:val="16"/>
                <w:lang w:val="es-ES_tradnl"/>
              </w:rPr>
              <w:t>Norteamérica</w:t>
            </w:r>
            <w:r w:rsidRPr="00B46E56">
              <w:rPr>
                <w:rFonts w:eastAsia="Times New Roman"/>
                <w:sz w:val="16"/>
                <w:szCs w:val="16"/>
                <w:lang w:val="es-ES_tradnl"/>
              </w:rPr>
              <w:t xml:space="preserve"> – 8,4%</w:t>
            </w:r>
            <w:r w:rsidRPr="00B46E56">
              <w:rPr>
                <w:rFonts w:eastAsia="Times New Roman"/>
                <w:sz w:val="16"/>
                <w:szCs w:val="16"/>
                <w:lang w:val="es-ES_tradnl"/>
              </w:rPr>
              <w:br/>
            </w:r>
            <w:r w:rsidRPr="00B46E56">
              <w:rPr>
                <w:sz w:val="16"/>
                <w:szCs w:val="16"/>
                <w:lang w:val="es-ES_tradnl"/>
              </w:rPr>
              <w:t>Europa Occidental</w:t>
            </w:r>
            <w:r w:rsidRPr="00B46E56">
              <w:rPr>
                <w:rFonts w:eastAsia="Times New Roman"/>
                <w:sz w:val="16"/>
                <w:szCs w:val="16"/>
                <w:lang w:val="es-ES_tradnl"/>
              </w:rPr>
              <w:t xml:space="preserve"> – 51,2%</w:t>
            </w:r>
            <w:r w:rsidRPr="00B46E56">
              <w:rPr>
                <w:rFonts w:eastAsia="Times New Roman"/>
                <w:sz w:val="16"/>
                <w:szCs w:val="16"/>
                <w:lang w:val="es-ES_tradnl"/>
              </w:rPr>
              <w:br/>
              <w:t>(Dic. de 2014)</w:t>
            </w:r>
          </w:p>
        </w:tc>
        <w:tc>
          <w:tcPr>
            <w:tcW w:w="2145" w:type="dxa"/>
            <w:tcBorders>
              <w:top w:val="nil"/>
              <w:left w:val="nil"/>
              <w:bottom w:val="nil"/>
              <w:right w:val="single" w:sz="4" w:space="0" w:color="auto"/>
            </w:tcBorders>
            <w:shd w:val="clear" w:color="000000" w:fill="FFFFFF"/>
            <w:hideMark/>
          </w:tcPr>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xml:space="preserve">La política de la OMPI en materia de distribución geográfica requiere el examen de los Estados miembros.  </w:t>
            </w:r>
          </w:p>
        </w:tc>
      </w:tr>
      <w:tr w:rsidR="00236E18" w:rsidRPr="00B46E56" w:rsidTr="00294272">
        <w:trPr>
          <w:trHeight w:val="747"/>
        </w:trPr>
        <w:tc>
          <w:tcPr>
            <w:tcW w:w="2440" w:type="dxa"/>
            <w:tcBorders>
              <w:top w:val="nil"/>
              <w:left w:val="single" w:sz="4" w:space="0" w:color="auto"/>
              <w:bottom w:val="nil"/>
              <w:right w:val="nil"/>
            </w:tcBorders>
            <w:shd w:val="clear" w:color="000000" w:fill="FFFFFF"/>
          </w:tcPr>
          <w:p w:rsidR="00236E18" w:rsidRPr="00B46E56" w:rsidRDefault="00236E18" w:rsidP="00294272">
            <w:pPr>
              <w:rPr>
                <w:rFonts w:eastAsia="Times New Roman"/>
                <w:sz w:val="16"/>
                <w:szCs w:val="16"/>
                <w:lang w:val="es-ES_tradnl"/>
              </w:rPr>
            </w:pPr>
          </w:p>
        </w:tc>
        <w:tc>
          <w:tcPr>
            <w:tcW w:w="2440" w:type="dxa"/>
            <w:tcBorders>
              <w:top w:val="nil"/>
              <w:left w:val="nil"/>
              <w:bottom w:val="nil"/>
              <w:right w:val="nil"/>
            </w:tcBorders>
            <w:shd w:val="clear" w:color="000000" w:fill="FFFFFF"/>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N</w:t>
            </w:r>
            <w:r>
              <w:rPr>
                <w:rFonts w:eastAsia="Times New Roman"/>
                <w:sz w:val="16"/>
                <w:szCs w:val="16"/>
                <w:lang w:val="es-ES_tradnl"/>
              </w:rPr>
              <w:t>º</w:t>
            </w:r>
            <w:r w:rsidRPr="00B46E56">
              <w:rPr>
                <w:rFonts w:eastAsia="Times New Roman"/>
                <w:sz w:val="16"/>
                <w:szCs w:val="16"/>
                <w:lang w:val="es-ES_tradnl"/>
              </w:rPr>
              <w:t xml:space="preserve"> de solicitudes recibidas por parte de Estados miembros no representados, como porcentaje del total </w:t>
            </w:r>
          </w:p>
        </w:tc>
        <w:tc>
          <w:tcPr>
            <w:tcW w:w="2440" w:type="dxa"/>
            <w:tcBorders>
              <w:top w:val="nil"/>
              <w:left w:val="nil"/>
              <w:bottom w:val="nil"/>
              <w:right w:val="nil"/>
            </w:tcBorders>
            <w:shd w:val="clear" w:color="000000" w:fill="FFFFFF"/>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A determinar a fines de 2015.</w:t>
            </w:r>
          </w:p>
        </w:tc>
        <w:tc>
          <w:tcPr>
            <w:tcW w:w="2145" w:type="dxa"/>
            <w:tcBorders>
              <w:top w:val="nil"/>
              <w:left w:val="nil"/>
              <w:bottom w:val="nil"/>
              <w:right w:val="single" w:sz="4" w:space="0" w:color="auto"/>
            </w:tcBorders>
            <w:shd w:val="clear" w:color="000000" w:fill="FFFFFF"/>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xml:space="preserve">A determinar a fines de 2015 (sobre la base del aumento del porcentaje entre 2014-2015). </w:t>
            </w:r>
          </w:p>
        </w:tc>
      </w:tr>
      <w:tr w:rsidR="00236E18" w:rsidRPr="00B46E56" w:rsidTr="00294272">
        <w:trPr>
          <w:trHeight w:val="567"/>
        </w:trPr>
        <w:tc>
          <w:tcPr>
            <w:tcW w:w="2440" w:type="dxa"/>
            <w:tcBorders>
              <w:top w:val="nil"/>
              <w:left w:val="single" w:sz="4" w:space="0" w:color="auto"/>
              <w:right w:val="nil"/>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w:t>
            </w:r>
          </w:p>
        </w:tc>
        <w:tc>
          <w:tcPr>
            <w:tcW w:w="2440" w:type="dxa"/>
            <w:tcBorders>
              <w:top w:val="nil"/>
              <w:left w:val="nil"/>
              <w:right w:val="nil"/>
            </w:tcBorders>
            <w:shd w:val="clear" w:color="000000" w:fill="FFFFFF"/>
            <w:hideMark/>
          </w:tcPr>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xml:space="preserve">Mayor consolidación de la planificación de los recursos humanos.  </w:t>
            </w:r>
          </w:p>
        </w:tc>
        <w:tc>
          <w:tcPr>
            <w:tcW w:w="2440" w:type="dxa"/>
            <w:tcBorders>
              <w:top w:val="nil"/>
              <w:left w:val="nil"/>
              <w:right w:val="nil"/>
            </w:tcBorders>
            <w:shd w:val="clear" w:color="000000" w:fill="FFFFFF"/>
            <w:hideMark/>
          </w:tcPr>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Por determinar.</w:t>
            </w:r>
          </w:p>
        </w:tc>
        <w:tc>
          <w:tcPr>
            <w:tcW w:w="2145" w:type="dxa"/>
            <w:tcBorders>
              <w:top w:val="nil"/>
              <w:left w:val="nil"/>
              <w:right w:val="single" w:sz="4" w:space="0" w:color="auto"/>
            </w:tcBorders>
            <w:shd w:val="clear" w:color="000000" w:fill="FFFFFF"/>
            <w:hideMark/>
          </w:tcPr>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Por determinar.</w:t>
            </w:r>
          </w:p>
        </w:tc>
      </w:tr>
      <w:tr w:rsidR="00236E18" w:rsidRPr="00B46E56" w:rsidTr="00294272">
        <w:trPr>
          <w:trHeight w:val="1170"/>
        </w:trPr>
        <w:tc>
          <w:tcPr>
            <w:tcW w:w="2440" w:type="dxa"/>
            <w:tcBorders>
              <w:top w:val="nil"/>
              <w:left w:val="single" w:sz="4" w:space="0" w:color="auto"/>
              <w:bottom w:val="single" w:sz="4" w:space="0" w:color="auto"/>
              <w:right w:val="nil"/>
            </w:tcBorders>
            <w:shd w:val="clear" w:color="000000" w:fill="FFFFFF"/>
            <w:hideMark/>
          </w:tcPr>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w:t>
            </w:r>
          </w:p>
        </w:tc>
        <w:tc>
          <w:tcPr>
            <w:tcW w:w="2440" w:type="dxa"/>
            <w:tcBorders>
              <w:top w:val="nil"/>
              <w:left w:val="nil"/>
              <w:bottom w:val="single" w:sz="4" w:space="0" w:color="auto"/>
              <w:right w:val="nil"/>
            </w:tcBorders>
            <w:shd w:val="clear" w:color="000000" w:fill="FFFFFF"/>
            <w:hideMark/>
          </w:tcPr>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Porcentaje de necesidades de formación satisfechas, de las cuales</w:t>
            </w:r>
            <w:proofErr w:type="gramStart"/>
            <w:r w:rsidRPr="00B46E56">
              <w:rPr>
                <w:rFonts w:eastAsia="Times New Roman"/>
                <w:sz w:val="16"/>
                <w:szCs w:val="16"/>
                <w:lang w:val="es-ES_tradnl"/>
              </w:rPr>
              <w:t>:  i</w:t>
            </w:r>
            <w:proofErr w:type="gramEnd"/>
            <w:r w:rsidRPr="00B46E56">
              <w:rPr>
                <w:rFonts w:eastAsia="Times New Roman"/>
                <w:sz w:val="16"/>
                <w:szCs w:val="16"/>
                <w:lang w:val="es-ES_tradnl"/>
              </w:rPr>
              <w:t>) necesidades esenciales de formación colectiva y  ii) necesidades de formación individuales.</w:t>
            </w:r>
          </w:p>
        </w:tc>
        <w:tc>
          <w:tcPr>
            <w:tcW w:w="2440" w:type="dxa"/>
            <w:tcBorders>
              <w:top w:val="nil"/>
              <w:left w:val="nil"/>
              <w:bottom w:val="single" w:sz="4" w:space="0" w:color="auto"/>
              <w:right w:val="nil"/>
            </w:tcBorders>
            <w:shd w:val="clear" w:color="000000" w:fill="FFFFFF"/>
            <w:hideMark/>
          </w:tcPr>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A determinar a fines de 2015.</w:t>
            </w:r>
          </w:p>
        </w:tc>
        <w:tc>
          <w:tcPr>
            <w:tcW w:w="2145" w:type="dxa"/>
            <w:tcBorders>
              <w:top w:val="nil"/>
              <w:left w:val="nil"/>
              <w:bottom w:val="single" w:sz="4" w:space="0" w:color="auto"/>
              <w:right w:val="single" w:sz="4" w:space="0" w:color="auto"/>
            </w:tcBorders>
            <w:shd w:val="clear" w:color="000000" w:fill="FFFFFF"/>
            <w:hideMark/>
          </w:tcPr>
          <w:p w:rsidR="00236E18" w:rsidRPr="00B46E56" w:rsidRDefault="00236E18" w:rsidP="00294272">
            <w:pPr>
              <w:rPr>
                <w:rFonts w:eastAsia="Times New Roman"/>
                <w:sz w:val="16"/>
                <w:szCs w:val="16"/>
                <w:lang w:val="es-ES_tradnl"/>
              </w:rPr>
            </w:pPr>
          </w:p>
          <w:p w:rsidR="00236E18" w:rsidRPr="00B46E56" w:rsidRDefault="00236E18" w:rsidP="00294272">
            <w:pPr>
              <w:rPr>
                <w:rFonts w:eastAsia="Times New Roman"/>
                <w:sz w:val="16"/>
                <w:szCs w:val="16"/>
                <w:lang w:val="es-ES_tradnl"/>
              </w:rPr>
            </w:pPr>
            <w:r w:rsidRPr="00B46E56">
              <w:rPr>
                <w:rFonts w:eastAsia="Times New Roman"/>
                <w:sz w:val="16"/>
                <w:szCs w:val="16"/>
                <w:lang w:val="es-ES_tradnl"/>
              </w:rPr>
              <w:t xml:space="preserve">i) 60% de las necesidades se satisfacen mediante un programa de formación ii) 55% de necesidades de formación individuales satisfechas. </w:t>
            </w:r>
            <w:r>
              <w:rPr>
                <w:rFonts w:eastAsia="Times New Roman"/>
                <w:sz w:val="16"/>
                <w:szCs w:val="16"/>
                <w:lang w:val="es-ES_tradnl"/>
              </w:rPr>
              <w:br/>
            </w:r>
          </w:p>
        </w:tc>
      </w:tr>
    </w:tbl>
    <w:p w:rsidR="00236E18" w:rsidRPr="00B46E56" w:rsidRDefault="00236E18" w:rsidP="00236E18">
      <w:pPr>
        <w:rPr>
          <w:rFonts w:eastAsia="Times New Roman"/>
          <w:sz w:val="20"/>
          <w:lang w:val="es-ES_tradnl"/>
        </w:rPr>
      </w:pPr>
    </w:p>
    <w:p w:rsidR="00236E18" w:rsidRPr="00B46E56" w:rsidRDefault="00236E18" w:rsidP="00236E18">
      <w:pPr>
        <w:rPr>
          <w:rFonts w:eastAsia="Times New Roman"/>
          <w:sz w:val="20"/>
          <w:lang w:val="es-ES_tradnl"/>
        </w:rPr>
      </w:pPr>
    </w:p>
    <w:p w:rsidR="00236E18" w:rsidRPr="00B46E56" w:rsidRDefault="00236E18" w:rsidP="00236E18">
      <w:pPr>
        <w:rPr>
          <w:rFonts w:eastAsia="Times New Roman"/>
          <w:lang w:val="es-ES_tradnl"/>
        </w:rPr>
      </w:pPr>
      <w:r w:rsidRPr="00B46E56">
        <w:rPr>
          <w:rFonts w:eastAsia="Times New Roman"/>
          <w:lang w:val="es-ES_tradnl"/>
        </w:rPr>
        <w:t>RECURSOS PARA EL PROGRAMA 23</w:t>
      </w:r>
    </w:p>
    <w:p w:rsidR="00236E18" w:rsidRPr="00B46E56" w:rsidRDefault="00236E18" w:rsidP="00236E18">
      <w:pPr>
        <w:rPr>
          <w:rFonts w:eastAsia="Times New Roman"/>
          <w:sz w:val="20"/>
          <w:lang w:val="es-ES_tradnl"/>
        </w:rPr>
      </w:pPr>
    </w:p>
    <w:p w:rsidR="00236E18" w:rsidRPr="00B46E56" w:rsidRDefault="00236E18" w:rsidP="00236E18">
      <w:pPr>
        <w:pStyle w:val="ListParagraph"/>
        <w:numPr>
          <w:ilvl w:val="0"/>
          <w:numId w:val="39"/>
        </w:numPr>
        <w:tabs>
          <w:tab w:val="left" w:pos="851"/>
        </w:tabs>
        <w:ind w:left="0" w:firstLine="0"/>
        <w:jc w:val="both"/>
        <w:rPr>
          <w:rFonts w:ascii="Arial" w:hAnsi="Arial" w:cs="Arial"/>
          <w:sz w:val="20"/>
          <w:szCs w:val="20"/>
          <w:lang w:val="es-ES_tradnl"/>
        </w:rPr>
      </w:pPr>
      <w:r w:rsidRPr="00B46E56">
        <w:rPr>
          <w:rFonts w:ascii="Arial" w:hAnsi="Arial" w:cs="Arial"/>
          <w:sz w:val="20"/>
          <w:szCs w:val="20"/>
          <w:lang w:val="es-ES_tradnl"/>
        </w:rPr>
        <w:t>L</w:t>
      </w:r>
      <w:r>
        <w:rPr>
          <w:rFonts w:ascii="Arial" w:hAnsi="Arial" w:cs="Arial"/>
          <w:sz w:val="20"/>
          <w:szCs w:val="20"/>
          <w:lang w:val="es-ES_tradnl"/>
        </w:rPr>
        <w:t xml:space="preserve">a dotación global de </w:t>
      </w:r>
      <w:r w:rsidRPr="00B46E56">
        <w:rPr>
          <w:rFonts w:ascii="Arial" w:hAnsi="Arial" w:cs="Arial"/>
          <w:sz w:val="20"/>
          <w:szCs w:val="20"/>
          <w:lang w:val="es-ES_tradnl"/>
        </w:rPr>
        <w:t>recursos para el pro</w:t>
      </w:r>
      <w:r>
        <w:rPr>
          <w:rFonts w:ascii="Arial" w:hAnsi="Arial" w:cs="Arial"/>
          <w:sz w:val="20"/>
          <w:szCs w:val="20"/>
          <w:lang w:val="es-ES_tradnl"/>
        </w:rPr>
        <w:t>grama 23 en 2016/17 permanecerá</w:t>
      </w:r>
      <w:r w:rsidRPr="00B46E56">
        <w:rPr>
          <w:rFonts w:ascii="Arial" w:hAnsi="Arial" w:cs="Arial"/>
          <w:sz w:val="20"/>
          <w:szCs w:val="20"/>
          <w:lang w:val="es-ES_tradnl"/>
        </w:rPr>
        <w:t xml:space="preserve"> estable en comparación con el presupuesto de 2014/</w:t>
      </w:r>
      <w:r>
        <w:rPr>
          <w:rFonts w:ascii="Arial" w:hAnsi="Arial" w:cs="Arial"/>
          <w:sz w:val="20"/>
          <w:szCs w:val="20"/>
          <w:lang w:val="es-ES_tradnl"/>
        </w:rPr>
        <w:t>15 tras las</w:t>
      </w:r>
      <w:r w:rsidRPr="00B46E56">
        <w:rPr>
          <w:rFonts w:ascii="Arial" w:hAnsi="Arial" w:cs="Arial"/>
          <w:sz w:val="20"/>
          <w:szCs w:val="20"/>
          <w:lang w:val="es-ES_tradnl"/>
        </w:rPr>
        <w:t xml:space="preserve"> transferencias.  La disminución de pasantías, que ahora se incluyen directamente en el presupuesto del programa, se debe a que se prevén recursos adicionales para a) actividades relacionadas con diversidad geográfica y equilibrio de género, b) el programa de recompensa y reconocimiento de la OMPI y c) contribuciones a los costos comunes a todo el sistema de las Naciones Unidas.</w:t>
      </w:r>
    </w:p>
    <w:p w:rsidR="00236E18" w:rsidRPr="00B46E56" w:rsidRDefault="00236E18" w:rsidP="00236E18">
      <w:pPr>
        <w:pStyle w:val="ListParagraph"/>
        <w:ind w:left="0"/>
        <w:jc w:val="both"/>
        <w:rPr>
          <w:rFonts w:ascii="Arial" w:hAnsi="Arial" w:cs="Arial"/>
          <w:sz w:val="20"/>
          <w:szCs w:val="20"/>
          <w:lang w:val="es-ES_tradnl"/>
        </w:rPr>
      </w:pPr>
    </w:p>
    <w:p w:rsidR="00236E18" w:rsidRPr="00B46E56" w:rsidRDefault="00236E18" w:rsidP="00236E18">
      <w:pPr>
        <w:pStyle w:val="ListParagraph"/>
        <w:numPr>
          <w:ilvl w:val="0"/>
          <w:numId w:val="39"/>
        </w:numPr>
        <w:tabs>
          <w:tab w:val="left" w:pos="851"/>
        </w:tabs>
        <w:ind w:left="0" w:firstLine="0"/>
        <w:jc w:val="both"/>
        <w:rPr>
          <w:rFonts w:ascii="Arial" w:hAnsi="Arial" w:cs="Arial"/>
          <w:sz w:val="20"/>
          <w:szCs w:val="20"/>
          <w:lang w:val="es-ES_tradnl"/>
        </w:rPr>
      </w:pPr>
      <w:r w:rsidRPr="00B46E56">
        <w:rPr>
          <w:rFonts w:ascii="Arial" w:hAnsi="Arial" w:cs="Arial"/>
          <w:sz w:val="20"/>
          <w:szCs w:val="20"/>
          <w:lang w:val="es-ES_tradnl"/>
        </w:rPr>
        <w:t xml:space="preserve">El aumento observado en el número total de puestos entre el presupuesto propuesto para 2016/17 y el propuesto aprobado de 2014/15 refleja la regularización de </w:t>
      </w:r>
      <w:r>
        <w:rPr>
          <w:rFonts w:ascii="Arial" w:hAnsi="Arial" w:cs="Arial"/>
          <w:sz w:val="20"/>
          <w:szCs w:val="20"/>
          <w:lang w:val="es-ES_tradnl"/>
        </w:rPr>
        <w:t>cargos</w:t>
      </w:r>
      <w:r w:rsidRPr="00B46E56">
        <w:rPr>
          <w:rFonts w:ascii="Arial" w:hAnsi="Arial" w:cs="Arial"/>
          <w:sz w:val="20"/>
          <w:szCs w:val="20"/>
          <w:lang w:val="es-ES_tradnl"/>
        </w:rPr>
        <w:t xml:space="preserve"> temporales en el bienio.</w:t>
      </w:r>
    </w:p>
    <w:p w:rsidR="00236E18" w:rsidRPr="00B46E56" w:rsidRDefault="00236E18" w:rsidP="00236E18">
      <w:pPr>
        <w:tabs>
          <w:tab w:val="left" w:pos="1427"/>
        </w:tabs>
        <w:jc w:val="center"/>
        <w:rPr>
          <w:rFonts w:eastAsiaTheme="minorEastAsia"/>
          <w:b/>
          <w:sz w:val="20"/>
          <w:lang w:val="es-ES_tradnl" w:eastAsia="ja-JP"/>
        </w:rPr>
      </w:pPr>
    </w:p>
    <w:p w:rsidR="00236E18" w:rsidRPr="00B46E56" w:rsidRDefault="00236E18" w:rsidP="00236E18">
      <w:pPr>
        <w:tabs>
          <w:tab w:val="left" w:pos="1427"/>
        </w:tabs>
        <w:jc w:val="center"/>
        <w:rPr>
          <w:rFonts w:eastAsiaTheme="minorEastAsia"/>
          <w:b/>
          <w:sz w:val="20"/>
          <w:lang w:val="es-ES_tradnl" w:eastAsia="ja-JP"/>
        </w:rPr>
      </w:pPr>
    </w:p>
    <w:p w:rsidR="00236E18" w:rsidRPr="00071638" w:rsidRDefault="00236E18" w:rsidP="00236E18">
      <w:pPr>
        <w:keepNext/>
        <w:keepLines/>
        <w:tabs>
          <w:tab w:val="left" w:pos="1427"/>
        </w:tabs>
        <w:jc w:val="center"/>
        <w:rPr>
          <w:rFonts w:eastAsiaTheme="minorEastAsia"/>
          <w:color w:val="244061" w:themeColor="accent1" w:themeShade="80"/>
          <w:sz w:val="20"/>
          <w:lang w:val="es-ES_tradnl"/>
        </w:rPr>
      </w:pPr>
      <w:r w:rsidRPr="00071638">
        <w:rPr>
          <w:rFonts w:eastAsiaTheme="minorEastAsia"/>
          <w:b/>
          <w:color w:val="244061" w:themeColor="accent1" w:themeShade="80"/>
          <w:sz w:val="20"/>
          <w:lang w:val="es-ES_tradnl"/>
        </w:rPr>
        <w:lastRenderedPageBreak/>
        <w:t>Programa</w:t>
      </w:r>
      <w:r>
        <w:rPr>
          <w:rFonts w:eastAsiaTheme="minorEastAsia"/>
          <w:b/>
          <w:color w:val="244061" w:themeColor="accent1" w:themeShade="80"/>
          <w:sz w:val="20"/>
          <w:lang w:val="es-ES_tradnl"/>
        </w:rPr>
        <w:t xml:space="preserve"> </w:t>
      </w:r>
      <w:r w:rsidRPr="00071638">
        <w:rPr>
          <w:rFonts w:eastAsiaTheme="minorEastAsia"/>
          <w:b/>
          <w:color w:val="244061" w:themeColor="accent1" w:themeShade="80"/>
          <w:sz w:val="20"/>
          <w:lang w:val="es-ES_tradnl"/>
        </w:rPr>
        <w:t>23</w:t>
      </w:r>
      <w:proofErr w:type="gramStart"/>
      <w:r w:rsidRPr="00071638">
        <w:rPr>
          <w:rFonts w:eastAsiaTheme="minorEastAsia"/>
          <w:b/>
          <w:color w:val="244061" w:themeColor="accent1" w:themeShade="80"/>
          <w:sz w:val="20"/>
          <w:lang w:val="es-ES_tradnl"/>
        </w:rPr>
        <w:t>:  Recursos</w:t>
      </w:r>
      <w:proofErr w:type="gramEnd"/>
      <w:r w:rsidRPr="00071638">
        <w:rPr>
          <w:rFonts w:eastAsiaTheme="minorEastAsia"/>
          <w:b/>
          <w:color w:val="244061" w:themeColor="accent1" w:themeShade="80"/>
          <w:sz w:val="20"/>
          <w:lang w:val="es-ES_tradnl"/>
        </w:rPr>
        <w:t xml:space="preserve"> por resultado</w:t>
      </w:r>
    </w:p>
    <w:p w:rsidR="00236E18" w:rsidRPr="00071638" w:rsidRDefault="00236E18" w:rsidP="00236E18">
      <w:pPr>
        <w:keepNext/>
        <w:keepLines/>
        <w:tabs>
          <w:tab w:val="left" w:pos="1427"/>
        </w:tabs>
        <w:jc w:val="center"/>
        <w:rPr>
          <w:rFonts w:eastAsiaTheme="minorEastAsia"/>
          <w:i/>
          <w:color w:val="244061" w:themeColor="accent1" w:themeShade="80"/>
          <w:sz w:val="20"/>
          <w:lang w:val="es-ES_tradnl" w:eastAsia="ja-JP"/>
        </w:rPr>
      </w:pPr>
      <w:r w:rsidRPr="00071638">
        <w:rPr>
          <w:rFonts w:eastAsiaTheme="minorEastAsia"/>
          <w:i/>
          <w:color w:val="244061" w:themeColor="accent1" w:themeShade="80"/>
          <w:sz w:val="20"/>
          <w:lang w:val="es-ES_tradnl" w:eastAsia="ja-JP"/>
        </w:rPr>
        <w:t>(</w:t>
      </w:r>
      <w:proofErr w:type="gramStart"/>
      <w:r w:rsidRPr="00071638">
        <w:rPr>
          <w:rFonts w:eastAsiaTheme="minorEastAsia"/>
          <w:i/>
          <w:color w:val="244061" w:themeColor="accent1" w:themeShade="80"/>
          <w:sz w:val="20"/>
          <w:lang w:val="es-ES_tradnl" w:eastAsia="ja-JP"/>
        </w:rPr>
        <w:t>en</w:t>
      </w:r>
      <w:proofErr w:type="gramEnd"/>
      <w:r w:rsidRPr="00071638">
        <w:rPr>
          <w:rFonts w:eastAsiaTheme="minorEastAsia"/>
          <w:i/>
          <w:color w:val="244061" w:themeColor="accent1" w:themeShade="80"/>
          <w:sz w:val="20"/>
          <w:lang w:val="es-ES_tradnl" w:eastAsia="ja-JP"/>
        </w:rPr>
        <w:t xml:space="preserve"> miles de francos suizos)</w:t>
      </w:r>
    </w:p>
    <w:p w:rsidR="00236E18" w:rsidRPr="00071638" w:rsidRDefault="00236E18" w:rsidP="00236E18">
      <w:pPr>
        <w:keepNext/>
        <w:keepLines/>
        <w:tabs>
          <w:tab w:val="left" w:pos="1427"/>
        </w:tabs>
        <w:jc w:val="center"/>
        <w:rPr>
          <w:rFonts w:eastAsiaTheme="minorEastAsia"/>
          <w:i/>
          <w:color w:val="244061" w:themeColor="accent1" w:themeShade="80"/>
          <w:sz w:val="20"/>
          <w:lang w:val="es-ES_tradnl" w:eastAsia="ja-JP"/>
        </w:rPr>
      </w:pPr>
    </w:p>
    <w:p w:rsidR="00236E18" w:rsidRPr="00B46E56" w:rsidRDefault="00236E18" w:rsidP="00236E18">
      <w:pPr>
        <w:keepNext/>
        <w:keepLines/>
        <w:tabs>
          <w:tab w:val="left" w:pos="1427"/>
        </w:tabs>
        <w:jc w:val="center"/>
        <w:rPr>
          <w:rFonts w:eastAsiaTheme="minorEastAsia"/>
          <w:i/>
          <w:sz w:val="20"/>
          <w:lang w:val="es-ES_tradnl" w:eastAsia="ja-JP"/>
        </w:rPr>
      </w:pPr>
      <w:r w:rsidRPr="00D323ED">
        <w:rPr>
          <w:noProof/>
          <w:lang w:val="en-US" w:eastAsia="en-US"/>
        </w:rPr>
        <w:drawing>
          <wp:inline distT="0" distB="0" distL="0" distR="0" wp14:anchorId="3E4A3403" wp14:editId="3FBA1AE6">
            <wp:extent cx="5677535" cy="1964055"/>
            <wp:effectExtent l="0" t="0" r="0" b="0"/>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677535" cy="1964055"/>
                    </a:xfrm>
                    <a:prstGeom prst="rect">
                      <a:avLst/>
                    </a:prstGeom>
                    <a:noFill/>
                    <a:ln>
                      <a:noFill/>
                    </a:ln>
                  </pic:spPr>
                </pic:pic>
              </a:graphicData>
            </a:graphic>
          </wp:inline>
        </w:drawing>
      </w:r>
    </w:p>
    <w:p w:rsidR="00236E18" w:rsidRDefault="00236E18" w:rsidP="00236E18">
      <w:pPr>
        <w:keepNext/>
        <w:keepLines/>
        <w:tabs>
          <w:tab w:val="left" w:pos="1427"/>
        </w:tabs>
        <w:jc w:val="center"/>
        <w:rPr>
          <w:rFonts w:eastAsiaTheme="minorEastAsia"/>
          <w:i/>
          <w:sz w:val="20"/>
          <w:lang w:val="es-ES_tradnl" w:eastAsia="ja-JP"/>
        </w:rPr>
      </w:pPr>
    </w:p>
    <w:p w:rsidR="00236E18" w:rsidRPr="00B46E56" w:rsidRDefault="00236E18" w:rsidP="00236E18">
      <w:pPr>
        <w:keepNext/>
        <w:keepLines/>
        <w:tabs>
          <w:tab w:val="left" w:pos="1427"/>
        </w:tabs>
        <w:jc w:val="center"/>
        <w:rPr>
          <w:rFonts w:eastAsiaTheme="minorEastAsia"/>
          <w:i/>
          <w:sz w:val="20"/>
          <w:lang w:val="es-ES_tradnl" w:eastAsia="ja-JP"/>
        </w:rPr>
      </w:pPr>
    </w:p>
    <w:p w:rsidR="00236E18" w:rsidRPr="005012AC" w:rsidRDefault="00236E18" w:rsidP="00236E18">
      <w:pPr>
        <w:keepNext/>
        <w:keepLines/>
        <w:tabs>
          <w:tab w:val="left" w:pos="1427"/>
        </w:tabs>
        <w:jc w:val="center"/>
        <w:rPr>
          <w:rFonts w:eastAsiaTheme="minorEastAsia"/>
          <w:sz w:val="20"/>
          <w:lang w:val="es-ES_tradnl"/>
        </w:rPr>
      </w:pPr>
      <w:r w:rsidRPr="005012AC">
        <w:rPr>
          <w:rFonts w:eastAsiaTheme="minorEastAsia"/>
          <w:b/>
          <w:sz w:val="20"/>
          <w:lang w:val="es-ES_tradnl"/>
        </w:rPr>
        <w:t>Programa 23</w:t>
      </w:r>
      <w:proofErr w:type="gramStart"/>
      <w:r w:rsidRPr="005012AC">
        <w:rPr>
          <w:rFonts w:eastAsiaTheme="minorEastAsia"/>
          <w:b/>
          <w:sz w:val="20"/>
          <w:lang w:val="es-ES_tradnl"/>
        </w:rPr>
        <w:t>:  Recursos</w:t>
      </w:r>
      <w:proofErr w:type="gramEnd"/>
      <w:r w:rsidRPr="005012AC">
        <w:rPr>
          <w:rFonts w:eastAsiaTheme="minorEastAsia"/>
          <w:b/>
          <w:sz w:val="20"/>
          <w:lang w:val="es-ES_tradnl"/>
        </w:rPr>
        <w:t xml:space="preserve"> por objeto de gasto</w:t>
      </w:r>
    </w:p>
    <w:p w:rsidR="00236E18" w:rsidRPr="005012AC" w:rsidRDefault="00236E18" w:rsidP="00236E18">
      <w:pPr>
        <w:keepNext/>
        <w:keepLines/>
        <w:tabs>
          <w:tab w:val="left" w:pos="1427"/>
        </w:tabs>
        <w:jc w:val="center"/>
        <w:rPr>
          <w:rFonts w:eastAsiaTheme="minorEastAsia"/>
          <w:sz w:val="20"/>
          <w:lang w:val="es-ES_tradnl"/>
        </w:rPr>
      </w:pPr>
      <w:r w:rsidRPr="005012AC">
        <w:rPr>
          <w:rFonts w:eastAsiaTheme="minorEastAsia"/>
          <w:i/>
          <w:sz w:val="20"/>
          <w:lang w:val="es-ES_tradnl"/>
        </w:rPr>
        <w:t>(</w:t>
      </w:r>
      <w:proofErr w:type="gramStart"/>
      <w:r w:rsidRPr="005012AC">
        <w:rPr>
          <w:rFonts w:eastAsiaTheme="minorEastAsia"/>
          <w:i/>
          <w:sz w:val="20"/>
          <w:lang w:val="es-ES_tradnl"/>
        </w:rPr>
        <w:t>en</w:t>
      </w:r>
      <w:proofErr w:type="gramEnd"/>
      <w:r w:rsidRPr="005012AC">
        <w:rPr>
          <w:rFonts w:eastAsiaTheme="minorEastAsia"/>
          <w:i/>
          <w:sz w:val="20"/>
          <w:lang w:val="es-ES_tradnl"/>
        </w:rPr>
        <w:t xml:space="preserve"> miles de francos suizos)</w:t>
      </w:r>
    </w:p>
    <w:p w:rsidR="00236E18" w:rsidRPr="005012AC" w:rsidRDefault="00236E18" w:rsidP="00236E18">
      <w:pPr>
        <w:keepNext/>
        <w:keepLines/>
        <w:tabs>
          <w:tab w:val="left" w:pos="1427"/>
        </w:tabs>
        <w:jc w:val="center"/>
        <w:rPr>
          <w:rFonts w:eastAsiaTheme="minorEastAsia"/>
          <w:i/>
          <w:sz w:val="20"/>
          <w:lang w:val="es-ES_tradnl" w:eastAsia="ja-JP"/>
        </w:rPr>
      </w:pPr>
    </w:p>
    <w:p w:rsidR="00236E18" w:rsidRDefault="00236E18" w:rsidP="00236E18">
      <w:pPr>
        <w:keepNext/>
        <w:keepLines/>
        <w:tabs>
          <w:tab w:val="left" w:pos="1427"/>
        </w:tabs>
        <w:jc w:val="center"/>
        <w:rPr>
          <w:szCs w:val="22"/>
        </w:rPr>
      </w:pPr>
      <w:r>
        <w:rPr>
          <w:noProof/>
          <w:lang w:val="en-US" w:eastAsia="en-US"/>
        </w:rPr>
        <w:drawing>
          <wp:inline distT="0" distB="0" distL="0" distR="0" wp14:anchorId="757A718A" wp14:editId="7562B51D">
            <wp:extent cx="5813590" cy="5968868"/>
            <wp:effectExtent l="0" t="0" r="0" b="0"/>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816537" cy="5971894"/>
                    </a:xfrm>
                    <a:prstGeom prst="rect">
                      <a:avLst/>
                    </a:prstGeom>
                    <a:noFill/>
                    <a:ln>
                      <a:noFill/>
                    </a:ln>
                  </pic:spPr>
                </pic:pic>
              </a:graphicData>
            </a:graphic>
          </wp:inline>
        </w:drawing>
      </w:r>
      <w:r>
        <w:rPr>
          <w:szCs w:val="22"/>
        </w:rPr>
        <w:br w:type="page"/>
      </w:r>
    </w:p>
    <w:p w:rsidR="00236E18" w:rsidRPr="00F4741E" w:rsidRDefault="00236E18" w:rsidP="00236E18">
      <w:pPr>
        <w:pStyle w:val="StyleStyleHeading3ComplexItalicLatin12pt"/>
        <w:rPr>
          <w:lang w:val="es-ES"/>
        </w:rPr>
      </w:pPr>
      <w:bookmarkStart w:id="121" w:name="_Toc431573573"/>
      <w:bookmarkStart w:id="122" w:name="_Toc431573974"/>
      <w:r w:rsidRPr="00F4741E">
        <w:rPr>
          <w:lang w:val="es-ES"/>
        </w:rPr>
        <w:lastRenderedPageBreak/>
        <w:t>PROGRAMA 24</w:t>
      </w:r>
      <w:r w:rsidRPr="00F4741E">
        <w:rPr>
          <w:lang w:val="es-ES"/>
        </w:rPr>
        <w:tab/>
        <w:t xml:space="preserve">SERVICIOS </w:t>
      </w:r>
      <w:r>
        <w:rPr>
          <w:lang w:val="es-ES"/>
        </w:rPr>
        <w:t xml:space="preserve">GENERALES </w:t>
      </w:r>
      <w:r w:rsidRPr="00F4741E">
        <w:rPr>
          <w:lang w:val="es-ES"/>
        </w:rPr>
        <w:t>DE APOYO</w:t>
      </w:r>
      <w:bookmarkEnd w:id="121"/>
      <w:bookmarkEnd w:id="122"/>
    </w:p>
    <w:p w:rsidR="00236E18" w:rsidRPr="00073668" w:rsidRDefault="00236E18" w:rsidP="00236E18">
      <w:pPr>
        <w:jc w:val="both"/>
      </w:pPr>
    </w:p>
    <w:p w:rsidR="00236E18" w:rsidRPr="00073668" w:rsidRDefault="00236E18" w:rsidP="00236E18">
      <w:pPr>
        <w:jc w:val="both"/>
      </w:pPr>
    </w:p>
    <w:p w:rsidR="00236E18" w:rsidRPr="00073668" w:rsidRDefault="00236E18" w:rsidP="00236E18">
      <w:pPr>
        <w:jc w:val="both"/>
      </w:pPr>
      <w:r w:rsidRPr="00073668">
        <w:t>CONTEXTO DE PLANIFICACIÓN</w:t>
      </w:r>
    </w:p>
    <w:p w:rsidR="00236E18" w:rsidRPr="00073668" w:rsidRDefault="00236E18" w:rsidP="00236E18">
      <w:pPr>
        <w:jc w:val="both"/>
        <w:rPr>
          <w:sz w:val="20"/>
        </w:rPr>
      </w:pPr>
    </w:p>
    <w:p w:rsidR="00236E18" w:rsidRPr="00D323ED" w:rsidRDefault="00236E18" w:rsidP="00236E18">
      <w:pPr>
        <w:pStyle w:val="ListParagraph"/>
        <w:numPr>
          <w:ilvl w:val="0"/>
          <w:numId w:val="40"/>
        </w:numPr>
        <w:tabs>
          <w:tab w:val="left" w:pos="709"/>
        </w:tabs>
        <w:ind w:left="0" w:firstLine="0"/>
        <w:contextualSpacing w:val="0"/>
        <w:jc w:val="both"/>
        <w:rPr>
          <w:rFonts w:ascii="Arial" w:hAnsi="Arial" w:cs="Arial"/>
          <w:sz w:val="20"/>
          <w:lang w:val="es-ES"/>
        </w:rPr>
      </w:pPr>
      <w:r w:rsidRPr="00D323ED">
        <w:rPr>
          <w:rFonts w:ascii="Arial" w:hAnsi="Arial" w:cs="Arial"/>
          <w:sz w:val="20"/>
          <w:lang w:val="es-ES"/>
        </w:rPr>
        <w:t xml:space="preserve">La adquisición de productos y servicios, así como los viajes, sigue siendo uno de los gastos más importantes de la Organización que no son relativos al personal, y, por tanto, una esfera en la que es posible aumentar de forma considerable la eficiencia y reducir los costos en toda la Organización.  En el bienio actual y anterior se han introducido múltiples medidas para obtener el máximo rendimiento de los costos de adquisiciones y viajes mediante la aplicación de nuevas herramientas, </w:t>
      </w:r>
      <w:r>
        <w:rPr>
          <w:rFonts w:ascii="Arial" w:hAnsi="Arial" w:cs="Arial"/>
          <w:sz w:val="20"/>
          <w:lang w:val="es-ES"/>
        </w:rPr>
        <w:t xml:space="preserve">la revisión de las normas de procedimiento, </w:t>
      </w:r>
      <w:r w:rsidRPr="00D323ED">
        <w:rPr>
          <w:rFonts w:ascii="Arial" w:hAnsi="Arial" w:cs="Arial"/>
          <w:sz w:val="20"/>
          <w:lang w:val="es-ES"/>
        </w:rPr>
        <w:t>la negociación de contratos y billetes de avión y la mejora de la eficiencia de los procesos, garantizando al mismo tiempo a los usuarios de toda la Organización un apoyo de alta calidad y orientado al cliente.  En el bienio 2014/15, las responsabilidades del programa se ampliaron a fin de gestionar también la contratación de servicios de profesionales independientes, además de los proveedores de servicios comerciales.</w:t>
      </w:r>
    </w:p>
    <w:p w:rsidR="00236E18" w:rsidRPr="00073668" w:rsidRDefault="00236E18" w:rsidP="00236E18">
      <w:pPr>
        <w:ind w:left="6"/>
        <w:jc w:val="both"/>
        <w:rPr>
          <w:sz w:val="20"/>
        </w:rPr>
      </w:pPr>
    </w:p>
    <w:p w:rsidR="00236E18" w:rsidRPr="00073668" w:rsidRDefault="00236E18" w:rsidP="00236E18">
      <w:pPr>
        <w:pStyle w:val="ListParagraph"/>
        <w:numPr>
          <w:ilvl w:val="0"/>
          <w:numId w:val="40"/>
        </w:numPr>
        <w:tabs>
          <w:tab w:val="left" w:pos="709"/>
        </w:tabs>
        <w:ind w:left="0" w:firstLine="0"/>
        <w:contextualSpacing w:val="0"/>
        <w:jc w:val="both"/>
        <w:rPr>
          <w:rFonts w:ascii="Arial" w:hAnsi="Arial" w:cs="Arial"/>
          <w:sz w:val="20"/>
          <w:lang w:val="es-ES"/>
        </w:rPr>
      </w:pPr>
      <w:r w:rsidRPr="00073668">
        <w:rPr>
          <w:rFonts w:ascii="Arial" w:hAnsi="Arial" w:cs="Arial"/>
          <w:sz w:val="20"/>
          <w:lang w:val="es-ES"/>
        </w:rPr>
        <w:t>Una vez completado el recinto de la OMPI, con la reciente adición de la nueva sala de conferencias y las instalaciones renovadas en el edificio AB, en el bienio 2016/17 se prestará especial atención a asegurar que todas las instalaciones técnicas guarden conformidad con las normas aplicables y a que funcionen de manera óptima para que el programa pueda aplicarse en toda la Organización.  Muchos de los edificios pertenecientes a la OMPI necesitan importantes renovaciones, transformaciones o modernizaciones.  Se trata de obras de gran envergadura, de las cuales las más significativas aportarán también una disminución del consumo de energía, mientras que otras aportarán, como beneficio adicional, la mejora del acceso físico a los locales (lo que constituye un elemento de responsabilidad social).</w:t>
      </w:r>
    </w:p>
    <w:p w:rsidR="00236E18" w:rsidRPr="00073668" w:rsidRDefault="00236E18" w:rsidP="00236E18">
      <w:pPr>
        <w:pStyle w:val="ListParagraph"/>
        <w:ind w:left="0"/>
        <w:rPr>
          <w:rFonts w:ascii="Arial" w:eastAsiaTheme="minorHAnsi" w:hAnsi="Arial" w:cs="Arial"/>
          <w:sz w:val="20"/>
          <w:lang w:val="es-ES"/>
        </w:rPr>
      </w:pPr>
    </w:p>
    <w:p w:rsidR="00236E18" w:rsidRPr="00073668" w:rsidRDefault="00236E18" w:rsidP="00236E18">
      <w:pPr>
        <w:pStyle w:val="ListParagraph"/>
        <w:numPr>
          <w:ilvl w:val="0"/>
          <w:numId w:val="40"/>
        </w:numPr>
        <w:tabs>
          <w:tab w:val="left" w:pos="709"/>
        </w:tabs>
        <w:ind w:left="0" w:firstLine="0"/>
        <w:contextualSpacing w:val="0"/>
        <w:jc w:val="both"/>
        <w:rPr>
          <w:rFonts w:ascii="Arial" w:hAnsi="Arial" w:cs="Arial"/>
          <w:sz w:val="20"/>
          <w:lang w:val="es-ES"/>
        </w:rPr>
      </w:pPr>
      <w:r w:rsidRPr="00073668">
        <w:rPr>
          <w:rFonts w:ascii="Arial" w:hAnsi="Arial" w:cs="Arial"/>
          <w:sz w:val="20"/>
          <w:lang w:val="es-ES"/>
        </w:rPr>
        <w:t>La responsabilidad ambiental seguirá siendo una de las prioridades centrales de la Organización que se integrará en la ejecución del programa, en particular, en lo que respecta a la gestión de las instalaciones en el marco del objetivo general del Sistema de las Naciones Unidas de alcanzar la neutralidad climática en 2020.</w:t>
      </w:r>
    </w:p>
    <w:p w:rsidR="00236E18" w:rsidRPr="00073668" w:rsidRDefault="00236E18" w:rsidP="00236E18">
      <w:pPr>
        <w:jc w:val="both"/>
        <w:rPr>
          <w:sz w:val="20"/>
        </w:rPr>
      </w:pPr>
    </w:p>
    <w:p w:rsidR="00236E18" w:rsidRPr="00073668" w:rsidRDefault="00236E18" w:rsidP="00236E18">
      <w:pPr>
        <w:jc w:val="both"/>
        <w:rPr>
          <w:sz w:val="20"/>
        </w:rPr>
      </w:pPr>
    </w:p>
    <w:p w:rsidR="00236E18" w:rsidRPr="00073668" w:rsidRDefault="00236E18" w:rsidP="00236E18">
      <w:pPr>
        <w:jc w:val="both"/>
      </w:pPr>
      <w:r w:rsidRPr="00073668">
        <w:t>ESTRATEGIAS DE EJECUCIÓN</w:t>
      </w:r>
    </w:p>
    <w:p w:rsidR="00236E18" w:rsidRPr="00073668" w:rsidRDefault="00236E18" w:rsidP="00236E18">
      <w:pPr>
        <w:jc w:val="both"/>
        <w:rPr>
          <w:sz w:val="20"/>
        </w:rPr>
      </w:pPr>
    </w:p>
    <w:p w:rsidR="00236E18" w:rsidRPr="00073668" w:rsidRDefault="00236E18" w:rsidP="00236E18">
      <w:pPr>
        <w:pStyle w:val="ListParagraph"/>
        <w:numPr>
          <w:ilvl w:val="0"/>
          <w:numId w:val="40"/>
        </w:numPr>
        <w:tabs>
          <w:tab w:val="left" w:pos="709"/>
        </w:tabs>
        <w:ind w:left="0" w:firstLine="0"/>
        <w:contextualSpacing w:val="0"/>
        <w:jc w:val="both"/>
        <w:rPr>
          <w:rFonts w:ascii="Arial" w:hAnsi="Arial" w:cs="Arial"/>
          <w:sz w:val="20"/>
          <w:lang w:val="es-ES"/>
        </w:rPr>
      </w:pPr>
      <w:r w:rsidRPr="00073668">
        <w:rPr>
          <w:rFonts w:ascii="Arial" w:hAnsi="Arial" w:cs="Arial"/>
          <w:sz w:val="20"/>
          <w:lang w:val="es-ES"/>
        </w:rPr>
        <w:t>A partir de la labor iniciada en el bienio 2014/15 mediante la puesta en funcionamiento de una herramienta para la reserva de billetes aéreos en Internet y de una nueva herramienta para gestionar solicitudes de viaje, se estudiarán nuevas oportunidades de ahorro en billetes y tasas de servicio.  Se seguirá fomentando la eficiencia administrativa mediante</w:t>
      </w:r>
      <w:r>
        <w:rPr>
          <w:rFonts w:ascii="Arial" w:hAnsi="Arial" w:cs="Arial"/>
          <w:sz w:val="20"/>
          <w:lang w:val="es-ES"/>
        </w:rPr>
        <w:t xml:space="preserve"> la revisión del marco regulador,</w:t>
      </w:r>
      <w:r w:rsidRPr="00073668">
        <w:rPr>
          <w:rFonts w:ascii="Arial" w:hAnsi="Arial" w:cs="Arial"/>
          <w:sz w:val="20"/>
          <w:lang w:val="es-ES"/>
        </w:rPr>
        <w:t xml:space="preserve"> la simplificación de procesos gracias a las nuevas herramientas de T.I. para la gestión de solicitudes de celebración de actos oficiales y al módulo del PRI de compra al pago.  Para seguir optimizando los costos de los productos y servicios, en el bienio se prestará especial atención a mejorar el proceso de concurso para la contratación de servicios de profesionales independientes mediante una herramienta de T.I. especializada.  Paralelamente, para fomentar el uso óptimo de los recursos, se fortalecerá la gestión del desempeño de los vendedores a partir de las herramientas creadas a dicho fin en 2014/15.  Por otra parte, se seguirán invirtiendo activamente esfuerzos para aprovechar mejor las oportunidades de colaboración con otras organizaciones internacionales.</w:t>
      </w:r>
    </w:p>
    <w:p w:rsidR="00236E18" w:rsidRPr="00073668" w:rsidRDefault="00236E18" w:rsidP="00236E18">
      <w:pPr>
        <w:ind w:left="6"/>
        <w:jc w:val="both"/>
        <w:rPr>
          <w:sz w:val="20"/>
        </w:rPr>
      </w:pPr>
    </w:p>
    <w:p w:rsidR="00236E18" w:rsidRPr="00073668" w:rsidRDefault="00236E18" w:rsidP="00236E18">
      <w:pPr>
        <w:pStyle w:val="ListParagraph"/>
        <w:numPr>
          <w:ilvl w:val="0"/>
          <w:numId w:val="40"/>
        </w:numPr>
        <w:tabs>
          <w:tab w:val="left" w:pos="709"/>
        </w:tabs>
        <w:ind w:left="0" w:firstLine="0"/>
        <w:contextualSpacing w:val="0"/>
        <w:jc w:val="both"/>
        <w:rPr>
          <w:rFonts w:ascii="Arial" w:hAnsi="Arial" w:cs="Arial"/>
          <w:sz w:val="20"/>
          <w:lang w:val="es-ES"/>
        </w:rPr>
      </w:pPr>
      <w:r w:rsidRPr="00073668">
        <w:rPr>
          <w:rFonts w:ascii="Arial" w:hAnsi="Arial" w:cs="Arial"/>
          <w:sz w:val="20"/>
          <w:lang w:val="es-ES"/>
        </w:rPr>
        <w:t>Con el fin de garantizar la mejora continua y uniforme de las instalaciones técnicas de los locales de la OMPI, se seguirá ejecutando el plan general de renovación y mejora de las instalaciones técnicas de todo el recinto de la OMPI, siguiendo la tarea iniciada en el bienio anterior.  En este proceso se dará prioridad a las instalaciones más importantes.  Algunas de las decisiones de renovación o mejora de las instalaciones técnicas se basarán, entre otras cosas, en la capacidad de las mismas para reducir la repercusión en el medio ambiente y mejorar la accesibilidad física de las personas con discapacidades.  Las principales renovaciones, transformaciones o modernización de las instalaciones se llevarán a cabo y se gestionarán de acuerdo con las prioridades que se exponen en el plan maestro de mejoras de infraestructura y en varias iniciativas preventivas de mantenimiento de menor escala.  En lo que respecta a la gestión de los locales, se tratará de efectuar una asignación óptima de los espacios de trabajo para albergar a todo el personal de la OMPI y un examen del uso óptimo y la conversión o la mejora de algunos espacios que no se utilicen como espacios de trabajo a partir del sistema de gestión del espacio establecido en el bienio anterior.</w:t>
      </w:r>
    </w:p>
    <w:p w:rsidR="00236E18" w:rsidRPr="00073668" w:rsidRDefault="00236E18" w:rsidP="00236E18">
      <w:pPr>
        <w:jc w:val="both"/>
        <w:rPr>
          <w:sz w:val="20"/>
        </w:rPr>
      </w:pPr>
    </w:p>
    <w:p w:rsidR="00236E18" w:rsidRPr="0044351D" w:rsidRDefault="00236E18" w:rsidP="00236E18">
      <w:pPr>
        <w:pStyle w:val="ListParagraph"/>
        <w:numPr>
          <w:ilvl w:val="0"/>
          <w:numId w:val="40"/>
        </w:numPr>
        <w:tabs>
          <w:tab w:val="left" w:pos="709"/>
        </w:tabs>
        <w:ind w:left="0" w:firstLine="0"/>
        <w:contextualSpacing w:val="0"/>
        <w:jc w:val="both"/>
        <w:rPr>
          <w:rFonts w:ascii="Arial" w:hAnsi="Arial" w:cs="Arial"/>
          <w:sz w:val="20"/>
          <w:lang w:val="es-ES"/>
        </w:rPr>
      </w:pPr>
      <w:r w:rsidRPr="0044351D">
        <w:rPr>
          <w:rFonts w:ascii="Arial" w:hAnsi="Arial" w:cs="Arial"/>
          <w:sz w:val="20"/>
          <w:lang w:val="es-ES"/>
        </w:rPr>
        <w:lastRenderedPageBreak/>
        <w:t xml:space="preserve">Para garantizar que en 2020 se cumpla el objetivo del Sistema de las Naciones Unidas de lograr la neutralidad climática, se seguirán </w:t>
      </w:r>
      <w:r>
        <w:rPr>
          <w:rFonts w:ascii="Arial" w:hAnsi="Arial" w:cs="Arial"/>
          <w:sz w:val="20"/>
          <w:lang w:val="es-ES"/>
        </w:rPr>
        <w:t>desplegan</w:t>
      </w:r>
      <w:r w:rsidRPr="0044351D">
        <w:rPr>
          <w:rFonts w:ascii="Arial" w:hAnsi="Arial" w:cs="Arial"/>
          <w:sz w:val="20"/>
          <w:lang w:val="es-ES"/>
        </w:rPr>
        <w:t xml:space="preserve">do esfuerzos </w:t>
      </w:r>
      <w:r>
        <w:rPr>
          <w:rFonts w:ascii="Arial" w:hAnsi="Arial" w:cs="Arial"/>
          <w:sz w:val="20"/>
          <w:lang w:val="es-ES"/>
        </w:rPr>
        <w:t>para</w:t>
      </w:r>
      <w:r w:rsidRPr="0044351D">
        <w:rPr>
          <w:rFonts w:ascii="Arial" w:hAnsi="Arial" w:cs="Arial"/>
          <w:sz w:val="20"/>
          <w:lang w:val="es-ES"/>
        </w:rPr>
        <w:t xml:space="preserve"> aplicar determinadas medidas,</w:t>
      </w:r>
      <w:r>
        <w:rPr>
          <w:rFonts w:ascii="Arial" w:hAnsi="Arial" w:cs="Arial"/>
          <w:sz w:val="20"/>
          <w:lang w:val="es-ES"/>
        </w:rPr>
        <w:t xml:space="preserve"> y no solamente en lo tocante a los locales,</w:t>
      </w:r>
      <w:r w:rsidRPr="0044351D">
        <w:rPr>
          <w:rFonts w:ascii="Arial" w:hAnsi="Arial" w:cs="Arial"/>
          <w:sz w:val="20"/>
          <w:lang w:val="es-ES"/>
        </w:rPr>
        <w:t xml:space="preserve"> entre ellas, el programa para contrarrestar las emisiones de carbono y otras emisiones producidas por las acti</w:t>
      </w:r>
      <w:r>
        <w:rPr>
          <w:rFonts w:ascii="Arial" w:hAnsi="Arial" w:cs="Arial"/>
          <w:sz w:val="20"/>
          <w:lang w:val="es-ES"/>
        </w:rPr>
        <w:t>vidades de la OMPI en general</w:t>
      </w:r>
      <w:r w:rsidRPr="0044351D">
        <w:rPr>
          <w:rFonts w:ascii="Arial" w:hAnsi="Arial" w:cs="Arial"/>
          <w:sz w:val="20"/>
          <w:lang w:val="es-ES"/>
        </w:rPr>
        <w:t>.</w:t>
      </w:r>
    </w:p>
    <w:p w:rsidR="00236E18" w:rsidRPr="00073668" w:rsidRDefault="00236E18" w:rsidP="00236E18">
      <w:pPr>
        <w:pStyle w:val="ListParagraph"/>
        <w:tabs>
          <w:tab w:val="left" w:pos="709"/>
        </w:tabs>
        <w:ind w:left="0"/>
        <w:jc w:val="both"/>
        <w:rPr>
          <w:rFonts w:ascii="Arial" w:hAnsi="Arial" w:cs="Arial"/>
          <w:sz w:val="20"/>
          <w:lang w:val="es-ES"/>
        </w:rPr>
      </w:pPr>
    </w:p>
    <w:p w:rsidR="00236E18" w:rsidRPr="00073668" w:rsidRDefault="00236E18" w:rsidP="00236E18">
      <w:pPr>
        <w:pStyle w:val="ListParagraph"/>
        <w:tabs>
          <w:tab w:val="left" w:pos="709"/>
        </w:tabs>
        <w:ind w:left="0"/>
        <w:jc w:val="both"/>
        <w:rPr>
          <w:rFonts w:ascii="Arial" w:hAnsi="Arial" w:cs="Arial"/>
          <w:sz w:val="20"/>
          <w:lang w:val="es-ES"/>
        </w:rPr>
      </w:pPr>
    </w:p>
    <w:p w:rsidR="00236E18" w:rsidRPr="00073668" w:rsidRDefault="00236E18" w:rsidP="00236E18">
      <w:r w:rsidRPr="00073668">
        <w:t>PRINCIPALES RIESGOS Y ESTRATEGIAS DE MITIGACIÓN</w:t>
      </w:r>
    </w:p>
    <w:p w:rsidR="00236E18" w:rsidRPr="00073668" w:rsidRDefault="00236E18" w:rsidP="00236E18">
      <w:pPr>
        <w:keepNext/>
        <w:keepLines/>
        <w:rPr>
          <w:rFonts w:eastAsia="Times New Roman"/>
          <w:sz w:val="20"/>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236E18" w:rsidRPr="00073668" w:rsidTr="00294272">
        <w:trPr>
          <w:trHeight w:val="577"/>
        </w:trPr>
        <w:tc>
          <w:tcPr>
            <w:tcW w:w="4111" w:type="dxa"/>
            <w:tcBorders>
              <w:top w:val="single" w:sz="4" w:space="0" w:color="auto"/>
              <w:bottom w:val="single" w:sz="4" w:space="0" w:color="auto"/>
            </w:tcBorders>
            <w:shd w:val="clear" w:color="auto" w:fill="C6D9F1" w:themeFill="text2" w:themeFillTint="33"/>
            <w:vAlign w:val="center"/>
          </w:tcPr>
          <w:p w:rsidR="00236E18" w:rsidRPr="00073668" w:rsidRDefault="00236E18" w:rsidP="00294272">
            <w:pPr>
              <w:jc w:val="center"/>
              <w:rPr>
                <w:rFonts w:eastAsia="Times New Roman"/>
                <w:b/>
                <w:bCs/>
                <w:sz w:val="18"/>
                <w:szCs w:val="18"/>
              </w:rPr>
            </w:pPr>
            <w:r w:rsidRPr="00073668">
              <w:rPr>
                <w:rFonts w:eastAsia="Times New Roman"/>
                <w:b/>
                <w:bCs/>
                <w:sz w:val="18"/>
                <w:szCs w:val="18"/>
              </w:rPr>
              <w:t>Riesgo</w:t>
            </w:r>
          </w:p>
        </w:tc>
        <w:tc>
          <w:tcPr>
            <w:tcW w:w="5103" w:type="dxa"/>
            <w:tcBorders>
              <w:top w:val="single" w:sz="4" w:space="0" w:color="auto"/>
              <w:bottom w:val="single" w:sz="4" w:space="0" w:color="auto"/>
            </w:tcBorders>
            <w:shd w:val="clear" w:color="auto" w:fill="C6D9F1" w:themeFill="text2" w:themeFillTint="33"/>
            <w:vAlign w:val="center"/>
          </w:tcPr>
          <w:p w:rsidR="00236E18" w:rsidRPr="00073668" w:rsidRDefault="00236E18" w:rsidP="00294272">
            <w:pPr>
              <w:jc w:val="center"/>
              <w:rPr>
                <w:rFonts w:eastAsia="Times New Roman"/>
                <w:b/>
                <w:bCs/>
                <w:sz w:val="18"/>
                <w:szCs w:val="18"/>
              </w:rPr>
            </w:pPr>
            <w:r w:rsidRPr="00073668">
              <w:rPr>
                <w:rFonts w:eastAsia="Times New Roman"/>
                <w:b/>
                <w:bCs/>
                <w:sz w:val="18"/>
                <w:szCs w:val="18"/>
              </w:rPr>
              <w:t>Mitigación</w:t>
            </w:r>
          </w:p>
        </w:tc>
      </w:tr>
      <w:tr w:rsidR="00236E18" w:rsidRPr="00073668" w:rsidTr="00294272">
        <w:trPr>
          <w:trHeight w:val="550"/>
        </w:trPr>
        <w:tc>
          <w:tcPr>
            <w:tcW w:w="4111" w:type="dxa"/>
            <w:tcBorders>
              <w:top w:val="single" w:sz="4" w:space="0" w:color="auto"/>
            </w:tcBorders>
            <w:shd w:val="clear" w:color="auto" w:fill="auto"/>
            <w:tcMar>
              <w:top w:w="113" w:type="dxa"/>
              <w:bottom w:w="113" w:type="dxa"/>
            </w:tcMar>
          </w:tcPr>
          <w:p w:rsidR="00236E18" w:rsidRPr="00073668" w:rsidRDefault="00236E18" w:rsidP="00294272">
            <w:pPr>
              <w:rPr>
                <w:rFonts w:eastAsia="Times New Roman"/>
                <w:sz w:val="16"/>
                <w:szCs w:val="16"/>
              </w:rPr>
            </w:pPr>
            <w:r w:rsidRPr="00073668">
              <w:rPr>
                <w:rFonts w:eastAsia="Times New Roman"/>
                <w:sz w:val="16"/>
                <w:szCs w:val="16"/>
              </w:rPr>
              <w:t>Las fallas de los proveedores en la prestación de servicios provocan trastornos en el servicio ofrecido a los clientes externos.</w:t>
            </w:r>
          </w:p>
        </w:tc>
        <w:tc>
          <w:tcPr>
            <w:tcW w:w="5103" w:type="dxa"/>
            <w:tcBorders>
              <w:top w:val="single" w:sz="4" w:space="0" w:color="auto"/>
            </w:tcBorders>
            <w:shd w:val="clear" w:color="auto" w:fill="auto"/>
            <w:tcMar>
              <w:top w:w="113" w:type="dxa"/>
              <w:bottom w:w="113" w:type="dxa"/>
            </w:tcMar>
          </w:tcPr>
          <w:p w:rsidR="00236E18" w:rsidRPr="00073668" w:rsidRDefault="00236E18" w:rsidP="00294272">
            <w:pPr>
              <w:rPr>
                <w:rFonts w:eastAsia="Times New Roman"/>
                <w:sz w:val="16"/>
                <w:szCs w:val="16"/>
              </w:rPr>
            </w:pPr>
            <w:r w:rsidRPr="00073668">
              <w:rPr>
                <w:rFonts w:eastAsia="Times New Roman"/>
                <w:sz w:val="16"/>
                <w:szCs w:val="16"/>
              </w:rPr>
              <w:t>Elaborar un plan de urgencia para los contratos que se consideren de alto riesgo y esenciales para poder seguir llevando a cabo las actividades.</w:t>
            </w:r>
          </w:p>
        </w:tc>
      </w:tr>
      <w:tr w:rsidR="00236E18" w:rsidRPr="00073668" w:rsidTr="00294272">
        <w:trPr>
          <w:trHeight w:val="755"/>
        </w:trPr>
        <w:tc>
          <w:tcPr>
            <w:tcW w:w="4111" w:type="dxa"/>
            <w:shd w:val="clear" w:color="auto" w:fill="auto"/>
            <w:tcMar>
              <w:top w:w="113" w:type="dxa"/>
              <w:bottom w:w="113" w:type="dxa"/>
            </w:tcMar>
          </w:tcPr>
          <w:p w:rsidR="00236E18" w:rsidRPr="00073668" w:rsidRDefault="00236E18" w:rsidP="00294272">
            <w:pPr>
              <w:rPr>
                <w:rFonts w:eastAsia="Times New Roman"/>
                <w:sz w:val="16"/>
                <w:szCs w:val="16"/>
              </w:rPr>
            </w:pPr>
            <w:r w:rsidRPr="00073668">
              <w:rPr>
                <w:rFonts w:eastAsia="Times New Roman"/>
                <w:sz w:val="16"/>
                <w:szCs w:val="16"/>
              </w:rPr>
              <w:t>Pérdida del acceso seguro a uno o más edificios, o la imposibilidad de ocuparlos, durante un periodo de tiempo determinado.</w:t>
            </w:r>
          </w:p>
        </w:tc>
        <w:tc>
          <w:tcPr>
            <w:tcW w:w="5103" w:type="dxa"/>
            <w:shd w:val="clear" w:color="auto" w:fill="auto"/>
            <w:tcMar>
              <w:top w:w="113" w:type="dxa"/>
              <w:bottom w:w="113" w:type="dxa"/>
            </w:tcMar>
          </w:tcPr>
          <w:p w:rsidR="00236E18" w:rsidRPr="00073668" w:rsidRDefault="00236E18" w:rsidP="00294272">
            <w:pPr>
              <w:rPr>
                <w:rFonts w:eastAsia="Times New Roman"/>
                <w:sz w:val="16"/>
                <w:szCs w:val="16"/>
              </w:rPr>
            </w:pPr>
            <w:r w:rsidRPr="00073668">
              <w:rPr>
                <w:rFonts w:eastAsia="Times New Roman"/>
                <w:sz w:val="16"/>
                <w:szCs w:val="16"/>
              </w:rPr>
              <w:t xml:space="preserve">Continuar las tareas de renovación y de mantenimiento preventivo de gran alcance de las principales instalaciones y locales técnicos.  Revisión cotidiana, y ejecución en caso necesario, de los planes de </w:t>
            </w:r>
            <w:r>
              <w:rPr>
                <w:rFonts w:eastAsia="Times New Roman"/>
                <w:sz w:val="16"/>
                <w:szCs w:val="16"/>
              </w:rPr>
              <w:t>reacción</w:t>
            </w:r>
            <w:r w:rsidRPr="00073668">
              <w:rPr>
                <w:rFonts w:eastAsia="Times New Roman"/>
                <w:sz w:val="16"/>
                <w:szCs w:val="16"/>
              </w:rPr>
              <w:t xml:space="preserve"> </w:t>
            </w:r>
            <w:r>
              <w:rPr>
                <w:rFonts w:eastAsia="Times New Roman"/>
                <w:sz w:val="16"/>
                <w:szCs w:val="16"/>
              </w:rPr>
              <w:t xml:space="preserve">y recuperación </w:t>
            </w:r>
            <w:r w:rsidRPr="00073668">
              <w:rPr>
                <w:rFonts w:eastAsia="Times New Roman"/>
                <w:sz w:val="16"/>
                <w:szCs w:val="16"/>
              </w:rPr>
              <w:t>institucional.</w:t>
            </w:r>
          </w:p>
        </w:tc>
      </w:tr>
      <w:tr w:rsidR="00236E18" w:rsidRPr="00073668" w:rsidTr="00294272">
        <w:trPr>
          <w:trHeight w:val="564"/>
        </w:trPr>
        <w:tc>
          <w:tcPr>
            <w:tcW w:w="4111" w:type="dxa"/>
            <w:shd w:val="clear" w:color="auto" w:fill="auto"/>
            <w:tcMar>
              <w:top w:w="113" w:type="dxa"/>
              <w:bottom w:w="113" w:type="dxa"/>
            </w:tcMar>
          </w:tcPr>
          <w:p w:rsidR="00236E18" w:rsidRPr="00073668" w:rsidRDefault="00236E18" w:rsidP="00294272">
            <w:pPr>
              <w:rPr>
                <w:rFonts w:eastAsia="Times New Roman"/>
                <w:sz w:val="16"/>
                <w:szCs w:val="16"/>
              </w:rPr>
            </w:pPr>
            <w:r w:rsidRPr="00073668">
              <w:rPr>
                <w:rFonts w:eastAsia="Times New Roman"/>
                <w:sz w:val="16"/>
                <w:szCs w:val="16"/>
              </w:rPr>
              <w:t xml:space="preserve">Incapacidad de la OMPI, en su calidad de organización de las NN.UU. de cumplir el compromiso contraído con el Secretario General de las NN.UU. de alcanzar la neutralidad climática en 2020. </w:t>
            </w:r>
          </w:p>
        </w:tc>
        <w:tc>
          <w:tcPr>
            <w:tcW w:w="5103" w:type="dxa"/>
            <w:shd w:val="clear" w:color="auto" w:fill="auto"/>
            <w:tcMar>
              <w:top w:w="113" w:type="dxa"/>
              <w:bottom w:w="113" w:type="dxa"/>
            </w:tcMar>
          </w:tcPr>
          <w:p w:rsidR="00236E18" w:rsidRPr="00073668" w:rsidRDefault="00236E18" w:rsidP="00294272">
            <w:pPr>
              <w:rPr>
                <w:rFonts w:eastAsia="Times New Roman"/>
                <w:sz w:val="16"/>
                <w:szCs w:val="16"/>
              </w:rPr>
            </w:pPr>
            <w:r w:rsidRPr="00073668">
              <w:rPr>
                <w:rFonts w:eastAsia="Times New Roman"/>
                <w:sz w:val="16"/>
                <w:szCs w:val="16"/>
              </w:rPr>
              <w:t xml:space="preserve">Supervisión </w:t>
            </w:r>
            <w:proofErr w:type="gramStart"/>
            <w:r w:rsidRPr="00073668">
              <w:rPr>
                <w:rFonts w:eastAsia="Times New Roman"/>
                <w:sz w:val="16"/>
                <w:szCs w:val="16"/>
              </w:rPr>
              <w:t>continua</w:t>
            </w:r>
            <w:proofErr w:type="gramEnd"/>
            <w:r w:rsidRPr="00073668">
              <w:rPr>
                <w:rFonts w:eastAsia="Times New Roman"/>
                <w:sz w:val="16"/>
                <w:szCs w:val="16"/>
              </w:rPr>
              <w:t xml:space="preserve"> de los datos sobre medio ambiente de la Organización a partir de los cuales se formulan propuestas para reducir o contrarrestar las emisiones de carbono y otro tipo de emisiones.</w:t>
            </w:r>
          </w:p>
        </w:tc>
      </w:tr>
    </w:tbl>
    <w:p w:rsidR="00236E18" w:rsidRPr="00073668" w:rsidRDefault="00236E18" w:rsidP="00236E18">
      <w:pPr>
        <w:rPr>
          <w:rFonts w:eastAsia="Times New Roman"/>
          <w:sz w:val="20"/>
        </w:rPr>
      </w:pPr>
    </w:p>
    <w:p w:rsidR="00236E18" w:rsidRPr="00073668" w:rsidRDefault="00236E18" w:rsidP="00236E18">
      <w:pPr>
        <w:jc w:val="both"/>
      </w:pPr>
    </w:p>
    <w:p w:rsidR="00236E18" w:rsidRPr="00073668" w:rsidRDefault="00236E18" w:rsidP="00236E18">
      <w:pPr>
        <w:jc w:val="both"/>
      </w:pPr>
      <w:r w:rsidRPr="00073668">
        <w:t>MARCO DE RESULTADOS</w:t>
      </w:r>
    </w:p>
    <w:p w:rsidR="00236E18" w:rsidRPr="006105F6" w:rsidRDefault="00236E18" w:rsidP="00236E18">
      <w:pPr>
        <w:jc w:val="both"/>
        <w:rPr>
          <w:sz w:val="18"/>
          <w:szCs w:val="18"/>
        </w:rPr>
      </w:pPr>
    </w:p>
    <w:tbl>
      <w:tblPr>
        <w:tblW w:w="9229" w:type="dxa"/>
        <w:tblInd w:w="93" w:type="dxa"/>
        <w:tblLook w:val="04A0" w:firstRow="1" w:lastRow="0" w:firstColumn="1" w:lastColumn="0" w:noHBand="0" w:noVBand="1"/>
      </w:tblPr>
      <w:tblGrid>
        <w:gridCol w:w="2320"/>
        <w:gridCol w:w="2320"/>
        <w:gridCol w:w="2440"/>
        <w:gridCol w:w="2149"/>
      </w:tblGrid>
      <w:tr w:rsidR="00236E18" w:rsidRPr="00073668" w:rsidTr="00294272">
        <w:trPr>
          <w:trHeight w:val="600"/>
          <w:tblHeader/>
        </w:trPr>
        <w:tc>
          <w:tcPr>
            <w:tcW w:w="2320" w:type="dxa"/>
            <w:tcBorders>
              <w:top w:val="single" w:sz="4" w:space="0" w:color="auto"/>
              <w:left w:val="single" w:sz="4" w:space="0" w:color="auto"/>
              <w:bottom w:val="single" w:sz="4" w:space="0" w:color="auto"/>
              <w:right w:val="nil"/>
            </w:tcBorders>
            <w:shd w:val="clear" w:color="auto" w:fill="C6D9F1" w:themeFill="text2" w:themeFillTint="33"/>
            <w:tcMar>
              <w:top w:w="85" w:type="dxa"/>
            </w:tcMar>
            <w:vAlign w:val="center"/>
            <w:hideMark/>
          </w:tcPr>
          <w:p w:rsidR="00236E18" w:rsidRPr="00073668" w:rsidRDefault="00236E18" w:rsidP="00294272">
            <w:pPr>
              <w:jc w:val="center"/>
              <w:rPr>
                <w:rFonts w:eastAsia="Times New Roman"/>
                <w:b/>
                <w:bCs/>
                <w:sz w:val="18"/>
                <w:szCs w:val="18"/>
              </w:rPr>
            </w:pPr>
            <w:r w:rsidRPr="00073668">
              <w:rPr>
                <w:rFonts w:eastAsia="Times New Roman"/>
                <w:b/>
                <w:bCs/>
                <w:sz w:val="18"/>
                <w:szCs w:val="18"/>
              </w:rPr>
              <w:t xml:space="preserve">Resultados previstos </w:t>
            </w:r>
          </w:p>
        </w:tc>
        <w:tc>
          <w:tcPr>
            <w:tcW w:w="232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rsidR="00236E18" w:rsidRPr="00073668" w:rsidRDefault="00236E18" w:rsidP="00294272">
            <w:pPr>
              <w:jc w:val="center"/>
              <w:rPr>
                <w:rFonts w:eastAsia="Times New Roman"/>
                <w:b/>
                <w:bCs/>
                <w:sz w:val="18"/>
                <w:szCs w:val="18"/>
              </w:rPr>
            </w:pPr>
            <w:r w:rsidRPr="00073668">
              <w:rPr>
                <w:rFonts w:eastAsia="Times New Roman"/>
                <w:b/>
                <w:bCs/>
                <w:sz w:val="18"/>
                <w:szCs w:val="18"/>
              </w:rPr>
              <w:t>Indicadores de rendimiento</w:t>
            </w:r>
          </w:p>
        </w:tc>
        <w:tc>
          <w:tcPr>
            <w:tcW w:w="244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rsidR="00236E18" w:rsidRPr="00073668" w:rsidRDefault="00236E18" w:rsidP="00294272">
            <w:pPr>
              <w:jc w:val="center"/>
              <w:rPr>
                <w:rFonts w:eastAsia="Times New Roman"/>
                <w:b/>
                <w:bCs/>
                <w:sz w:val="18"/>
                <w:szCs w:val="18"/>
              </w:rPr>
            </w:pPr>
            <w:r w:rsidRPr="00073668">
              <w:rPr>
                <w:rFonts w:eastAsia="Times New Roman"/>
                <w:b/>
                <w:bCs/>
                <w:sz w:val="18"/>
                <w:szCs w:val="18"/>
              </w:rPr>
              <w:t>Referencia</w:t>
            </w:r>
          </w:p>
        </w:tc>
        <w:tc>
          <w:tcPr>
            <w:tcW w:w="2149" w:type="dxa"/>
            <w:tcBorders>
              <w:top w:val="single" w:sz="4" w:space="0" w:color="auto"/>
              <w:left w:val="nil"/>
              <w:bottom w:val="single" w:sz="4" w:space="0" w:color="auto"/>
              <w:right w:val="single" w:sz="4" w:space="0" w:color="auto"/>
            </w:tcBorders>
            <w:shd w:val="clear" w:color="auto" w:fill="C6D9F1" w:themeFill="text2" w:themeFillTint="33"/>
            <w:tcMar>
              <w:top w:w="85" w:type="dxa"/>
            </w:tcMar>
            <w:vAlign w:val="center"/>
            <w:hideMark/>
          </w:tcPr>
          <w:p w:rsidR="00236E18" w:rsidRPr="00073668" w:rsidRDefault="00236E18" w:rsidP="00294272">
            <w:pPr>
              <w:jc w:val="center"/>
              <w:rPr>
                <w:rFonts w:eastAsia="Times New Roman"/>
                <w:b/>
                <w:bCs/>
                <w:sz w:val="18"/>
                <w:szCs w:val="18"/>
              </w:rPr>
            </w:pPr>
            <w:r w:rsidRPr="00073668">
              <w:rPr>
                <w:rFonts w:eastAsia="Times New Roman"/>
                <w:b/>
                <w:bCs/>
                <w:sz w:val="18"/>
                <w:szCs w:val="18"/>
              </w:rPr>
              <w:t>Objetivos</w:t>
            </w:r>
          </w:p>
        </w:tc>
      </w:tr>
      <w:tr w:rsidR="00236E18" w:rsidRPr="00073668" w:rsidTr="00294272">
        <w:trPr>
          <w:trHeight w:val="1005"/>
        </w:trPr>
        <w:tc>
          <w:tcPr>
            <w:tcW w:w="2320" w:type="dxa"/>
            <w:tcBorders>
              <w:top w:val="nil"/>
              <w:left w:val="single" w:sz="4" w:space="0" w:color="auto"/>
              <w:bottom w:val="nil"/>
              <w:right w:val="nil"/>
            </w:tcBorders>
            <w:shd w:val="clear" w:color="000000" w:fill="FFFFFF"/>
            <w:tcMar>
              <w:top w:w="85" w:type="dxa"/>
            </w:tcMar>
            <w:hideMark/>
          </w:tcPr>
          <w:p w:rsidR="00236E18" w:rsidRPr="0044351D" w:rsidRDefault="00236E18" w:rsidP="00294272">
            <w:pPr>
              <w:rPr>
                <w:rFonts w:eastAsia="Times New Roman"/>
                <w:sz w:val="16"/>
                <w:szCs w:val="16"/>
              </w:rPr>
            </w:pPr>
            <w:r w:rsidRPr="0044351D">
              <w:rPr>
                <w:rFonts w:eastAsia="Times New Roman"/>
                <w:sz w:val="16"/>
                <w:szCs w:val="16"/>
              </w:rPr>
              <w:t xml:space="preserve">VIII.5  </w:t>
            </w:r>
            <w:r w:rsidRPr="0044351D">
              <w:rPr>
                <w:sz w:val="16"/>
                <w:szCs w:val="16"/>
                <w:lang w:val="es-ES_tradnl"/>
              </w:rPr>
              <w:t>La OMPI participa y colabora eficazmente en los procesos y negociaciones de las NN.UU. y otras OIG</w:t>
            </w:r>
          </w:p>
        </w:tc>
        <w:tc>
          <w:tcPr>
            <w:tcW w:w="2320" w:type="dxa"/>
            <w:tcBorders>
              <w:top w:val="nil"/>
              <w:left w:val="nil"/>
              <w:bottom w:val="nil"/>
              <w:right w:val="nil"/>
            </w:tcBorders>
            <w:shd w:val="clear" w:color="000000" w:fill="FFFFFF"/>
            <w:tcMar>
              <w:top w:w="85" w:type="dxa"/>
            </w:tcMar>
            <w:hideMark/>
          </w:tcPr>
          <w:p w:rsidR="00236E18" w:rsidRPr="00073668" w:rsidRDefault="00236E18" w:rsidP="00294272">
            <w:pPr>
              <w:ind w:left="-3"/>
              <w:rPr>
                <w:rFonts w:eastAsia="Times New Roman"/>
                <w:sz w:val="16"/>
                <w:szCs w:val="16"/>
              </w:rPr>
            </w:pPr>
            <w:r w:rsidRPr="00073668">
              <w:rPr>
                <w:rFonts w:eastAsia="Times New Roman"/>
                <w:sz w:val="16"/>
                <w:szCs w:val="16"/>
              </w:rPr>
              <w:t>Porcentaje de productos y servicios contratados y adquiridos a nivel local en comparación con el importe total de los adquiridos para actividades de desarrollo.</w:t>
            </w:r>
          </w:p>
        </w:tc>
        <w:tc>
          <w:tcPr>
            <w:tcW w:w="2440" w:type="dxa"/>
            <w:tcBorders>
              <w:top w:val="nil"/>
              <w:left w:val="nil"/>
              <w:bottom w:val="nil"/>
              <w:right w:val="nil"/>
            </w:tcBorders>
            <w:shd w:val="clear" w:color="000000" w:fill="FFFFFF"/>
            <w:tcMar>
              <w:top w:w="85" w:type="dxa"/>
            </w:tcMar>
            <w:hideMark/>
          </w:tcPr>
          <w:p w:rsidR="00236E18" w:rsidRPr="00073668" w:rsidRDefault="00236E18" w:rsidP="00294272">
            <w:pPr>
              <w:ind w:left="229" w:firstLineChars="56" w:firstLine="90"/>
              <w:rPr>
                <w:rFonts w:eastAsia="Times New Roman"/>
                <w:sz w:val="16"/>
                <w:szCs w:val="16"/>
              </w:rPr>
            </w:pPr>
            <w:r w:rsidRPr="00073668">
              <w:rPr>
                <w:rFonts w:eastAsia="Times New Roman"/>
                <w:sz w:val="16"/>
                <w:szCs w:val="16"/>
              </w:rPr>
              <w:t>45% (al final de 2014).</w:t>
            </w:r>
          </w:p>
        </w:tc>
        <w:tc>
          <w:tcPr>
            <w:tcW w:w="2149" w:type="dxa"/>
            <w:tcBorders>
              <w:top w:val="nil"/>
              <w:left w:val="nil"/>
              <w:bottom w:val="nil"/>
              <w:right w:val="single" w:sz="4" w:space="0" w:color="auto"/>
            </w:tcBorders>
            <w:shd w:val="clear" w:color="000000" w:fill="FFFFFF"/>
            <w:tcMar>
              <w:top w:w="85" w:type="dxa"/>
            </w:tcMar>
            <w:hideMark/>
          </w:tcPr>
          <w:p w:rsidR="00236E18" w:rsidRPr="00073668" w:rsidRDefault="00236E18" w:rsidP="00294272">
            <w:pPr>
              <w:ind w:leftChars="90" w:left="198"/>
              <w:rPr>
                <w:rFonts w:eastAsia="Times New Roman"/>
                <w:sz w:val="16"/>
                <w:szCs w:val="16"/>
              </w:rPr>
            </w:pPr>
            <w:r w:rsidRPr="00073668">
              <w:rPr>
                <w:rFonts w:eastAsia="Times New Roman"/>
                <w:sz w:val="16"/>
                <w:szCs w:val="16"/>
              </w:rPr>
              <w:t>Igual o superior al resultado de 2014.</w:t>
            </w:r>
          </w:p>
        </w:tc>
      </w:tr>
      <w:tr w:rsidR="00236E18" w:rsidRPr="00073668" w:rsidTr="00294272">
        <w:trPr>
          <w:trHeight w:val="765"/>
        </w:trPr>
        <w:tc>
          <w:tcPr>
            <w:tcW w:w="2320" w:type="dxa"/>
            <w:tcBorders>
              <w:top w:val="nil"/>
              <w:left w:val="single" w:sz="4" w:space="0" w:color="auto"/>
              <w:right w:val="nil"/>
            </w:tcBorders>
            <w:shd w:val="clear" w:color="000000" w:fill="FFFFFF"/>
            <w:tcMar>
              <w:top w:w="85" w:type="dxa"/>
            </w:tcMar>
            <w:hideMark/>
          </w:tcPr>
          <w:p w:rsidR="00236E18" w:rsidRPr="0044351D" w:rsidRDefault="00236E18" w:rsidP="00294272">
            <w:pPr>
              <w:rPr>
                <w:rFonts w:eastAsia="Times New Roman"/>
                <w:sz w:val="16"/>
                <w:szCs w:val="16"/>
              </w:rPr>
            </w:pPr>
            <w:r w:rsidRPr="0044351D">
              <w:rPr>
                <w:rFonts w:eastAsia="Times New Roman"/>
                <w:sz w:val="16"/>
                <w:szCs w:val="16"/>
              </w:rPr>
              <w:t> </w:t>
            </w:r>
          </w:p>
        </w:tc>
        <w:tc>
          <w:tcPr>
            <w:tcW w:w="2320" w:type="dxa"/>
            <w:tcBorders>
              <w:top w:val="nil"/>
              <w:left w:val="nil"/>
              <w:right w:val="nil"/>
            </w:tcBorders>
            <w:shd w:val="clear" w:color="000000" w:fill="FFFFFF"/>
            <w:tcMar>
              <w:top w:w="85" w:type="dxa"/>
            </w:tcMar>
            <w:hideMark/>
          </w:tcPr>
          <w:p w:rsidR="00236E18" w:rsidRPr="00073668" w:rsidRDefault="00236E18" w:rsidP="00294272">
            <w:pPr>
              <w:ind w:left="-3"/>
              <w:rPr>
                <w:rFonts w:eastAsia="Times New Roman"/>
                <w:sz w:val="16"/>
                <w:szCs w:val="16"/>
              </w:rPr>
            </w:pPr>
            <w:r w:rsidRPr="00073668">
              <w:rPr>
                <w:rFonts w:eastAsia="Times New Roman"/>
                <w:sz w:val="16"/>
                <w:szCs w:val="16"/>
              </w:rPr>
              <w:t>Porcentaje de gastos efectuados con arreglo a las prácticas vigentes en NN.UU. (licitaciones comunes o aprovechamiento de los contratos).</w:t>
            </w:r>
          </w:p>
        </w:tc>
        <w:tc>
          <w:tcPr>
            <w:tcW w:w="2440" w:type="dxa"/>
            <w:tcBorders>
              <w:top w:val="nil"/>
              <w:left w:val="nil"/>
              <w:right w:val="nil"/>
            </w:tcBorders>
            <w:shd w:val="clear" w:color="000000" w:fill="FFFFFF"/>
            <w:tcMar>
              <w:top w:w="85" w:type="dxa"/>
            </w:tcMar>
            <w:hideMark/>
          </w:tcPr>
          <w:p w:rsidR="00236E18" w:rsidRPr="00073668" w:rsidRDefault="00236E18" w:rsidP="00294272">
            <w:pPr>
              <w:ind w:left="229"/>
              <w:rPr>
                <w:rFonts w:eastAsia="Times New Roman"/>
                <w:sz w:val="16"/>
                <w:szCs w:val="16"/>
              </w:rPr>
            </w:pPr>
            <w:r w:rsidRPr="00073668">
              <w:rPr>
                <w:rFonts w:eastAsia="Times New Roman"/>
                <w:sz w:val="16"/>
                <w:szCs w:val="16"/>
              </w:rPr>
              <w:t>4,15% (al final de 2014).</w:t>
            </w:r>
          </w:p>
        </w:tc>
        <w:tc>
          <w:tcPr>
            <w:tcW w:w="2149" w:type="dxa"/>
            <w:tcBorders>
              <w:top w:val="nil"/>
              <w:left w:val="nil"/>
              <w:right w:val="single" w:sz="4" w:space="0" w:color="auto"/>
            </w:tcBorders>
            <w:shd w:val="clear" w:color="000000" w:fill="FFFFFF"/>
            <w:tcMar>
              <w:top w:w="85" w:type="dxa"/>
            </w:tcMar>
            <w:hideMark/>
          </w:tcPr>
          <w:p w:rsidR="00236E18" w:rsidRPr="00073668" w:rsidRDefault="00236E18" w:rsidP="00294272">
            <w:pPr>
              <w:ind w:leftChars="90" w:left="198"/>
              <w:rPr>
                <w:rFonts w:eastAsia="Times New Roman"/>
                <w:sz w:val="16"/>
                <w:szCs w:val="16"/>
              </w:rPr>
            </w:pPr>
            <w:r w:rsidRPr="00073668">
              <w:rPr>
                <w:rFonts w:eastAsia="Times New Roman"/>
                <w:sz w:val="16"/>
                <w:szCs w:val="16"/>
              </w:rPr>
              <w:t xml:space="preserve">Igual o superior al resultado de 2014. </w:t>
            </w:r>
          </w:p>
        </w:tc>
      </w:tr>
      <w:tr w:rsidR="00236E18" w:rsidRPr="00073668" w:rsidTr="00294272">
        <w:trPr>
          <w:trHeight w:val="1048"/>
        </w:trPr>
        <w:tc>
          <w:tcPr>
            <w:tcW w:w="2320" w:type="dxa"/>
            <w:tcBorders>
              <w:top w:val="nil"/>
              <w:left w:val="single" w:sz="4" w:space="0" w:color="auto"/>
              <w:right w:val="nil"/>
            </w:tcBorders>
            <w:shd w:val="clear" w:color="000000" w:fill="FFFFFF"/>
            <w:tcMar>
              <w:top w:w="85" w:type="dxa"/>
            </w:tcMar>
            <w:hideMark/>
          </w:tcPr>
          <w:p w:rsidR="00236E18" w:rsidRPr="0044351D" w:rsidRDefault="00236E18" w:rsidP="00294272">
            <w:pPr>
              <w:rPr>
                <w:rFonts w:eastAsia="Times New Roman"/>
                <w:sz w:val="16"/>
                <w:szCs w:val="16"/>
              </w:rPr>
            </w:pPr>
            <w:r w:rsidRPr="0044351D">
              <w:rPr>
                <w:rFonts w:eastAsia="Times New Roman"/>
                <w:sz w:val="16"/>
                <w:szCs w:val="16"/>
              </w:rPr>
              <w:t xml:space="preserve">IX.1  </w:t>
            </w:r>
            <w:r w:rsidRPr="0044351D">
              <w:rPr>
                <w:sz w:val="16"/>
                <w:szCs w:val="16"/>
                <w:lang w:val="es-ES_tradnl"/>
              </w:rPr>
              <w:t>Servicios de apoyo eficaces, eficientes, de calidad y orientados al cliente, tanto a los usuarios internos como a las partes interesadas externas</w:t>
            </w:r>
          </w:p>
        </w:tc>
        <w:tc>
          <w:tcPr>
            <w:tcW w:w="2320" w:type="dxa"/>
            <w:tcBorders>
              <w:top w:val="nil"/>
              <w:left w:val="nil"/>
              <w:right w:val="nil"/>
            </w:tcBorders>
            <w:shd w:val="clear" w:color="000000" w:fill="FFFFFF"/>
            <w:tcMar>
              <w:top w:w="85" w:type="dxa"/>
            </w:tcMar>
            <w:hideMark/>
          </w:tcPr>
          <w:p w:rsidR="00236E18" w:rsidRPr="00073668" w:rsidRDefault="00236E18" w:rsidP="00294272">
            <w:pPr>
              <w:ind w:left="-3"/>
              <w:rPr>
                <w:rFonts w:eastAsia="Times New Roman"/>
                <w:sz w:val="16"/>
                <w:szCs w:val="16"/>
              </w:rPr>
            </w:pPr>
            <w:r w:rsidRPr="00073668">
              <w:rPr>
                <w:rFonts w:eastAsia="Times New Roman"/>
                <w:sz w:val="16"/>
                <w:szCs w:val="16"/>
              </w:rPr>
              <w:t>Disminución de los costos de adquisición de productos y servicios por la OMPI (derivada de solicitudes de ofertas o negociaciones directas).</w:t>
            </w:r>
          </w:p>
        </w:tc>
        <w:tc>
          <w:tcPr>
            <w:tcW w:w="2440" w:type="dxa"/>
            <w:tcBorders>
              <w:top w:val="nil"/>
              <w:left w:val="nil"/>
              <w:right w:val="nil"/>
            </w:tcBorders>
            <w:shd w:val="clear" w:color="000000" w:fill="FFFFFF"/>
            <w:tcMar>
              <w:top w:w="85" w:type="dxa"/>
            </w:tcMar>
            <w:hideMark/>
          </w:tcPr>
          <w:p w:rsidR="00236E18" w:rsidRPr="00073668" w:rsidRDefault="00236E18" w:rsidP="00294272">
            <w:pPr>
              <w:ind w:left="229"/>
              <w:rPr>
                <w:rFonts w:eastAsia="Times New Roman"/>
                <w:sz w:val="16"/>
                <w:szCs w:val="16"/>
              </w:rPr>
            </w:pPr>
            <w:r w:rsidRPr="00073668">
              <w:rPr>
                <w:rFonts w:eastAsia="Times New Roman"/>
                <w:sz w:val="16"/>
                <w:szCs w:val="16"/>
              </w:rPr>
              <w:t xml:space="preserve">2,6 millones de </w:t>
            </w:r>
            <w:r>
              <w:rPr>
                <w:rFonts w:eastAsia="Times New Roman"/>
                <w:sz w:val="16"/>
                <w:szCs w:val="16"/>
              </w:rPr>
              <w:t>francos suizos</w:t>
            </w:r>
            <w:r w:rsidRPr="00073668">
              <w:rPr>
                <w:rFonts w:eastAsia="Times New Roman"/>
                <w:sz w:val="16"/>
                <w:szCs w:val="16"/>
              </w:rPr>
              <w:t xml:space="preserve"> (al final de 2014).</w:t>
            </w:r>
          </w:p>
        </w:tc>
        <w:tc>
          <w:tcPr>
            <w:tcW w:w="2149" w:type="dxa"/>
            <w:tcBorders>
              <w:top w:val="nil"/>
              <w:left w:val="nil"/>
              <w:right w:val="single" w:sz="4" w:space="0" w:color="auto"/>
            </w:tcBorders>
            <w:shd w:val="clear" w:color="000000" w:fill="FFFFFF"/>
            <w:tcMar>
              <w:top w:w="85" w:type="dxa"/>
            </w:tcMar>
            <w:hideMark/>
          </w:tcPr>
          <w:p w:rsidR="00236E18" w:rsidRPr="00073668" w:rsidRDefault="00236E18" w:rsidP="00294272">
            <w:pPr>
              <w:ind w:leftChars="90" w:left="198"/>
              <w:rPr>
                <w:rFonts w:eastAsia="Times New Roman"/>
                <w:sz w:val="16"/>
                <w:szCs w:val="16"/>
              </w:rPr>
            </w:pPr>
            <w:r w:rsidRPr="00073668">
              <w:rPr>
                <w:rFonts w:eastAsia="Times New Roman"/>
                <w:sz w:val="16"/>
                <w:szCs w:val="16"/>
              </w:rPr>
              <w:t>Igual o superior al resultado de 2014.</w:t>
            </w:r>
          </w:p>
        </w:tc>
      </w:tr>
      <w:tr w:rsidR="00236E18" w:rsidRPr="00073668" w:rsidTr="00294272">
        <w:trPr>
          <w:trHeight w:val="1373"/>
        </w:trPr>
        <w:tc>
          <w:tcPr>
            <w:tcW w:w="2320" w:type="dxa"/>
            <w:tcBorders>
              <w:left w:val="single" w:sz="4" w:space="0" w:color="auto"/>
              <w:right w:val="nil"/>
            </w:tcBorders>
            <w:shd w:val="clear" w:color="000000" w:fill="FFFFFF"/>
            <w:tcMar>
              <w:top w:w="85" w:type="dxa"/>
            </w:tcMar>
            <w:hideMark/>
          </w:tcPr>
          <w:p w:rsidR="00236E18" w:rsidRPr="00073668" w:rsidRDefault="00236E18" w:rsidP="00294272">
            <w:pPr>
              <w:rPr>
                <w:rFonts w:eastAsia="Times New Roman"/>
                <w:sz w:val="16"/>
                <w:szCs w:val="16"/>
              </w:rPr>
            </w:pPr>
            <w:r w:rsidRPr="00073668">
              <w:rPr>
                <w:rFonts w:eastAsia="Times New Roman"/>
                <w:sz w:val="16"/>
                <w:szCs w:val="16"/>
              </w:rPr>
              <w:t> </w:t>
            </w:r>
          </w:p>
        </w:tc>
        <w:tc>
          <w:tcPr>
            <w:tcW w:w="2320" w:type="dxa"/>
            <w:tcBorders>
              <w:left w:val="nil"/>
              <w:right w:val="nil"/>
            </w:tcBorders>
            <w:shd w:val="clear" w:color="000000" w:fill="FFFFFF"/>
            <w:tcMar>
              <w:top w:w="85" w:type="dxa"/>
            </w:tcMar>
            <w:hideMark/>
          </w:tcPr>
          <w:p w:rsidR="00236E18" w:rsidRPr="00073668" w:rsidRDefault="00236E18" w:rsidP="00294272">
            <w:pPr>
              <w:ind w:left="-3"/>
              <w:rPr>
                <w:rFonts w:eastAsia="Times New Roman"/>
                <w:sz w:val="16"/>
                <w:szCs w:val="16"/>
              </w:rPr>
            </w:pPr>
            <w:r w:rsidRPr="00073668">
              <w:rPr>
                <w:rFonts w:eastAsia="Times New Roman"/>
                <w:sz w:val="16"/>
                <w:szCs w:val="16"/>
              </w:rPr>
              <w:t>Tiempo de tramitación de peticiones electrónicas de actividades.</w:t>
            </w:r>
            <w:r w:rsidRPr="00073668">
              <w:rPr>
                <w:rFonts w:eastAsia="Times New Roman"/>
                <w:sz w:val="16"/>
                <w:szCs w:val="16"/>
              </w:rPr>
              <w:br/>
            </w:r>
            <w:r w:rsidRPr="00073668">
              <w:rPr>
                <w:rFonts w:eastAsia="Times New Roman"/>
                <w:sz w:val="16"/>
                <w:szCs w:val="16"/>
              </w:rPr>
              <w:br/>
              <w:t>Tiempo de tramitación de autorizaciones electrónicas de viaje.</w:t>
            </w:r>
            <w:r w:rsidRPr="00073668">
              <w:rPr>
                <w:rFonts w:eastAsia="Times New Roman"/>
                <w:sz w:val="16"/>
                <w:szCs w:val="16"/>
              </w:rPr>
              <w:br/>
            </w:r>
            <w:r w:rsidRPr="00073668">
              <w:rPr>
                <w:rFonts w:eastAsia="Times New Roman"/>
                <w:sz w:val="16"/>
                <w:szCs w:val="16"/>
              </w:rPr>
              <w:br/>
              <w:t>Tiempo de tramitación de visados.</w:t>
            </w:r>
          </w:p>
        </w:tc>
        <w:tc>
          <w:tcPr>
            <w:tcW w:w="2440" w:type="dxa"/>
            <w:tcBorders>
              <w:left w:val="nil"/>
              <w:right w:val="nil"/>
            </w:tcBorders>
            <w:shd w:val="clear" w:color="000000" w:fill="FFFFFF"/>
            <w:tcMar>
              <w:top w:w="85" w:type="dxa"/>
            </w:tcMar>
            <w:hideMark/>
          </w:tcPr>
          <w:p w:rsidR="00236E18" w:rsidRPr="00073668" w:rsidRDefault="00236E18" w:rsidP="00294272">
            <w:pPr>
              <w:ind w:left="229"/>
              <w:rPr>
                <w:rFonts w:eastAsia="Times New Roman"/>
                <w:sz w:val="16"/>
                <w:szCs w:val="16"/>
              </w:rPr>
            </w:pPr>
            <w:r w:rsidRPr="00073668">
              <w:rPr>
                <w:rFonts w:eastAsia="Times New Roman"/>
                <w:sz w:val="16"/>
                <w:szCs w:val="16"/>
              </w:rPr>
              <w:t>1/2 día (2014).</w:t>
            </w:r>
          </w:p>
          <w:p w:rsidR="00236E18" w:rsidRPr="00073668" w:rsidRDefault="00236E18" w:rsidP="00294272">
            <w:pPr>
              <w:ind w:left="229"/>
              <w:rPr>
                <w:rFonts w:eastAsia="Times New Roman"/>
                <w:sz w:val="16"/>
                <w:szCs w:val="16"/>
              </w:rPr>
            </w:pPr>
          </w:p>
          <w:p w:rsidR="00236E18" w:rsidRPr="00073668" w:rsidRDefault="00236E18" w:rsidP="00294272">
            <w:pPr>
              <w:ind w:left="229"/>
              <w:rPr>
                <w:rFonts w:eastAsia="Times New Roman"/>
                <w:sz w:val="16"/>
                <w:szCs w:val="16"/>
              </w:rPr>
            </w:pPr>
            <w:r w:rsidRPr="00073668">
              <w:rPr>
                <w:rFonts w:eastAsia="Times New Roman"/>
                <w:sz w:val="16"/>
                <w:szCs w:val="16"/>
              </w:rPr>
              <w:br/>
            </w:r>
            <w:r w:rsidRPr="00073668">
              <w:rPr>
                <w:rFonts w:eastAsia="Times New Roman"/>
                <w:sz w:val="16"/>
                <w:szCs w:val="16"/>
              </w:rPr>
              <w:br/>
              <w:t>1/2 día (2014).</w:t>
            </w:r>
          </w:p>
          <w:p w:rsidR="00236E18" w:rsidRPr="00073668" w:rsidRDefault="00236E18" w:rsidP="00294272">
            <w:pPr>
              <w:ind w:left="229"/>
              <w:rPr>
                <w:rFonts w:eastAsia="Times New Roman"/>
                <w:sz w:val="16"/>
                <w:szCs w:val="16"/>
              </w:rPr>
            </w:pPr>
          </w:p>
          <w:p w:rsidR="00236E18" w:rsidRPr="00073668" w:rsidRDefault="00236E18" w:rsidP="00294272">
            <w:pPr>
              <w:ind w:left="229"/>
              <w:rPr>
                <w:rFonts w:eastAsia="Times New Roman"/>
                <w:sz w:val="16"/>
                <w:szCs w:val="16"/>
              </w:rPr>
            </w:pPr>
            <w:r w:rsidRPr="00073668">
              <w:rPr>
                <w:rFonts w:eastAsia="Times New Roman"/>
                <w:sz w:val="16"/>
                <w:szCs w:val="16"/>
              </w:rPr>
              <w:br/>
            </w:r>
            <w:r w:rsidRPr="00073668">
              <w:rPr>
                <w:rFonts w:eastAsia="Times New Roman"/>
                <w:sz w:val="16"/>
                <w:szCs w:val="16"/>
              </w:rPr>
              <w:br/>
              <w:t>Menos de 1 día (2014).</w:t>
            </w:r>
          </w:p>
        </w:tc>
        <w:tc>
          <w:tcPr>
            <w:tcW w:w="2149" w:type="dxa"/>
            <w:tcBorders>
              <w:left w:val="nil"/>
              <w:right w:val="single" w:sz="4" w:space="0" w:color="auto"/>
            </w:tcBorders>
            <w:shd w:val="clear" w:color="000000" w:fill="FFFFFF"/>
            <w:tcMar>
              <w:top w:w="85" w:type="dxa"/>
            </w:tcMar>
            <w:hideMark/>
          </w:tcPr>
          <w:p w:rsidR="00236E18" w:rsidRPr="00073668" w:rsidRDefault="00236E18" w:rsidP="00294272">
            <w:pPr>
              <w:ind w:leftChars="90" w:left="198"/>
              <w:rPr>
                <w:rFonts w:eastAsia="Times New Roman"/>
                <w:sz w:val="16"/>
                <w:szCs w:val="16"/>
              </w:rPr>
            </w:pPr>
            <w:r w:rsidRPr="00073668">
              <w:rPr>
                <w:rFonts w:eastAsia="Times New Roman"/>
                <w:sz w:val="16"/>
                <w:szCs w:val="16"/>
              </w:rPr>
              <w:t>Menos de medio día.</w:t>
            </w:r>
          </w:p>
          <w:p w:rsidR="00236E18" w:rsidRPr="00073668" w:rsidRDefault="00236E18" w:rsidP="00294272">
            <w:pPr>
              <w:ind w:leftChars="90" w:left="198"/>
              <w:rPr>
                <w:rFonts w:eastAsia="Times New Roman"/>
                <w:sz w:val="16"/>
                <w:szCs w:val="16"/>
              </w:rPr>
            </w:pPr>
            <w:r w:rsidRPr="00073668">
              <w:rPr>
                <w:rFonts w:eastAsia="Times New Roman"/>
                <w:sz w:val="16"/>
                <w:szCs w:val="16"/>
              </w:rPr>
              <w:br/>
              <w:t>Menos de medio día.</w:t>
            </w:r>
          </w:p>
          <w:p w:rsidR="00236E18" w:rsidRPr="00073668" w:rsidRDefault="00236E18" w:rsidP="00294272">
            <w:pPr>
              <w:ind w:leftChars="90" w:left="198"/>
              <w:rPr>
                <w:rFonts w:eastAsia="Times New Roman"/>
                <w:sz w:val="16"/>
                <w:szCs w:val="16"/>
              </w:rPr>
            </w:pPr>
            <w:r w:rsidRPr="00073668">
              <w:rPr>
                <w:rFonts w:eastAsia="Times New Roman"/>
                <w:sz w:val="16"/>
                <w:szCs w:val="16"/>
              </w:rPr>
              <w:br/>
              <w:t>Menos de 1 día.</w:t>
            </w:r>
          </w:p>
        </w:tc>
      </w:tr>
      <w:tr w:rsidR="00236E18" w:rsidRPr="00073668" w:rsidTr="00294272">
        <w:trPr>
          <w:trHeight w:val="223"/>
        </w:trPr>
        <w:tc>
          <w:tcPr>
            <w:tcW w:w="2320" w:type="dxa"/>
            <w:tcBorders>
              <w:top w:val="nil"/>
              <w:left w:val="single" w:sz="4" w:space="0" w:color="auto"/>
              <w:bottom w:val="single" w:sz="4" w:space="0" w:color="auto"/>
              <w:right w:val="nil"/>
            </w:tcBorders>
            <w:shd w:val="clear" w:color="000000" w:fill="FFFFFF"/>
            <w:tcMar>
              <w:top w:w="85" w:type="dxa"/>
            </w:tcMar>
            <w:hideMark/>
          </w:tcPr>
          <w:p w:rsidR="00236E18" w:rsidRPr="00073668" w:rsidRDefault="00236E18" w:rsidP="00294272">
            <w:pPr>
              <w:rPr>
                <w:rFonts w:eastAsia="Times New Roman"/>
                <w:sz w:val="16"/>
                <w:szCs w:val="16"/>
              </w:rPr>
            </w:pPr>
            <w:r w:rsidRPr="00073668">
              <w:rPr>
                <w:rFonts w:eastAsia="Times New Roman"/>
                <w:sz w:val="16"/>
                <w:szCs w:val="16"/>
              </w:rPr>
              <w:t> </w:t>
            </w:r>
          </w:p>
        </w:tc>
        <w:tc>
          <w:tcPr>
            <w:tcW w:w="2320" w:type="dxa"/>
            <w:tcBorders>
              <w:top w:val="nil"/>
              <w:left w:val="nil"/>
              <w:bottom w:val="single" w:sz="4" w:space="0" w:color="auto"/>
              <w:right w:val="nil"/>
            </w:tcBorders>
            <w:shd w:val="clear" w:color="000000" w:fill="FFFFFF"/>
            <w:tcMar>
              <w:top w:w="85" w:type="dxa"/>
            </w:tcMar>
            <w:hideMark/>
          </w:tcPr>
          <w:p w:rsidR="00236E18" w:rsidRPr="00073668" w:rsidRDefault="00236E18" w:rsidP="00294272">
            <w:pPr>
              <w:ind w:left="-3"/>
              <w:rPr>
                <w:rFonts w:eastAsia="Times New Roman"/>
                <w:sz w:val="16"/>
                <w:szCs w:val="16"/>
              </w:rPr>
            </w:pPr>
            <w:r w:rsidRPr="0044351D">
              <w:rPr>
                <w:rFonts w:eastAsia="Times New Roman"/>
                <w:sz w:val="16"/>
                <w:szCs w:val="16"/>
              </w:rPr>
              <w:t>Precio</w:t>
            </w:r>
            <w:r>
              <w:rPr>
                <w:color w:val="000000"/>
                <w:sz w:val="16"/>
                <w:szCs w:val="16"/>
              </w:rPr>
              <w:t xml:space="preserve"> medio general del billete </w:t>
            </w:r>
            <w:r w:rsidRPr="006F02B8">
              <w:rPr>
                <w:color w:val="000000"/>
                <w:sz w:val="16"/>
                <w:szCs w:val="16"/>
              </w:rPr>
              <w:t>de la empresa de gestión de viajes.</w:t>
            </w:r>
            <w:r w:rsidRPr="00073668">
              <w:rPr>
                <w:rFonts w:eastAsia="Times New Roman"/>
                <w:sz w:val="16"/>
                <w:szCs w:val="16"/>
              </w:rPr>
              <w:br/>
            </w:r>
            <w:r w:rsidRPr="00073668">
              <w:rPr>
                <w:rFonts w:eastAsia="Times New Roman"/>
                <w:sz w:val="16"/>
                <w:szCs w:val="16"/>
              </w:rPr>
              <w:br/>
            </w:r>
            <w:r>
              <w:rPr>
                <w:color w:val="000000"/>
                <w:sz w:val="16"/>
                <w:szCs w:val="16"/>
              </w:rPr>
              <w:t>Precio medio general</w:t>
            </w:r>
            <w:r w:rsidRPr="006F02B8">
              <w:rPr>
                <w:color w:val="000000"/>
                <w:sz w:val="16"/>
                <w:szCs w:val="16"/>
              </w:rPr>
              <w:t xml:space="preserve"> del billete.</w:t>
            </w:r>
            <w:r w:rsidRPr="00073668">
              <w:rPr>
                <w:rFonts w:eastAsia="Times New Roman"/>
                <w:sz w:val="16"/>
                <w:szCs w:val="16"/>
              </w:rPr>
              <w:br/>
            </w:r>
            <w:r w:rsidRPr="00073668">
              <w:rPr>
                <w:rFonts w:eastAsia="Times New Roman"/>
                <w:sz w:val="16"/>
                <w:szCs w:val="16"/>
              </w:rPr>
              <w:br/>
              <w:t>Promedio de las tasas de servicio.</w:t>
            </w:r>
          </w:p>
        </w:tc>
        <w:tc>
          <w:tcPr>
            <w:tcW w:w="2440" w:type="dxa"/>
            <w:tcBorders>
              <w:top w:val="nil"/>
              <w:left w:val="nil"/>
              <w:bottom w:val="single" w:sz="4" w:space="0" w:color="auto"/>
              <w:right w:val="nil"/>
            </w:tcBorders>
            <w:shd w:val="clear" w:color="000000" w:fill="FFFFFF"/>
            <w:tcMar>
              <w:top w:w="85" w:type="dxa"/>
            </w:tcMar>
            <w:hideMark/>
          </w:tcPr>
          <w:p w:rsidR="00236E18" w:rsidRPr="00A76B33" w:rsidRDefault="00236E18" w:rsidP="00294272">
            <w:pPr>
              <w:ind w:left="229"/>
              <w:rPr>
                <w:rFonts w:eastAsia="Times New Roman"/>
                <w:sz w:val="16"/>
                <w:szCs w:val="16"/>
              </w:rPr>
            </w:pPr>
            <w:r w:rsidRPr="00A76B33">
              <w:rPr>
                <w:rFonts w:eastAsia="Times New Roman"/>
                <w:sz w:val="16"/>
                <w:szCs w:val="16"/>
              </w:rPr>
              <w:t>1.850 francos suizos (dic. 2014).</w:t>
            </w:r>
          </w:p>
          <w:p w:rsidR="00236E18" w:rsidRPr="00A76B33" w:rsidRDefault="00236E18" w:rsidP="00294272">
            <w:pPr>
              <w:ind w:left="229"/>
              <w:rPr>
                <w:rFonts w:eastAsia="Times New Roman"/>
                <w:sz w:val="16"/>
                <w:szCs w:val="16"/>
              </w:rPr>
            </w:pPr>
            <w:r w:rsidRPr="00A76B33">
              <w:rPr>
                <w:rFonts w:eastAsia="Times New Roman"/>
                <w:sz w:val="16"/>
                <w:szCs w:val="16"/>
              </w:rPr>
              <w:br/>
            </w:r>
            <w:r w:rsidRPr="00A76B33">
              <w:rPr>
                <w:rFonts w:eastAsia="Times New Roman"/>
                <w:sz w:val="16"/>
                <w:szCs w:val="16"/>
              </w:rPr>
              <w:br/>
            </w:r>
          </w:p>
          <w:p w:rsidR="00236E18" w:rsidRPr="00A76B33" w:rsidRDefault="00236E18" w:rsidP="00294272">
            <w:pPr>
              <w:ind w:left="229"/>
              <w:rPr>
                <w:rFonts w:eastAsia="Times New Roman"/>
                <w:sz w:val="16"/>
                <w:szCs w:val="16"/>
              </w:rPr>
            </w:pPr>
            <w:r w:rsidRPr="00A76B33">
              <w:rPr>
                <w:rFonts w:eastAsia="Times New Roman"/>
                <w:sz w:val="16"/>
                <w:szCs w:val="16"/>
              </w:rPr>
              <w:t>1.600 francos suizos (dic. 2014).</w:t>
            </w:r>
          </w:p>
          <w:p w:rsidR="00236E18" w:rsidRPr="00A76B33" w:rsidRDefault="00236E18" w:rsidP="00294272">
            <w:pPr>
              <w:ind w:left="229"/>
              <w:rPr>
                <w:rFonts w:eastAsia="Times New Roman"/>
                <w:sz w:val="16"/>
                <w:szCs w:val="16"/>
              </w:rPr>
            </w:pPr>
          </w:p>
          <w:p w:rsidR="00236E18" w:rsidRPr="00A76B33" w:rsidRDefault="00236E18" w:rsidP="00294272">
            <w:pPr>
              <w:ind w:left="229"/>
              <w:rPr>
                <w:rFonts w:eastAsia="Times New Roman"/>
                <w:sz w:val="16"/>
                <w:szCs w:val="16"/>
              </w:rPr>
            </w:pPr>
          </w:p>
          <w:p w:rsidR="00236E18" w:rsidRPr="0051477B" w:rsidRDefault="00236E18" w:rsidP="00294272">
            <w:pPr>
              <w:ind w:left="229"/>
              <w:rPr>
                <w:rFonts w:eastAsia="Times New Roman"/>
                <w:sz w:val="16"/>
                <w:szCs w:val="16"/>
                <w:lang w:val="en-US"/>
              </w:rPr>
            </w:pPr>
            <w:r w:rsidRPr="0051477B">
              <w:rPr>
                <w:rFonts w:eastAsia="Times New Roman"/>
                <w:sz w:val="16"/>
                <w:szCs w:val="16"/>
                <w:lang w:val="en-US"/>
              </w:rPr>
              <w:t xml:space="preserve">118 </w:t>
            </w:r>
            <w:proofErr w:type="spellStart"/>
            <w:r>
              <w:rPr>
                <w:rFonts w:eastAsia="Times New Roman"/>
                <w:sz w:val="16"/>
                <w:szCs w:val="16"/>
                <w:lang w:val="en-US"/>
              </w:rPr>
              <w:t>francos</w:t>
            </w:r>
            <w:proofErr w:type="spellEnd"/>
            <w:r>
              <w:rPr>
                <w:rFonts w:eastAsia="Times New Roman"/>
                <w:sz w:val="16"/>
                <w:szCs w:val="16"/>
                <w:lang w:val="en-US"/>
              </w:rPr>
              <w:t xml:space="preserve"> </w:t>
            </w:r>
            <w:proofErr w:type="spellStart"/>
            <w:r>
              <w:rPr>
                <w:rFonts w:eastAsia="Times New Roman"/>
                <w:sz w:val="16"/>
                <w:szCs w:val="16"/>
                <w:lang w:val="en-US"/>
              </w:rPr>
              <w:t>suizos</w:t>
            </w:r>
            <w:proofErr w:type="spellEnd"/>
            <w:r w:rsidRPr="0051477B">
              <w:rPr>
                <w:rFonts w:eastAsia="Times New Roman"/>
                <w:sz w:val="16"/>
                <w:szCs w:val="16"/>
                <w:lang w:val="en-US"/>
              </w:rPr>
              <w:t xml:space="preserve"> (final de 2014).</w:t>
            </w:r>
          </w:p>
        </w:tc>
        <w:tc>
          <w:tcPr>
            <w:tcW w:w="2149" w:type="dxa"/>
            <w:tcBorders>
              <w:top w:val="nil"/>
              <w:left w:val="nil"/>
              <w:bottom w:val="single" w:sz="4" w:space="0" w:color="auto"/>
              <w:right w:val="single" w:sz="4" w:space="0" w:color="auto"/>
            </w:tcBorders>
            <w:shd w:val="clear" w:color="000000" w:fill="FFFFFF"/>
            <w:tcMar>
              <w:top w:w="85" w:type="dxa"/>
            </w:tcMar>
            <w:hideMark/>
          </w:tcPr>
          <w:p w:rsidR="00236E18" w:rsidRPr="00073668" w:rsidRDefault="00236E18" w:rsidP="00294272">
            <w:pPr>
              <w:ind w:left="198"/>
              <w:rPr>
                <w:rFonts w:eastAsia="Times New Roman"/>
                <w:sz w:val="16"/>
                <w:szCs w:val="16"/>
              </w:rPr>
            </w:pPr>
            <w:r w:rsidRPr="00073668">
              <w:rPr>
                <w:rFonts w:eastAsia="Times New Roman"/>
                <w:sz w:val="16"/>
                <w:szCs w:val="16"/>
              </w:rPr>
              <w:t xml:space="preserve">≤ 1.850 </w:t>
            </w:r>
            <w:r>
              <w:rPr>
                <w:rFonts w:eastAsia="Times New Roman"/>
                <w:sz w:val="16"/>
                <w:szCs w:val="16"/>
              </w:rPr>
              <w:t>francos suizos</w:t>
            </w:r>
            <w:r w:rsidRPr="00073668">
              <w:rPr>
                <w:rFonts w:eastAsia="Times New Roman"/>
                <w:sz w:val="16"/>
                <w:szCs w:val="16"/>
              </w:rPr>
              <w:br/>
            </w:r>
            <w:r w:rsidRPr="00073668">
              <w:rPr>
                <w:rFonts w:eastAsia="Times New Roman"/>
                <w:sz w:val="16"/>
                <w:szCs w:val="16"/>
              </w:rPr>
              <w:br/>
            </w:r>
          </w:p>
          <w:p w:rsidR="00236E18" w:rsidRPr="00073668" w:rsidRDefault="00236E18" w:rsidP="00294272">
            <w:pPr>
              <w:ind w:left="198"/>
              <w:rPr>
                <w:rFonts w:eastAsia="Times New Roman"/>
                <w:sz w:val="16"/>
                <w:szCs w:val="16"/>
              </w:rPr>
            </w:pPr>
          </w:p>
          <w:p w:rsidR="00236E18" w:rsidRPr="00073668" w:rsidRDefault="00236E18" w:rsidP="00294272">
            <w:pPr>
              <w:ind w:left="198"/>
              <w:rPr>
                <w:rFonts w:eastAsia="Times New Roman"/>
                <w:sz w:val="16"/>
                <w:szCs w:val="16"/>
              </w:rPr>
            </w:pPr>
            <w:r w:rsidRPr="00073668">
              <w:rPr>
                <w:rFonts w:eastAsia="Times New Roman"/>
                <w:sz w:val="16"/>
                <w:szCs w:val="16"/>
              </w:rPr>
              <w:t xml:space="preserve">≤ 1.600 </w:t>
            </w:r>
            <w:r>
              <w:rPr>
                <w:rFonts w:eastAsia="Times New Roman"/>
                <w:sz w:val="16"/>
                <w:szCs w:val="16"/>
              </w:rPr>
              <w:t>francos suizos</w:t>
            </w:r>
            <w:r w:rsidRPr="00073668">
              <w:rPr>
                <w:rFonts w:eastAsia="Times New Roman"/>
                <w:sz w:val="16"/>
                <w:szCs w:val="16"/>
              </w:rPr>
              <w:t xml:space="preserve"> </w:t>
            </w:r>
            <w:r w:rsidRPr="00073668">
              <w:rPr>
                <w:rFonts w:eastAsia="Times New Roman"/>
                <w:sz w:val="16"/>
                <w:szCs w:val="16"/>
              </w:rPr>
              <w:br/>
            </w:r>
          </w:p>
          <w:p w:rsidR="00236E18" w:rsidRPr="00073668" w:rsidRDefault="00236E18" w:rsidP="00294272">
            <w:pPr>
              <w:ind w:left="198"/>
              <w:rPr>
                <w:rFonts w:eastAsia="Times New Roman"/>
                <w:sz w:val="16"/>
                <w:szCs w:val="16"/>
              </w:rPr>
            </w:pPr>
            <w:r w:rsidRPr="00073668">
              <w:rPr>
                <w:rFonts w:eastAsia="Times New Roman"/>
                <w:sz w:val="16"/>
                <w:szCs w:val="16"/>
              </w:rPr>
              <w:t xml:space="preserve">&lt; 100 </w:t>
            </w:r>
            <w:r>
              <w:rPr>
                <w:rFonts w:eastAsia="Times New Roman"/>
                <w:sz w:val="16"/>
                <w:szCs w:val="16"/>
              </w:rPr>
              <w:t>francos suizos</w:t>
            </w:r>
          </w:p>
        </w:tc>
      </w:tr>
      <w:tr w:rsidR="00236E18" w:rsidRPr="00073668" w:rsidTr="00294272">
        <w:trPr>
          <w:trHeight w:val="2183"/>
        </w:trPr>
        <w:tc>
          <w:tcPr>
            <w:tcW w:w="2320" w:type="dxa"/>
            <w:tcBorders>
              <w:top w:val="single" w:sz="4" w:space="0" w:color="auto"/>
              <w:left w:val="single" w:sz="4" w:space="0" w:color="auto"/>
              <w:right w:val="nil"/>
            </w:tcBorders>
            <w:shd w:val="clear" w:color="000000" w:fill="FFFFFF"/>
            <w:tcMar>
              <w:top w:w="85" w:type="dxa"/>
            </w:tcMar>
            <w:hideMark/>
          </w:tcPr>
          <w:p w:rsidR="00236E18" w:rsidRPr="00073668" w:rsidRDefault="00236E18" w:rsidP="00294272">
            <w:pPr>
              <w:rPr>
                <w:rFonts w:eastAsia="Times New Roman"/>
                <w:sz w:val="16"/>
                <w:szCs w:val="16"/>
              </w:rPr>
            </w:pPr>
            <w:r w:rsidRPr="00073668">
              <w:rPr>
                <w:rFonts w:eastAsia="Times New Roman"/>
                <w:sz w:val="16"/>
                <w:szCs w:val="16"/>
              </w:rPr>
              <w:lastRenderedPageBreak/>
              <w:t> </w:t>
            </w:r>
          </w:p>
        </w:tc>
        <w:tc>
          <w:tcPr>
            <w:tcW w:w="2320" w:type="dxa"/>
            <w:tcBorders>
              <w:top w:val="single" w:sz="4" w:space="0" w:color="auto"/>
              <w:left w:val="nil"/>
              <w:right w:val="nil"/>
            </w:tcBorders>
            <w:shd w:val="clear" w:color="000000" w:fill="FFFFFF"/>
            <w:tcMar>
              <w:top w:w="85" w:type="dxa"/>
            </w:tcMar>
            <w:hideMark/>
          </w:tcPr>
          <w:p w:rsidR="00236E18" w:rsidRPr="00073668" w:rsidRDefault="00236E18" w:rsidP="00294272">
            <w:pPr>
              <w:ind w:left="-3"/>
              <w:rPr>
                <w:rFonts w:eastAsia="Times New Roman"/>
                <w:sz w:val="16"/>
                <w:szCs w:val="16"/>
              </w:rPr>
            </w:pPr>
            <w:r w:rsidRPr="00073668">
              <w:rPr>
                <w:rFonts w:eastAsia="Times New Roman"/>
                <w:sz w:val="16"/>
                <w:szCs w:val="16"/>
              </w:rPr>
              <w:t xml:space="preserve">Los locales y las </w:t>
            </w:r>
            <w:r w:rsidRPr="0044351D">
              <w:rPr>
                <w:color w:val="000000"/>
                <w:sz w:val="16"/>
                <w:szCs w:val="16"/>
              </w:rPr>
              <w:t>instalaciones</w:t>
            </w:r>
            <w:r w:rsidRPr="00073668">
              <w:rPr>
                <w:rFonts w:eastAsia="Times New Roman"/>
                <w:sz w:val="16"/>
                <w:szCs w:val="16"/>
              </w:rPr>
              <w:t xml:space="preserve"> de la OMPI siguen sirviendo a los fines establecidos.</w:t>
            </w:r>
          </w:p>
        </w:tc>
        <w:tc>
          <w:tcPr>
            <w:tcW w:w="2440" w:type="dxa"/>
            <w:tcBorders>
              <w:top w:val="single" w:sz="4" w:space="0" w:color="auto"/>
              <w:left w:val="nil"/>
              <w:right w:val="nil"/>
            </w:tcBorders>
            <w:shd w:val="clear" w:color="000000" w:fill="FFFFFF"/>
            <w:tcMar>
              <w:top w:w="85" w:type="dxa"/>
            </w:tcMar>
            <w:hideMark/>
          </w:tcPr>
          <w:p w:rsidR="00236E18" w:rsidRPr="00073668" w:rsidRDefault="00236E18" w:rsidP="00294272">
            <w:pPr>
              <w:ind w:left="229"/>
              <w:rPr>
                <w:rFonts w:eastAsia="Times New Roman"/>
                <w:sz w:val="16"/>
                <w:szCs w:val="16"/>
              </w:rPr>
            </w:pPr>
            <w:r w:rsidRPr="00073668">
              <w:rPr>
                <w:rFonts w:eastAsia="Times New Roman"/>
                <w:sz w:val="16"/>
                <w:szCs w:val="16"/>
              </w:rPr>
              <w:t xml:space="preserve">El funcionamiento de las instalaciones técnicas (electricidad, agua, calefacción, refrigeración, ventilación) queda interrumpido y </w:t>
            </w:r>
            <w:proofErr w:type="gramStart"/>
            <w:r w:rsidRPr="00073668">
              <w:rPr>
                <w:rFonts w:eastAsia="Times New Roman"/>
                <w:sz w:val="16"/>
                <w:szCs w:val="16"/>
              </w:rPr>
              <w:t>afecta</w:t>
            </w:r>
            <w:proofErr w:type="gramEnd"/>
            <w:r w:rsidRPr="00073668">
              <w:rPr>
                <w:rFonts w:eastAsia="Times New Roman"/>
                <w:sz w:val="16"/>
                <w:szCs w:val="16"/>
              </w:rPr>
              <w:t xml:space="preserve"> a las principales actividades de la OMPI un día de trabajo al año como máximo.</w:t>
            </w:r>
          </w:p>
          <w:p w:rsidR="00236E18" w:rsidRPr="00073668" w:rsidRDefault="00236E18" w:rsidP="00294272">
            <w:pPr>
              <w:ind w:left="229"/>
              <w:rPr>
                <w:rFonts w:eastAsia="Times New Roman"/>
                <w:sz w:val="16"/>
                <w:szCs w:val="16"/>
              </w:rPr>
            </w:pPr>
          </w:p>
        </w:tc>
        <w:tc>
          <w:tcPr>
            <w:tcW w:w="2149" w:type="dxa"/>
            <w:tcBorders>
              <w:top w:val="single" w:sz="4" w:space="0" w:color="auto"/>
              <w:left w:val="nil"/>
              <w:right w:val="single" w:sz="4" w:space="0" w:color="auto"/>
            </w:tcBorders>
            <w:shd w:val="clear" w:color="000000" w:fill="FFFFFF"/>
            <w:tcMar>
              <w:top w:w="85" w:type="dxa"/>
            </w:tcMar>
            <w:hideMark/>
          </w:tcPr>
          <w:p w:rsidR="00236E18" w:rsidRPr="00073668" w:rsidRDefault="00236E18" w:rsidP="00294272">
            <w:pPr>
              <w:ind w:leftChars="90" w:left="198"/>
              <w:rPr>
                <w:rFonts w:eastAsia="Times New Roman"/>
                <w:sz w:val="16"/>
                <w:szCs w:val="16"/>
              </w:rPr>
            </w:pPr>
            <w:r w:rsidRPr="00073668">
              <w:rPr>
                <w:rFonts w:eastAsia="Times New Roman"/>
                <w:sz w:val="16"/>
                <w:szCs w:val="16"/>
              </w:rPr>
              <w:t>El funcionamiento de las instalaciones técnicas (electricidad, agua, calefacción, refrigeración, ventilación) sigue quedando interrumpido y afectando a las principales actividades de la OMPI un día de trabajo al año como máximo.</w:t>
            </w:r>
          </w:p>
        </w:tc>
      </w:tr>
      <w:tr w:rsidR="00236E18" w:rsidRPr="00073668" w:rsidTr="00294272">
        <w:trPr>
          <w:trHeight w:val="917"/>
        </w:trPr>
        <w:tc>
          <w:tcPr>
            <w:tcW w:w="2320" w:type="dxa"/>
            <w:tcBorders>
              <w:left w:val="single" w:sz="4" w:space="0" w:color="auto"/>
              <w:right w:val="nil"/>
            </w:tcBorders>
            <w:shd w:val="clear" w:color="000000" w:fill="FFFFFF"/>
            <w:tcMar>
              <w:top w:w="85" w:type="dxa"/>
            </w:tcMar>
            <w:hideMark/>
          </w:tcPr>
          <w:p w:rsidR="00236E18" w:rsidRPr="00073668" w:rsidRDefault="00236E18" w:rsidP="00294272">
            <w:pPr>
              <w:rPr>
                <w:rFonts w:eastAsia="Times New Roman"/>
                <w:sz w:val="16"/>
                <w:szCs w:val="16"/>
              </w:rPr>
            </w:pPr>
            <w:r w:rsidRPr="00073668">
              <w:rPr>
                <w:rFonts w:eastAsia="Times New Roman"/>
                <w:sz w:val="16"/>
                <w:szCs w:val="16"/>
              </w:rPr>
              <w:t> </w:t>
            </w:r>
          </w:p>
        </w:tc>
        <w:tc>
          <w:tcPr>
            <w:tcW w:w="2320" w:type="dxa"/>
            <w:tcBorders>
              <w:left w:val="nil"/>
              <w:right w:val="nil"/>
            </w:tcBorders>
            <w:shd w:val="clear" w:color="000000" w:fill="FFFFFF"/>
            <w:tcMar>
              <w:top w:w="85" w:type="dxa"/>
            </w:tcMar>
            <w:hideMark/>
          </w:tcPr>
          <w:p w:rsidR="00236E18" w:rsidRPr="00073668" w:rsidRDefault="00236E18" w:rsidP="00294272">
            <w:pPr>
              <w:ind w:left="-3"/>
              <w:rPr>
                <w:rFonts w:eastAsia="Times New Roman"/>
                <w:sz w:val="16"/>
                <w:szCs w:val="16"/>
              </w:rPr>
            </w:pPr>
            <w:r w:rsidRPr="00073668">
              <w:rPr>
                <w:rFonts w:eastAsia="Times New Roman"/>
                <w:sz w:val="16"/>
                <w:szCs w:val="16"/>
              </w:rPr>
              <w:t xml:space="preserve">Utilización y ocupación </w:t>
            </w:r>
            <w:r w:rsidRPr="0044351D">
              <w:rPr>
                <w:color w:val="000000"/>
                <w:sz w:val="16"/>
                <w:szCs w:val="16"/>
              </w:rPr>
              <w:t>óptimas</w:t>
            </w:r>
            <w:r w:rsidRPr="00073668">
              <w:rPr>
                <w:rFonts w:eastAsia="Times New Roman"/>
                <w:sz w:val="16"/>
                <w:szCs w:val="16"/>
              </w:rPr>
              <w:t xml:space="preserve"> de los locales y todos los tipos de espacios de la OMPI.</w:t>
            </w:r>
          </w:p>
        </w:tc>
        <w:tc>
          <w:tcPr>
            <w:tcW w:w="2440" w:type="dxa"/>
            <w:tcBorders>
              <w:left w:val="nil"/>
              <w:right w:val="nil"/>
            </w:tcBorders>
            <w:shd w:val="clear" w:color="000000" w:fill="FFFFFF"/>
            <w:tcMar>
              <w:top w:w="85" w:type="dxa"/>
            </w:tcMar>
            <w:hideMark/>
          </w:tcPr>
          <w:p w:rsidR="00236E18" w:rsidRPr="00073668" w:rsidRDefault="00236E18" w:rsidP="00294272">
            <w:pPr>
              <w:ind w:left="229"/>
              <w:rPr>
                <w:rFonts w:eastAsia="Times New Roman"/>
                <w:sz w:val="16"/>
                <w:szCs w:val="16"/>
              </w:rPr>
            </w:pPr>
            <w:r w:rsidRPr="00073668">
              <w:rPr>
                <w:rFonts w:eastAsia="Times New Roman"/>
                <w:sz w:val="16"/>
                <w:szCs w:val="16"/>
              </w:rPr>
              <w:t>80 espacios de trabajo alquilados, 5 áreas de almacenamiento y archivo fuera del recinto.</w:t>
            </w:r>
          </w:p>
        </w:tc>
        <w:tc>
          <w:tcPr>
            <w:tcW w:w="2149" w:type="dxa"/>
            <w:tcBorders>
              <w:left w:val="nil"/>
              <w:right w:val="single" w:sz="4" w:space="0" w:color="auto"/>
            </w:tcBorders>
            <w:shd w:val="clear" w:color="000000" w:fill="FFFFFF"/>
            <w:tcMar>
              <w:top w:w="85" w:type="dxa"/>
            </w:tcMar>
            <w:hideMark/>
          </w:tcPr>
          <w:p w:rsidR="00236E18" w:rsidRPr="00073668" w:rsidRDefault="00236E18" w:rsidP="00294272">
            <w:pPr>
              <w:ind w:left="198"/>
              <w:rPr>
                <w:rFonts w:eastAsia="Times New Roman"/>
                <w:sz w:val="16"/>
                <w:szCs w:val="16"/>
              </w:rPr>
            </w:pPr>
            <w:r w:rsidRPr="00073668">
              <w:rPr>
                <w:rFonts w:eastAsia="Times New Roman"/>
                <w:sz w:val="16"/>
                <w:szCs w:val="16"/>
              </w:rPr>
              <w:t>Se mantienen 80 espacios de trabajo alquilados y 5 áreas de almacenamiento y archivo fuera del recinto.</w:t>
            </w:r>
          </w:p>
        </w:tc>
      </w:tr>
      <w:tr w:rsidR="00236E18" w:rsidRPr="00073668" w:rsidTr="00294272">
        <w:trPr>
          <w:trHeight w:val="2461"/>
        </w:trPr>
        <w:tc>
          <w:tcPr>
            <w:tcW w:w="2320" w:type="dxa"/>
            <w:tcBorders>
              <w:left w:val="single" w:sz="4" w:space="0" w:color="auto"/>
              <w:right w:val="nil"/>
            </w:tcBorders>
            <w:shd w:val="clear" w:color="000000" w:fill="FFFFFF"/>
            <w:tcMar>
              <w:top w:w="85" w:type="dxa"/>
            </w:tcMar>
            <w:hideMark/>
          </w:tcPr>
          <w:p w:rsidR="00236E18" w:rsidRDefault="00236E18" w:rsidP="00294272">
            <w:pPr>
              <w:rPr>
                <w:rFonts w:eastAsia="Times New Roman"/>
                <w:sz w:val="16"/>
                <w:szCs w:val="16"/>
              </w:rPr>
            </w:pPr>
          </w:p>
          <w:p w:rsidR="00236E18" w:rsidRDefault="00236E18" w:rsidP="00294272">
            <w:pPr>
              <w:rPr>
                <w:rFonts w:eastAsia="Times New Roman"/>
                <w:sz w:val="16"/>
                <w:szCs w:val="16"/>
              </w:rPr>
            </w:pPr>
          </w:p>
          <w:p w:rsidR="00236E18" w:rsidRDefault="00236E18" w:rsidP="00294272">
            <w:pPr>
              <w:rPr>
                <w:rFonts w:eastAsia="Times New Roman"/>
                <w:sz w:val="16"/>
                <w:szCs w:val="16"/>
              </w:rPr>
            </w:pPr>
          </w:p>
          <w:p w:rsidR="00236E18" w:rsidRDefault="00236E18" w:rsidP="00294272">
            <w:pPr>
              <w:rPr>
                <w:rFonts w:eastAsia="Times New Roman"/>
                <w:sz w:val="16"/>
                <w:szCs w:val="16"/>
              </w:rPr>
            </w:pPr>
          </w:p>
          <w:p w:rsidR="00236E18" w:rsidRDefault="00236E18" w:rsidP="00294272">
            <w:pPr>
              <w:rPr>
                <w:rFonts w:eastAsia="Times New Roman"/>
                <w:sz w:val="16"/>
                <w:szCs w:val="16"/>
              </w:rPr>
            </w:pPr>
          </w:p>
          <w:p w:rsidR="00236E18" w:rsidRDefault="00236E18" w:rsidP="00294272">
            <w:pPr>
              <w:rPr>
                <w:rFonts w:eastAsia="Times New Roman"/>
                <w:sz w:val="16"/>
                <w:szCs w:val="16"/>
              </w:rPr>
            </w:pPr>
          </w:p>
          <w:p w:rsidR="00236E18" w:rsidRDefault="00236E18" w:rsidP="00294272">
            <w:pPr>
              <w:rPr>
                <w:rFonts w:eastAsia="Times New Roman"/>
                <w:sz w:val="16"/>
                <w:szCs w:val="16"/>
              </w:rPr>
            </w:pPr>
          </w:p>
          <w:p w:rsidR="00236E18" w:rsidRDefault="00236E18" w:rsidP="00294272">
            <w:pPr>
              <w:rPr>
                <w:rFonts w:eastAsia="Times New Roman"/>
                <w:sz w:val="16"/>
                <w:szCs w:val="16"/>
              </w:rPr>
            </w:pPr>
          </w:p>
          <w:p w:rsidR="00236E18" w:rsidRDefault="00236E18" w:rsidP="00294272">
            <w:pPr>
              <w:rPr>
                <w:rFonts w:eastAsia="Times New Roman"/>
                <w:sz w:val="16"/>
                <w:szCs w:val="16"/>
              </w:rPr>
            </w:pPr>
          </w:p>
          <w:p w:rsidR="00236E18" w:rsidRPr="00073668" w:rsidRDefault="00236E18" w:rsidP="00294272">
            <w:pPr>
              <w:rPr>
                <w:rFonts w:eastAsia="Times New Roman"/>
                <w:sz w:val="16"/>
                <w:szCs w:val="16"/>
              </w:rPr>
            </w:pPr>
            <w:r w:rsidRPr="00073668">
              <w:rPr>
                <w:rFonts w:eastAsia="Times New Roman"/>
                <w:sz w:val="16"/>
                <w:szCs w:val="16"/>
              </w:rPr>
              <w:t xml:space="preserve">IX.4.  </w:t>
            </w:r>
            <w:r w:rsidRPr="0044351D">
              <w:rPr>
                <w:sz w:val="16"/>
                <w:szCs w:val="16"/>
                <w:lang w:val="es-ES_tradnl"/>
              </w:rPr>
              <w:t>Una Organización responsable con el medio ambiente y la sociedad en la que se garantiza la seguridad del personal de la OMPI, los delegados, los visitantes, la información y los activos físicos</w:t>
            </w:r>
          </w:p>
        </w:tc>
        <w:tc>
          <w:tcPr>
            <w:tcW w:w="2320" w:type="dxa"/>
            <w:tcBorders>
              <w:left w:val="nil"/>
              <w:right w:val="nil"/>
            </w:tcBorders>
            <w:shd w:val="clear" w:color="000000" w:fill="FFFFFF"/>
            <w:tcMar>
              <w:top w:w="85" w:type="dxa"/>
            </w:tcMar>
            <w:hideMark/>
          </w:tcPr>
          <w:p w:rsidR="00236E18" w:rsidRPr="00984EFC" w:rsidRDefault="00236E18" w:rsidP="00294272">
            <w:pPr>
              <w:ind w:left="-3"/>
              <w:rPr>
                <w:rFonts w:eastAsia="Times New Roman"/>
                <w:sz w:val="16"/>
                <w:szCs w:val="16"/>
                <w:lang w:val="es-ES_tradnl"/>
              </w:rPr>
            </w:pPr>
            <w:r w:rsidRPr="00006363">
              <w:rPr>
                <w:rFonts w:eastAsia="Times New Roman"/>
                <w:sz w:val="16"/>
                <w:szCs w:val="16"/>
              </w:rPr>
              <w:t xml:space="preserve">Porcentaje de artículos de elevado valor (ej. &gt;5.000 </w:t>
            </w:r>
            <w:r>
              <w:rPr>
                <w:rFonts w:eastAsia="Times New Roman"/>
                <w:sz w:val="16"/>
                <w:szCs w:val="16"/>
              </w:rPr>
              <w:t>francos suizos</w:t>
            </w:r>
            <w:r w:rsidRPr="00006363">
              <w:rPr>
                <w:rFonts w:eastAsia="Times New Roman"/>
                <w:sz w:val="16"/>
                <w:szCs w:val="16"/>
              </w:rPr>
              <w:t>) inventariados</w:t>
            </w:r>
            <w:r>
              <w:rPr>
                <w:sz w:val="16"/>
                <w:szCs w:val="16"/>
              </w:rPr>
              <w:t>.</w:t>
            </w:r>
          </w:p>
          <w:p w:rsidR="00236E18" w:rsidRPr="00984EFC" w:rsidRDefault="00236E18" w:rsidP="00294272">
            <w:pPr>
              <w:ind w:left="281"/>
              <w:rPr>
                <w:rFonts w:eastAsia="Times New Roman"/>
                <w:sz w:val="16"/>
                <w:szCs w:val="16"/>
                <w:lang w:val="es-ES_tradnl"/>
              </w:rPr>
            </w:pPr>
          </w:p>
          <w:p w:rsidR="00236E18" w:rsidRPr="00984EFC" w:rsidRDefault="00236E18" w:rsidP="00294272">
            <w:pPr>
              <w:ind w:left="-3"/>
              <w:rPr>
                <w:rFonts w:eastAsia="Times New Roman"/>
                <w:sz w:val="16"/>
                <w:szCs w:val="16"/>
                <w:lang w:val="es-ES_tradnl"/>
              </w:rPr>
            </w:pPr>
            <w:r w:rsidRPr="00006363">
              <w:rPr>
                <w:rFonts w:eastAsia="Times New Roman"/>
                <w:sz w:val="16"/>
                <w:szCs w:val="16"/>
              </w:rPr>
              <w:t>Porc</w:t>
            </w:r>
            <w:r>
              <w:rPr>
                <w:rFonts w:eastAsia="Times New Roman"/>
                <w:sz w:val="16"/>
                <w:szCs w:val="16"/>
              </w:rPr>
              <w:t>entaje de artículos de valor (1.</w:t>
            </w:r>
            <w:r w:rsidRPr="00006363">
              <w:rPr>
                <w:rFonts w:eastAsia="Times New Roman"/>
                <w:sz w:val="16"/>
                <w:szCs w:val="16"/>
              </w:rPr>
              <w:t>000-5</w:t>
            </w:r>
            <w:r>
              <w:rPr>
                <w:rFonts w:eastAsia="Times New Roman"/>
                <w:sz w:val="16"/>
                <w:szCs w:val="16"/>
              </w:rPr>
              <w:t>.</w:t>
            </w:r>
            <w:r w:rsidRPr="00006363">
              <w:rPr>
                <w:rFonts w:eastAsia="Times New Roman"/>
                <w:sz w:val="16"/>
                <w:szCs w:val="16"/>
              </w:rPr>
              <w:t xml:space="preserve">000 </w:t>
            </w:r>
            <w:r>
              <w:rPr>
                <w:rFonts w:eastAsia="Times New Roman"/>
                <w:sz w:val="16"/>
                <w:szCs w:val="16"/>
              </w:rPr>
              <w:t>francos suizos</w:t>
            </w:r>
            <w:r w:rsidRPr="00006363">
              <w:rPr>
                <w:rFonts w:eastAsia="Times New Roman"/>
                <w:sz w:val="16"/>
                <w:szCs w:val="16"/>
              </w:rPr>
              <w:t>), obras de arte y artículos atractivos</w:t>
            </w:r>
            <w:r>
              <w:rPr>
                <w:rFonts w:eastAsia="Times New Roman"/>
                <w:sz w:val="16"/>
                <w:szCs w:val="16"/>
              </w:rPr>
              <w:t>.</w:t>
            </w:r>
          </w:p>
          <w:p w:rsidR="00236E18" w:rsidRPr="00984EFC" w:rsidRDefault="00236E18" w:rsidP="00294272">
            <w:pPr>
              <w:rPr>
                <w:rFonts w:eastAsia="Times New Roman"/>
                <w:sz w:val="16"/>
                <w:szCs w:val="16"/>
                <w:lang w:val="es-ES_tradnl"/>
              </w:rPr>
            </w:pPr>
          </w:p>
          <w:p w:rsidR="00236E18" w:rsidRPr="00073668" w:rsidRDefault="00236E18" w:rsidP="00294272">
            <w:pPr>
              <w:ind w:left="-3"/>
              <w:rPr>
                <w:rFonts w:eastAsia="Times New Roman"/>
                <w:sz w:val="16"/>
                <w:szCs w:val="16"/>
              </w:rPr>
            </w:pPr>
            <w:r w:rsidRPr="00073668">
              <w:rPr>
                <w:rFonts w:eastAsia="Times New Roman"/>
                <w:sz w:val="16"/>
                <w:szCs w:val="16"/>
              </w:rPr>
              <w:t xml:space="preserve">Reducción de las repercusiones de las </w:t>
            </w:r>
            <w:r w:rsidRPr="0044351D">
              <w:rPr>
                <w:color w:val="000000"/>
                <w:sz w:val="16"/>
                <w:szCs w:val="16"/>
              </w:rPr>
              <w:t>actividades</w:t>
            </w:r>
            <w:r w:rsidRPr="00073668">
              <w:rPr>
                <w:rFonts w:eastAsia="Times New Roman"/>
                <w:sz w:val="16"/>
                <w:szCs w:val="16"/>
              </w:rPr>
              <w:t xml:space="preserve"> de la OMPI sobre el medio ambiente.</w:t>
            </w:r>
          </w:p>
        </w:tc>
        <w:tc>
          <w:tcPr>
            <w:tcW w:w="2440" w:type="dxa"/>
            <w:tcBorders>
              <w:left w:val="nil"/>
              <w:right w:val="nil"/>
            </w:tcBorders>
            <w:shd w:val="clear" w:color="000000" w:fill="FFFFFF"/>
            <w:tcMar>
              <w:top w:w="85" w:type="dxa"/>
            </w:tcMar>
            <w:hideMark/>
          </w:tcPr>
          <w:p w:rsidR="00236E18" w:rsidRDefault="00236E18" w:rsidP="00294272">
            <w:pPr>
              <w:ind w:left="229"/>
              <w:rPr>
                <w:rFonts w:eastAsia="Times New Roman"/>
                <w:sz w:val="16"/>
                <w:szCs w:val="16"/>
              </w:rPr>
            </w:pPr>
            <w:r>
              <w:rPr>
                <w:rFonts w:eastAsia="Times New Roman"/>
                <w:color w:val="000000"/>
                <w:sz w:val="16"/>
                <w:szCs w:val="16"/>
              </w:rPr>
              <w:t>95%</w:t>
            </w:r>
          </w:p>
          <w:p w:rsidR="00236E18" w:rsidRDefault="00236E18" w:rsidP="00294272">
            <w:pPr>
              <w:ind w:left="229"/>
              <w:rPr>
                <w:rFonts w:eastAsia="Times New Roman"/>
                <w:sz w:val="16"/>
                <w:szCs w:val="16"/>
              </w:rPr>
            </w:pPr>
          </w:p>
          <w:p w:rsidR="00236E18" w:rsidRDefault="00236E18" w:rsidP="00294272">
            <w:pPr>
              <w:ind w:left="229"/>
              <w:rPr>
                <w:rFonts w:eastAsia="Times New Roman"/>
                <w:sz w:val="16"/>
                <w:szCs w:val="16"/>
              </w:rPr>
            </w:pPr>
          </w:p>
          <w:p w:rsidR="00236E18" w:rsidRDefault="00236E18" w:rsidP="00294272">
            <w:pPr>
              <w:ind w:left="229"/>
              <w:rPr>
                <w:rFonts w:eastAsia="Times New Roman"/>
                <w:sz w:val="16"/>
                <w:szCs w:val="16"/>
              </w:rPr>
            </w:pPr>
          </w:p>
          <w:p w:rsidR="00236E18" w:rsidRDefault="00236E18" w:rsidP="00294272">
            <w:pPr>
              <w:ind w:left="229"/>
              <w:rPr>
                <w:rFonts w:eastAsia="Times New Roman"/>
                <w:sz w:val="16"/>
                <w:szCs w:val="16"/>
              </w:rPr>
            </w:pPr>
            <w:proofErr w:type="spellStart"/>
            <w:r>
              <w:rPr>
                <w:rFonts w:eastAsia="Times New Roman"/>
                <w:color w:val="000000"/>
                <w:sz w:val="16"/>
                <w:szCs w:val="16"/>
              </w:rPr>
              <w:t>n.d</w:t>
            </w:r>
            <w:proofErr w:type="spellEnd"/>
            <w:r>
              <w:rPr>
                <w:rFonts w:eastAsia="Times New Roman"/>
                <w:color w:val="000000"/>
                <w:sz w:val="16"/>
                <w:szCs w:val="16"/>
              </w:rPr>
              <w:t>.</w:t>
            </w:r>
          </w:p>
          <w:p w:rsidR="00236E18" w:rsidRDefault="00236E18" w:rsidP="00294272">
            <w:pPr>
              <w:ind w:left="229"/>
              <w:rPr>
                <w:rFonts w:eastAsia="Times New Roman"/>
                <w:sz w:val="16"/>
                <w:szCs w:val="16"/>
              </w:rPr>
            </w:pPr>
          </w:p>
          <w:p w:rsidR="00236E18" w:rsidRDefault="00236E18" w:rsidP="00294272">
            <w:pPr>
              <w:ind w:left="229"/>
              <w:rPr>
                <w:rFonts w:eastAsia="Times New Roman"/>
                <w:sz w:val="16"/>
                <w:szCs w:val="16"/>
              </w:rPr>
            </w:pPr>
          </w:p>
          <w:p w:rsidR="00236E18" w:rsidRDefault="00236E18" w:rsidP="00294272">
            <w:pPr>
              <w:ind w:left="229"/>
              <w:rPr>
                <w:rFonts w:eastAsia="Times New Roman"/>
                <w:sz w:val="16"/>
                <w:szCs w:val="16"/>
              </w:rPr>
            </w:pPr>
          </w:p>
          <w:p w:rsidR="00236E18" w:rsidRDefault="00236E18" w:rsidP="00294272">
            <w:pPr>
              <w:ind w:left="229"/>
              <w:rPr>
                <w:rFonts w:eastAsia="Times New Roman"/>
                <w:sz w:val="16"/>
                <w:szCs w:val="16"/>
              </w:rPr>
            </w:pPr>
          </w:p>
          <w:p w:rsidR="00236E18" w:rsidRPr="00073668" w:rsidRDefault="00236E18" w:rsidP="00294272">
            <w:pPr>
              <w:ind w:left="229"/>
              <w:rPr>
                <w:rFonts w:eastAsia="Times New Roman"/>
                <w:sz w:val="16"/>
                <w:szCs w:val="16"/>
              </w:rPr>
            </w:pPr>
            <w:r w:rsidRPr="00073668">
              <w:rPr>
                <w:rFonts w:eastAsia="Times New Roman"/>
                <w:sz w:val="16"/>
                <w:szCs w:val="16"/>
              </w:rPr>
              <w:t>A.  Compromiso con el marco de las NN.UU. de neutralidad climática anunciado por el Secretario General de las NN.UU. en septiembre de 2014.</w:t>
            </w:r>
          </w:p>
          <w:p w:rsidR="00236E18" w:rsidRPr="00073668" w:rsidRDefault="00236E18" w:rsidP="00294272">
            <w:pPr>
              <w:ind w:left="229"/>
              <w:rPr>
                <w:rFonts w:eastAsia="Times New Roman"/>
                <w:sz w:val="16"/>
                <w:szCs w:val="16"/>
              </w:rPr>
            </w:pPr>
            <w:r w:rsidRPr="00073668">
              <w:rPr>
                <w:rFonts w:eastAsia="Times New Roman"/>
                <w:sz w:val="16"/>
                <w:szCs w:val="16"/>
              </w:rPr>
              <w:t>B.  Compromiso con el reglamento local y del país anfitrión relativos al consumo energético.</w:t>
            </w:r>
          </w:p>
          <w:p w:rsidR="00236E18" w:rsidRPr="00073668" w:rsidRDefault="00236E18" w:rsidP="00294272">
            <w:pPr>
              <w:ind w:left="229"/>
              <w:rPr>
                <w:rFonts w:eastAsia="Times New Roman"/>
                <w:sz w:val="16"/>
                <w:szCs w:val="16"/>
              </w:rPr>
            </w:pPr>
            <w:r w:rsidRPr="00073668">
              <w:rPr>
                <w:rFonts w:eastAsia="Times New Roman"/>
                <w:sz w:val="16"/>
                <w:szCs w:val="16"/>
              </w:rPr>
              <w:t>C.  Niveles de consumo energético al final de 2015.</w:t>
            </w:r>
          </w:p>
        </w:tc>
        <w:tc>
          <w:tcPr>
            <w:tcW w:w="2149" w:type="dxa"/>
            <w:tcBorders>
              <w:left w:val="nil"/>
              <w:right w:val="single" w:sz="4" w:space="0" w:color="auto"/>
            </w:tcBorders>
            <w:shd w:val="clear" w:color="000000" w:fill="FFFFFF"/>
            <w:tcMar>
              <w:top w:w="85" w:type="dxa"/>
            </w:tcMar>
            <w:hideMark/>
          </w:tcPr>
          <w:p w:rsidR="00236E18" w:rsidRDefault="00236E18" w:rsidP="00294272">
            <w:pPr>
              <w:ind w:left="198"/>
              <w:rPr>
                <w:rFonts w:eastAsia="Times New Roman"/>
                <w:sz w:val="16"/>
                <w:szCs w:val="16"/>
              </w:rPr>
            </w:pPr>
            <w:r>
              <w:rPr>
                <w:rFonts w:eastAsia="Times New Roman"/>
                <w:color w:val="000000"/>
                <w:sz w:val="16"/>
                <w:szCs w:val="16"/>
              </w:rPr>
              <w:t>Mantenerse en 95%.</w:t>
            </w:r>
          </w:p>
          <w:p w:rsidR="00236E18" w:rsidRDefault="00236E18" w:rsidP="00294272">
            <w:pPr>
              <w:ind w:left="198"/>
              <w:rPr>
                <w:rFonts w:eastAsia="Times New Roman"/>
                <w:sz w:val="16"/>
                <w:szCs w:val="16"/>
              </w:rPr>
            </w:pPr>
          </w:p>
          <w:p w:rsidR="00236E18" w:rsidRDefault="00236E18" w:rsidP="00294272">
            <w:pPr>
              <w:ind w:left="198"/>
              <w:rPr>
                <w:rFonts w:eastAsia="Times New Roman"/>
                <w:sz w:val="16"/>
                <w:szCs w:val="16"/>
              </w:rPr>
            </w:pPr>
          </w:p>
          <w:p w:rsidR="00236E18" w:rsidRDefault="00236E18" w:rsidP="00294272">
            <w:pPr>
              <w:ind w:left="198"/>
              <w:rPr>
                <w:rFonts w:eastAsia="Times New Roman"/>
                <w:sz w:val="16"/>
                <w:szCs w:val="16"/>
              </w:rPr>
            </w:pPr>
          </w:p>
          <w:p w:rsidR="00236E18" w:rsidRDefault="00236E18" w:rsidP="00294272">
            <w:pPr>
              <w:ind w:left="198"/>
              <w:rPr>
                <w:rFonts w:eastAsia="Times New Roman"/>
                <w:sz w:val="16"/>
                <w:szCs w:val="16"/>
              </w:rPr>
            </w:pPr>
            <w:r>
              <w:rPr>
                <w:rFonts w:eastAsia="Times New Roman"/>
                <w:color w:val="000000"/>
                <w:sz w:val="16"/>
                <w:szCs w:val="16"/>
              </w:rPr>
              <w:t>90%</w:t>
            </w:r>
          </w:p>
          <w:p w:rsidR="00236E18" w:rsidRDefault="00236E18" w:rsidP="00294272">
            <w:pPr>
              <w:ind w:left="198"/>
              <w:rPr>
                <w:rFonts w:eastAsia="Times New Roman"/>
                <w:sz w:val="16"/>
                <w:szCs w:val="16"/>
              </w:rPr>
            </w:pPr>
          </w:p>
          <w:p w:rsidR="00236E18" w:rsidRDefault="00236E18" w:rsidP="00294272">
            <w:pPr>
              <w:ind w:left="198"/>
              <w:rPr>
                <w:rFonts w:eastAsia="Times New Roman"/>
                <w:sz w:val="16"/>
                <w:szCs w:val="16"/>
              </w:rPr>
            </w:pPr>
          </w:p>
          <w:p w:rsidR="00236E18" w:rsidRDefault="00236E18" w:rsidP="00294272">
            <w:pPr>
              <w:ind w:left="198"/>
              <w:rPr>
                <w:rFonts w:eastAsia="Times New Roman"/>
                <w:sz w:val="16"/>
                <w:szCs w:val="16"/>
              </w:rPr>
            </w:pPr>
          </w:p>
          <w:p w:rsidR="00236E18" w:rsidRDefault="00236E18" w:rsidP="00294272">
            <w:pPr>
              <w:ind w:left="198"/>
              <w:rPr>
                <w:rFonts w:eastAsia="Times New Roman"/>
                <w:sz w:val="16"/>
                <w:szCs w:val="16"/>
              </w:rPr>
            </w:pPr>
          </w:p>
          <w:p w:rsidR="00236E18" w:rsidRPr="00073668" w:rsidRDefault="00236E18" w:rsidP="00294272">
            <w:pPr>
              <w:ind w:left="198"/>
              <w:rPr>
                <w:rFonts w:eastAsia="Times New Roman"/>
                <w:sz w:val="16"/>
                <w:szCs w:val="16"/>
              </w:rPr>
            </w:pPr>
            <w:r w:rsidRPr="00073668">
              <w:rPr>
                <w:rFonts w:eastAsia="Times New Roman"/>
                <w:sz w:val="16"/>
                <w:szCs w:val="16"/>
              </w:rPr>
              <w:t>A.  Se mantienen las emisiones de carbono y de gases de efecto invernadero en los niveles existentes al final de 2015.</w:t>
            </w:r>
            <w:r w:rsidRPr="00073668">
              <w:rPr>
                <w:rFonts w:eastAsia="Times New Roman"/>
                <w:sz w:val="16"/>
                <w:szCs w:val="16"/>
              </w:rPr>
              <w:br/>
              <w:t>B.  Aplicación de medidas al final de 2017 para mantener el consumo energético en los niveles existentes al final de 2015 y de condiciones atmosféricas comparables (para electricidad, agua, gas y combustible para calefacción).</w:t>
            </w:r>
          </w:p>
        </w:tc>
      </w:tr>
      <w:tr w:rsidR="00236E18" w:rsidRPr="00073668" w:rsidTr="00294272">
        <w:trPr>
          <w:trHeight w:val="1719"/>
        </w:trPr>
        <w:tc>
          <w:tcPr>
            <w:tcW w:w="2320" w:type="dxa"/>
            <w:tcBorders>
              <w:left w:val="single" w:sz="4" w:space="0" w:color="auto"/>
              <w:bottom w:val="single" w:sz="4" w:space="0" w:color="auto"/>
              <w:right w:val="nil"/>
            </w:tcBorders>
            <w:shd w:val="clear" w:color="000000" w:fill="FFFFFF"/>
            <w:tcMar>
              <w:top w:w="85" w:type="dxa"/>
            </w:tcMar>
          </w:tcPr>
          <w:p w:rsidR="00236E18" w:rsidRPr="00073668" w:rsidRDefault="00236E18" w:rsidP="00294272">
            <w:pPr>
              <w:rPr>
                <w:rFonts w:eastAsia="Times New Roman"/>
                <w:sz w:val="16"/>
                <w:szCs w:val="16"/>
              </w:rPr>
            </w:pPr>
          </w:p>
        </w:tc>
        <w:tc>
          <w:tcPr>
            <w:tcW w:w="2320" w:type="dxa"/>
            <w:tcBorders>
              <w:left w:val="nil"/>
              <w:bottom w:val="single" w:sz="4" w:space="0" w:color="auto"/>
              <w:right w:val="nil"/>
            </w:tcBorders>
            <w:shd w:val="clear" w:color="000000" w:fill="FFFFFF"/>
            <w:tcMar>
              <w:top w:w="85" w:type="dxa"/>
            </w:tcMar>
          </w:tcPr>
          <w:p w:rsidR="00236E18" w:rsidRPr="00073668" w:rsidRDefault="00236E18" w:rsidP="00294272">
            <w:pPr>
              <w:ind w:left="281"/>
              <w:rPr>
                <w:rFonts w:eastAsia="Times New Roman"/>
                <w:sz w:val="16"/>
                <w:szCs w:val="16"/>
              </w:rPr>
            </w:pPr>
            <w:r w:rsidRPr="00073668">
              <w:rPr>
                <w:rFonts w:eastAsia="Times New Roman"/>
                <w:sz w:val="16"/>
                <w:szCs w:val="16"/>
              </w:rPr>
              <w:t xml:space="preserve">Mejora de la accesibilidad al recinto de la OMPI. </w:t>
            </w:r>
          </w:p>
        </w:tc>
        <w:tc>
          <w:tcPr>
            <w:tcW w:w="2440" w:type="dxa"/>
            <w:tcBorders>
              <w:left w:val="nil"/>
              <w:bottom w:val="single" w:sz="4" w:space="0" w:color="auto"/>
              <w:right w:val="nil"/>
            </w:tcBorders>
            <w:shd w:val="clear" w:color="000000" w:fill="FFFFFF"/>
            <w:tcMar>
              <w:top w:w="85" w:type="dxa"/>
            </w:tcMar>
          </w:tcPr>
          <w:p w:rsidR="00236E18" w:rsidRPr="00073668" w:rsidRDefault="00236E18" w:rsidP="00294272">
            <w:pPr>
              <w:ind w:left="229"/>
              <w:rPr>
                <w:rFonts w:eastAsia="Times New Roman"/>
                <w:sz w:val="16"/>
                <w:szCs w:val="16"/>
              </w:rPr>
            </w:pPr>
            <w:r w:rsidRPr="00073668">
              <w:rPr>
                <w:rFonts w:eastAsia="Times New Roman"/>
                <w:sz w:val="16"/>
                <w:szCs w:val="16"/>
              </w:rPr>
              <w:t>Recomendaciones contenidas en la auditoría de accesibilidad física.</w:t>
            </w:r>
          </w:p>
        </w:tc>
        <w:tc>
          <w:tcPr>
            <w:tcW w:w="2149" w:type="dxa"/>
            <w:tcBorders>
              <w:left w:val="nil"/>
              <w:bottom w:val="single" w:sz="4" w:space="0" w:color="auto"/>
              <w:right w:val="single" w:sz="4" w:space="0" w:color="auto"/>
            </w:tcBorders>
            <w:shd w:val="clear" w:color="000000" w:fill="FFFFFF"/>
            <w:tcMar>
              <w:top w:w="85" w:type="dxa"/>
            </w:tcMar>
          </w:tcPr>
          <w:p w:rsidR="00236E18" w:rsidRPr="00073668" w:rsidRDefault="00236E18" w:rsidP="00294272">
            <w:pPr>
              <w:ind w:left="198"/>
              <w:rPr>
                <w:rFonts w:eastAsia="Times New Roman"/>
                <w:sz w:val="16"/>
                <w:szCs w:val="16"/>
              </w:rPr>
            </w:pPr>
            <w:r w:rsidRPr="00073668">
              <w:rPr>
                <w:rFonts w:eastAsia="Times New Roman"/>
                <w:sz w:val="16"/>
                <w:szCs w:val="16"/>
              </w:rPr>
              <w:t xml:space="preserve">Aplicación de las siguientes medidas al final de 2017: </w:t>
            </w:r>
            <w:r w:rsidRPr="00073668">
              <w:rPr>
                <w:rFonts w:eastAsia="Times New Roman"/>
                <w:sz w:val="16"/>
                <w:szCs w:val="16"/>
              </w:rPr>
              <w:br/>
              <w:t xml:space="preserve">1. </w:t>
            </w:r>
            <w:proofErr w:type="gramStart"/>
            <w:r w:rsidRPr="00073668">
              <w:rPr>
                <w:rFonts w:eastAsia="Times New Roman"/>
                <w:sz w:val="16"/>
                <w:szCs w:val="16"/>
              </w:rPr>
              <w:t>lectores</w:t>
            </w:r>
            <w:proofErr w:type="gramEnd"/>
            <w:r w:rsidRPr="00073668">
              <w:rPr>
                <w:rFonts w:eastAsia="Times New Roman"/>
                <w:sz w:val="16"/>
                <w:szCs w:val="16"/>
              </w:rPr>
              <w:t xml:space="preserve"> de pases en los niveles necesarios para las personas con discapacidad; </w:t>
            </w:r>
            <w:r w:rsidRPr="00073668">
              <w:rPr>
                <w:rFonts w:eastAsia="Times New Roman"/>
                <w:sz w:val="16"/>
                <w:szCs w:val="16"/>
              </w:rPr>
              <w:br/>
              <w:t xml:space="preserve">2. </w:t>
            </w:r>
            <w:proofErr w:type="gramStart"/>
            <w:r w:rsidRPr="00073668">
              <w:rPr>
                <w:rFonts w:eastAsia="Times New Roman"/>
                <w:sz w:val="16"/>
                <w:szCs w:val="16"/>
              </w:rPr>
              <w:t>barreras</w:t>
            </w:r>
            <w:proofErr w:type="gramEnd"/>
            <w:r w:rsidRPr="00073668">
              <w:rPr>
                <w:rFonts w:eastAsia="Times New Roman"/>
                <w:sz w:val="16"/>
                <w:szCs w:val="16"/>
              </w:rPr>
              <w:t xml:space="preserve"> de seguridad, cuando sea necesario.</w:t>
            </w:r>
            <w:r>
              <w:rPr>
                <w:rFonts w:eastAsia="Times New Roman"/>
                <w:sz w:val="16"/>
                <w:szCs w:val="16"/>
              </w:rPr>
              <w:br/>
            </w:r>
          </w:p>
        </w:tc>
      </w:tr>
    </w:tbl>
    <w:p w:rsidR="00236E18" w:rsidRPr="00073668" w:rsidRDefault="00236E18" w:rsidP="00236E18">
      <w:pPr>
        <w:pStyle w:val="ListParagraph"/>
        <w:tabs>
          <w:tab w:val="left" w:pos="709"/>
        </w:tabs>
        <w:ind w:left="0"/>
        <w:jc w:val="both"/>
        <w:rPr>
          <w:rFonts w:ascii="Arial" w:hAnsi="Arial" w:cs="Arial"/>
          <w:sz w:val="20"/>
          <w:lang w:val="es-ES"/>
        </w:rPr>
      </w:pPr>
    </w:p>
    <w:p w:rsidR="00236E18" w:rsidRPr="00073668" w:rsidRDefault="00236E18" w:rsidP="00236E18">
      <w:pPr>
        <w:pStyle w:val="ListParagraph"/>
        <w:tabs>
          <w:tab w:val="left" w:pos="709"/>
        </w:tabs>
        <w:ind w:left="0"/>
        <w:jc w:val="both"/>
        <w:rPr>
          <w:rFonts w:ascii="Arial" w:hAnsi="Arial" w:cs="Arial"/>
          <w:sz w:val="20"/>
          <w:lang w:val="es-ES"/>
        </w:rPr>
      </w:pPr>
    </w:p>
    <w:p w:rsidR="00236E18" w:rsidRDefault="00236E18" w:rsidP="00236E18">
      <w:pPr>
        <w:rPr>
          <w:rFonts w:eastAsiaTheme="minorEastAsia"/>
          <w:szCs w:val="22"/>
          <w:lang w:eastAsia="ja-JP"/>
        </w:rPr>
      </w:pPr>
      <w:r>
        <w:br w:type="page"/>
      </w:r>
    </w:p>
    <w:p w:rsidR="00236E18" w:rsidRDefault="00236E18" w:rsidP="00236E18">
      <w:pPr>
        <w:pStyle w:val="ListParagraph"/>
        <w:tabs>
          <w:tab w:val="left" w:pos="709"/>
        </w:tabs>
        <w:ind w:left="0"/>
        <w:jc w:val="both"/>
        <w:rPr>
          <w:rFonts w:ascii="Arial" w:hAnsi="Arial" w:cs="Arial"/>
          <w:lang w:val="es-ES"/>
        </w:rPr>
      </w:pPr>
      <w:r w:rsidRPr="00073668">
        <w:rPr>
          <w:rFonts w:ascii="Arial" w:hAnsi="Arial" w:cs="Arial"/>
          <w:lang w:val="es-ES"/>
        </w:rPr>
        <w:lastRenderedPageBreak/>
        <w:t>RECURSOS PARA EL PROGRAMA 24</w:t>
      </w:r>
    </w:p>
    <w:p w:rsidR="00236E18" w:rsidRDefault="00236E18" w:rsidP="00236E18">
      <w:pPr>
        <w:pStyle w:val="ListParagraph"/>
        <w:tabs>
          <w:tab w:val="left" w:pos="709"/>
        </w:tabs>
        <w:ind w:left="0"/>
        <w:jc w:val="both"/>
        <w:rPr>
          <w:rFonts w:ascii="Arial" w:hAnsi="Arial" w:cs="Arial"/>
          <w:lang w:val="es-ES"/>
        </w:rPr>
      </w:pPr>
    </w:p>
    <w:p w:rsidR="00236E18" w:rsidRPr="001744A9" w:rsidRDefault="00236E18" w:rsidP="00236E18">
      <w:pPr>
        <w:pStyle w:val="ListParagraph"/>
        <w:numPr>
          <w:ilvl w:val="0"/>
          <w:numId w:val="40"/>
        </w:numPr>
        <w:tabs>
          <w:tab w:val="left" w:pos="709"/>
        </w:tabs>
        <w:ind w:left="0" w:firstLine="0"/>
        <w:contextualSpacing w:val="0"/>
        <w:jc w:val="both"/>
        <w:rPr>
          <w:rFonts w:ascii="Arial" w:hAnsi="Arial" w:cs="Arial"/>
          <w:color w:val="000000"/>
          <w:sz w:val="20"/>
          <w:szCs w:val="20"/>
          <w:lang w:val="es-ES"/>
        </w:rPr>
      </w:pPr>
      <w:r w:rsidRPr="001744A9">
        <w:rPr>
          <w:rFonts w:ascii="Arial" w:hAnsi="Arial" w:cs="Arial"/>
          <w:sz w:val="20"/>
          <w:szCs w:val="20"/>
          <w:lang w:val="es-ES"/>
        </w:rPr>
        <w:t>Puede observarse una ligera disminución en el total de la dotación de recursos para 2016/17 con respecto al presupuesto de 2014/</w:t>
      </w:r>
      <w:r>
        <w:rPr>
          <w:rFonts w:ascii="Arial" w:hAnsi="Arial" w:cs="Arial"/>
          <w:sz w:val="20"/>
          <w:szCs w:val="20"/>
          <w:lang w:val="es-ES"/>
        </w:rPr>
        <w:t>15 tras las</w:t>
      </w:r>
      <w:r w:rsidRPr="001744A9">
        <w:rPr>
          <w:rFonts w:ascii="Arial" w:hAnsi="Arial" w:cs="Arial"/>
          <w:sz w:val="20"/>
          <w:szCs w:val="20"/>
          <w:lang w:val="es-ES"/>
        </w:rPr>
        <w:t xml:space="preserve"> transferencias.  La disminución neta en los recursos de personal se debe a una combinación de los incrementos reglamentarios así como a la transferencia de tres puestos a otros programas.  El ligero aumento en los recursos </w:t>
      </w:r>
      <w:r>
        <w:rPr>
          <w:rFonts w:ascii="Arial" w:hAnsi="Arial" w:cs="Arial"/>
          <w:sz w:val="20"/>
          <w:szCs w:val="20"/>
          <w:lang w:val="es-ES"/>
        </w:rPr>
        <w:t>no relativos a personal</w:t>
      </w:r>
      <w:r w:rsidRPr="001744A9">
        <w:rPr>
          <w:rFonts w:ascii="Arial" w:hAnsi="Arial" w:cs="Arial"/>
          <w:sz w:val="20"/>
          <w:szCs w:val="20"/>
          <w:lang w:val="es-ES"/>
        </w:rPr>
        <w:t xml:space="preserve"> es el resultado neto de, por una parte, los recursos adicionales previstos para las mejoras de los edificios de la OMPI y las obras relacionadas con la infraestructura de la unidad médica y, por otra parte, los ahorros previstos relacionados con el estacionamiento para el personal de la OMPI y una reducción de 2 millones de francos suizos correspondiente a la asignación del pago de intereses sobre el préstamo del nuevo edificio, con respecto a la asignación en el presupuesto aprobado de 2014/15.</w:t>
      </w:r>
    </w:p>
    <w:p w:rsidR="00236E18" w:rsidRPr="001744A9" w:rsidRDefault="00236E18" w:rsidP="00236E18">
      <w:pPr>
        <w:pStyle w:val="NormalWeb"/>
        <w:shd w:val="clear" w:color="auto" w:fill="FFFFFF"/>
        <w:jc w:val="both"/>
        <w:rPr>
          <w:rFonts w:ascii="Arial" w:hAnsi="Arial" w:cs="Arial"/>
          <w:color w:val="000000"/>
          <w:sz w:val="20"/>
          <w:szCs w:val="20"/>
          <w:lang w:val="es-ES"/>
        </w:rPr>
      </w:pPr>
    </w:p>
    <w:p w:rsidR="00236E18" w:rsidRPr="001744A9" w:rsidRDefault="00236E18" w:rsidP="00236E18">
      <w:pPr>
        <w:pStyle w:val="ListParagraph"/>
        <w:numPr>
          <w:ilvl w:val="0"/>
          <w:numId w:val="40"/>
        </w:numPr>
        <w:tabs>
          <w:tab w:val="left" w:pos="709"/>
        </w:tabs>
        <w:ind w:left="0" w:firstLine="0"/>
        <w:contextualSpacing w:val="0"/>
        <w:jc w:val="both"/>
        <w:rPr>
          <w:rFonts w:ascii="Arial" w:eastAsia="Times New Roman" w:hAnsi="Arial" w:cs="Arial"/>
          <w:color w:val="000000"/>
          <w:sz w:val="20"/>
          <w:szCs w:val="20"/>
          <w:lang w:val="es-ES"/>
        </w:rPr>
      </w:pPr>
      <w:r w:rsidRPr="001744A9">
        <w:rPr>
          <w:rFonts w:ascii="Arial" w:hAnsi="Arial" w:cs="Arial"/>
          <w:sz w:val="20"/>
          <w:szCs w:val="20"/>
          <w:lang w:val="es-ES"/>
        </w:rPr>
        <w:t>La reducción en el marco del resultado previsto VIII.5 se debe a una disminución general en la consignación de recursos de personal a este resultado debido a la transferencia al programa 22 de las responsabilidades correspondientes a los servicios en común con las NN.UU.  El incremento neto en el marco del resultado previsto IX.1 se debe principalmente al aumento en los recursos de personal para apoyar a la Junta de Apelaciones de la OMPI, que es una responsabilidad nueva en el programa.  La reducción en el marco del resultado previsto IX.4 refleja la consecución del proyecto de las medidas de seguridad relativas a las normas mínimas operativas de seguridad para las sedes de las NN.UU. en el bienio 2014/15 y la disminución resultante en los recursos de personal.</w:t>
      </w:r>
    </w:p>
    <w:p w:rsidR="00236E18" w:rsidRPr="001744A9" w:rsidRDefault="00236E18" w:rsidP="00236E18">
      <w:pPr>
        <w:pStyle w:val="ListParagraph"/>
        <w:tabs>
          <w:tab w:val="left" w:pos="709"/>
        </w:tabs>
        <w:ind w:left="0"/>
        <w:jc w:val="both"/>
        <w:rPr>
          <w:rFonts w:ascii="Arial" w:hAnsi="Arial" w:cs="Arial"/>
          <w:lang w:val="es-ES"/>
        </w:rPr>
      </w:pPr>
    </w:p>
    <w:p w:rsidR="00236E18" w:rsidRPr="001744A9" w:rsidRDefault="00236E18" w:rsidP="00236E18">
      <w:pPr>
        <w:pStyle w:val="ListParagraph"/>
        <w:tabs>
          <w:tab w:val="left" w:pos="709"/>
        </w:tabs>
        <w:ind w:left="0"/>
        <w:jc w:val="both"/>
        <w:rPr>
          <w:rFonts w:ascii="Arial" w:hAnsi="Arial" w:cs="Arial"/>
          <w:sz w:val="20"/>
          <w:lang w:val="es-ES"/>
        </w:rPr>
      </w:pPr>
    </w:p>
    <w:p w:rsidR="00236E18" w:rsidRPr="00073668" w:rsidRDefault="00236E18" w:rsidP="00236E18">
      <w:pPr>
        <w:tabs>
          <w:tab w:val="left" w:pos="1427"/>
        </w:tabs>
        <w:jc w:val="center"/>
        <w:rPr>
          <w:rFonts w:eastAsiaTheme="minorEastAsia"/>
          <w:sz w:val="20"/>
        </w:rPr>
      </w:pPr>
      <w:r>
        <w:rPr>
          <w:rFonts w:eastAsiaTheme="minorEastAsia"/>
          <w:b/>
          <w:sz w:val="20"/>
        </w:rPr>
        <w:t xml:space="preserve">Programa </w:t>
      </w:r>
      <w:r w:rsidRPr="00073668">
        <w:rPr>
          <w:rFonts w:eastAsiaTheme="minorEastAsia"/>
          <w:b/>
          <w:sz w:val="20"/>
        </w:rPr>
        <w:t>24</w:t>
      </w:r>
      <w:proofErr w:type="gramStart"/>
      <w:r w:rsidRPr="00073668">
        <w:rPr>
          <w:rFonts w:eastAsiaTheme="minorEastAsia"/>
          <w:b/>
          <w:sz w:val="20"/>
        </w:rPr>
        <w:t>:  Recursos</w:t>
      </w:r>
      <w:proofErr w:type="gramEnd"/>
      <w:r w:rsidRPr="00073668">
        <w:rPr>
          <w:rFonts w:eastAsiaTheme="minorEastAsia"/>
          <w:b/>
          <w:sz w:val="20"/>
        </w:rPr>
        <w:t xml:space="preserve"> por resultado</w:t>
      </w:r>
    </w:p>
    <w:p w:rsidR="00236E18" w:rsidRPr="00073668" w:rsidRDefault="00236E18" w:rsidP="00236E18">
      <w:pPr>
        <w:tabs>
          <w:tab w:val="left" w:pos="1427"/>
        </w:tabs>
        <w:jc w:val="center"/>
        <w:rPr>
          <w:rFonts w:eastAsiaTheme="minorEastAsia"/>
          <w:i/>
          <w:sz w:val="20"/>
          <w:szCs w:val="24"/>
          <w:lang w:eastAsia="ja-JP"/>
        </w:rPr>
      </w:pPr>
      <w:r w:rsidRPr="00073668">
        <w:rPr>
          <w:rFonts w:eastAsiaTheme="minorEastAsia"/>
          <w:i/>
          <w:sz w:val="20"/>
          <w:szCs w:val="24"/>
          <w:lang w:eastAsia="ja-JP"/>
        </w:rPr>
        <w:t>(</w:t>
      </w:r>
      <w:proofErr w:type="gramStart"/>
      <w:r w:rsidRPr="00073668">
        <w:rPr>
          <w:rFonts w:eastAsiaTheme="minorEastAsia"/>
          <w:i/>
          <w:sz w:val="20"/>
          <w:szCs w:val="24"/>
          <w:lang w:eastAsia="ja-JP"/>
        </w:rPr>
        <w:t>en</w:t>
      </w:r>
      <w:proofErr w:type="gramEnd"/>
      <w:r w:rsidRPr="00073668">
        <w:rPr>
          <w:rFonts w:eastAsiaTheme="minorEastAsia"/>
          <w:i/>
          <w:sz w:val="20"/>
          <w:szCs w:val="24"/>
          <w:lang w:eastAsia="ja-JP"/>
        </w:rPr>
        <w:t xml:space="preserve"> miles de francos suizos)</w:t>
      </w:r>
    </w:p>
    <w:p w:rsidR="00236E18" w:rsidRPr="00073668" w:rsidRDefault="00236E18" w:rsidP="00236E18">
      <w:pPr>
        <w:pStyle w:val="ListParagraph"/>
        <w:tabs>
          <w:tab w:val="left" w:pos="709"/>
        </w:tabs>
        <w:ind w:left="0"/>
        <w:jc w:val="both"/>
        <w:rPr>
          <w:rFonts w:ascii="Arial" w:hAnsi="Arial" w:cs="Arial"/>
          <w:sz w:val="20"/>
          <w:lang w:val="es-ES"/>
        </w:rPr>
      </w:pPr>
    </w:p>
    <w:p w:rsidR="00236E18" w:rsidRPr="00073668" w:rsidRDefault="00236E18" w:rsidP="00236E18">
      <w:pPr>
        <w:pStyle w:val="ListParagraph"/>
        <w:tabs>
          <w:tab w:val="left" w:pos="709"/>
        </w:tabs>
        <w:ind w:left="0" w:hanging="142"/>
        <w:jc w:val="center"/>
        <w:rPr>
          <w:rFonts w:ascii="Arial" w:hAnsi="Arial" w:cs="Arial"/>
          <w:sz w:val="20"/>
          <w:lang w:val="es-ES"/>
        </w:rPr>
      </w:pPr>
      <w:r w:rsidRPr="00BA58A3">
        <w:rPr>
          <w:noProof/>
          <w:lang w:eastAsia="en-US"/>
        </w:rPr>
        <w:drawing>
          <wp:inline distT="0" distB="0" distL="0" distR="0" wp14:anchorId="7854DEF3" wp14:editId="6AFA1B0B">
            <wp:extent cx="5677535" cy="2425065"/>
            <wp:effectExtent l="0" t="0" r="0" b="0"/>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677535" cy="2425065"/>
                    </a:xfrm>
                    <a:prstGeom prst="rect">
                      <a:avLst/>
                    </a:prstGeom>
                    <a:noFill/>
                    <a:ln>
                      <a:noFill/>
                    </a:ln>
                  </pic:spPr>
                </pic:pic>
              </a:graphicData>
            </a:graphic>
          </wp:inline>
        </w:drawing>
      </w:r>
    </w:p>
    <w:p w:rsidR="00236E18" w:rsidRPr="00073668" w:rsidRDefault="00236E18" w:rsidP="00236E18">
      <w:pPr>
        <w:pStyle w:val="ListParagraph"/>
        <w:tabs>
          <w:tab w:val="left" w:pos="709"/>
        </w:tabs>
        <w:ind w:left="0"/>
        <w:jc w:val="both"/>
        <w:rPr>
          <w:rFonts w:ascii="Arial" w:hAnsi="Arial" w:cs="Arial"/>
          <w:sz w:val="20"/>
          <w:lang w:val="es-ES"/>
        </w:rPr>
      </w:pPr>
    </w:p>
    <w:p w:rsidR="00236E18" w:rsidRPr="00073668" w:rsidRDefault="00236E18" w:rsidP="00236E18">
      <w:pPr>
        <w:tabs>
          <w:tab w:val="left" w:pos="1427"/>
        </w:tabs>
        <w:jc w:val="center"/>
        <w:rPr>
          <w:rFonts w:eastAsiaTheme="minorEastAsia"/>
          <w:b/>
          <w:sz w:val="20"/>
          <w:szCs w:val="24"/>
          <w:lang w:eastAsia="ja-JP"/>
        </w:rPr>
      </w:pPr>
    </w:p>
    <w:p w:rsidR="00236E18" w:rsidRPr="00073668" w:rsidRDefault="00236E18" w:rsidP="00236E18">
      <w:pPr>
        <w:tabs>
          <w:tab w:val="left" w:pos="1427"/>
        </w:tabs>
        <w:jc w:val="center"/>
        <w:rPr>
          <w:rFonts w:eastAsiaTheme="minorEastAsia"/>
          <w:b/>
          <w:sz w:val="20"/>
          <w:szCs w:val="24"/>
          <w:lang w:eastAsia="ja-JP"/>
        </w:rPr>
      </w:pPr>
    </w:p>
    <w:p w:rsidR="00236E18" w:rsidRPr="00073668" w:rsidRDefault="00236E18" w:rsidP="00236E18">
      <w:pPr>
        <w:keepNext/>
        <w:keepLines/>
        <w:tabs>
          <w:tab w:val="left" w:pos="1427"/>
        </w:tabs>
        <w:jc w:val="center"/>
        <w:rPr>
          <w:rFonts w:eastAsiaTheme="minorEastAsia"/>
          <w:sz w:val="20"/>
        </w:rPr>
      </w:pPr>
      <w:r w:rsidRPr="00073668">
        <w:rPr>
          <w:rFonts w:eastAsiaTheme="minorEastAsia"/>
          <w:b/>
          <w:sz w:val="20"/>
        </w:rPr>
        <w:lastRenderedPageBreak/>
        <w:t>Programa 24</w:t>
      </w:r>
      <w:proofErr w:type="gramStart"/>
      <w:r w:rsidRPr="00073668">
        <w:rPr>
          <w:rFonts w:eastAsiaTheme="minorEastAsia"/>
          <w:b/>
          <w:sz w:val="20"/>
        </w:rPr>
        <w:t>:  Recursos</w:t>
      </w:r>
      <w:proofErr w:type="gramEnd"/>
      <w:r w:rsidRPr="00073668">
        <w:rPr>
          <w:rFonts w:eastAsiaTheme="minorEastAsia"/>
          <w:b/>
          <w:sz w:val="20"/>
        </w:rPr>
        <w:t xml:space="preserve"> por objeto de gasto</w:t>
      </w:r>
    </w:p>
    <w:p w:rsidR="00236E18" w:rsidRPr="00073668" w:rsidRDefault="00236E18" w:rsidP="00236E18">
      <w:pPr>
        <w:keepNext/>
        <w:keepLines/>
        <w:tabs>
          <w:tab w:val="left" w:pos="1427"/>
        </w:tabs>
        <w:jc w:val="center"/>
        <w:rPr>
          <w:rFonts w:eastAsiaTheme="minorEastAsia"/>
          <w:i/>
          <w:sz w:val="20"/>
          <w:szCs w:val="24"/>
          <w:lang w:eastAsia="ja-JP"/>
        </w:rPr>
      </w:pPr>
      <w:r w:rsidRPr="00073668">
        <w:rPr>
          <w:rFonts w:eastAsiaTheme="minorEastAsia"/>
          <w:i/>
          <w:sz w:val="20"/>
          <w:szCs w:val="24"/>
          <w:lang w:eastAsia="ja-JP"/>
        </w:rPr>
        <w:t>(</w:t>
      </w:r>
      <w:proofErr w:type="gramStart"/>
      <w:r w:rsidRPr="00073668">
        <w:rPr>
          <w:rFonts w:eastAsiaTheme="minorEastAsia"/>
          <w:i/>
          <w:sz w:val="20"/>
          <w:szCs w:val="24"/>
          <w:lang w:eastAsia="ja-JP"/>
        </w:rPr>
        <w:t>en</w:t>
      </w:r>
      <w:proofErr w:type="gramEnd"/>
      <w:r w:rsidRPr="00073668">
        <w:rPr>
          <w:rFonts w:eastAsiaTheme="minorEastAsia"/>
          <w:i/>
          <w:sz w:val="20"/>
          <w:szCs w:val="24"/>
          <w:lang w:eastAsia="ja-JP"/>
        </w:rPr>
        <w:t xml:space="preserve"> miles de francos suizos)</w:t>
      </w:r>
    </w:p>
    <w:p w:rsidR="00236E18" w:rsidRPr="00073668" w:rsidRDefault="00236E18" w:rsidP="00236E18">
      <w:pPr>
        <w:pStyle w:val="ListParagraph"/>
        <w:keepNext/>
        <w:keepLines/>
        <w:tabs>
          <w:tab w:val="left" w:pos="709"/>
        </w:tabs>
        <w:ind w:left="0"/>
        <w:jc w:val="both"/>
        <w:rPr>
          <w:rFonts w:ascii="Arial" w:hAnsi="Arial" w:cs="Arial"/>
          <w:sz w:val="20"/>
          <w:lang w:val="es-ES"/>
        </w:rPr>
      </w:pPr>
    </w:p>
    <w:p w:rsidR="00236E18" w:rsidRPr="00073668" w:rsidRDefault="00236E18" w:rsidP="00236E18">
      <w:pPr>
        <w:pStyle w:val="ListParagraph"/>
        <w:tabs>
          <w:tab w:val="left" w:pos="709"/>
        </w:tabs>
        <w:ind w:left="0" w:hanging="142"/>
        <w:jc w:val="center"/>
        <w:rPr>
          <w:rFonts w:ascii="Arial" w:hAnsi="Arial" w:cs="Arial"/>
          <w:sz w:val="20"/>
          <w:lang w:val="es-ES"/>
        </w:rPr>
      </w:pPr>
      <w:r>
        <w:rPr>
          <w:noProof/>
          <w:lang w:eastAsia="en-US"/>
        </w:rPr>
        <w:drawing>
          <wp:inline distT="0" distB="0" distL="0" distR="0" wp14:anchorId="2ACBF586" wp14:editId="6D96DC42">
            <wp:extent cx="5940425" cy="6128285"/>
            <wp:effectExtent l="0" t="0" r="3175" b="6350"/>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940425" cy="6128285"/>
                    </a:xfrm>
                    <a:prstGeom prst="rect">
                      <a:avLst/>
                    </a:prstGeom>
                    <a:noFill/>
                    <a:ln>
                      <a:noFill/>
                    </a:ln>
                  </pic:spPr>
                </pic:pic>
              </a:graphicData>
            </a:graphic>
          </wp:inline>
        </w:drawing>
      </w:r>
    </w:p>
    <w:p w:rsidR="00236E18" w:rsidRPr="00073668" w:rsidRDefault="00236E18" w:rsidP="00236E18">
      <w:pPr>
        <w:pStyle w:val="ListParagraph"/>
        <w:tabs>
          <w:tab w:val="left" w:pos="709"/>
        </w:tabs>
        <w:ind w:left="0" w:hanging="142"/>
        <w:rPr>
          <w:rFonts w:ascii="Arial" w:hAnsi="Arial" w:cs="Arial"/>
          <w:sz w:val="20"/>
          <w:lang w:val="es-ES"/>
        </w:rPr>
      </w:pPr>
    </w:p>
    <w:p w:rsidR="00236E18" w:rsidRPr="00073668" w:rsidRDefault="00236E18" w:rsidP="00236E18">
      <w:pPr>
        <w:pStyle w:val="ListParagraph"/>
        <w:tabs>
          <w:tab w:val="left" w:pos="709"/>
        </w:tabs>
        <w:ind w:left="0" w:hanging="142"/>
        <w:rPr>
          <w:rFonts w:ascii="Arial" w:hAnsi="Arial" w:cs="Arial"/>
          <w:sz w:val="20"/>
          <w:lang w:val="es-ES"/>
        </w:rPr>
      </w:pPr>
    </w:p>
    <w:p w:rsidR="00236E18" w:rsidRDefault="00236E18" w:rsidP="00236E18">
      <w:pPr>
        <w:rPr>
          <w:rFonts w:eastAsiaTheme="minorEastAsia"/>
          <w:sz w:val="20"/>
          <w:szCs w:val="22"/>
          <w:lang w:eastAsia="ja-JP"/>
        </w:rPr>
      </w:pPr>
      <w:r>
        <w:rPr>
          <w:rFonts w:eastAsiaTheme="minorEastAsia"/>
          <w:sz w:val="20"/>
          <w:szCs w:val="22"/>
          <w:lang w:eastAsia="ja-JP"/>
        </w:rPr>
        <w:br w:type="page"/>
      </w:r>
    </w:p>
    <w:p w:rsidR="00236E18" w:rsidRPr="00F01092" w:rsidRDefault="00236E18" w:rsidP="00236E18">
      <w:pPr>
        <w:pStyle w:val="StyleStyleHeading3ComplexItalicLatin12pt"/>
        <w:ind w:left="1985" w:hanging="1985"/>
        <w:rPr>
          <w:b w:val="0"/>
          <w:lang w:val="es-ES"/>
        </w:rPr>
      </w:pPr>
      <w:bookmarkStart w:id="123" w:name="_Toc431573574"/>
      <w:bookmarkStart w:id="124" w:name="_Toc431573975"/>
      <w:r w:rsidRPr="00F01092">
        <w:rPr>
          <w:lang w:val="es-ES"/>
        </w:rPr>
        <w:lastRenderedPageBreak/>
        <w:t>PROGRAMA 25</w:t>
      </w:r>
      <w:r w:rsidRPr="00F01092">
        <w:rPr>
          <w:lang w:val="es-ES"/>
        </w:rPr>
        <w:tab/>
        <w:t>TECNOLOGÍAS DE LA INFORMACIÓN Y LAS COMUNICACIONES</w:t>
      </w:r>
      <w:bookmarkEnd w:id="123"/>
      <w:bookmarkEnd w:id="124"/>
      <w:r w:rsidRPr="00F01092">
        <w:rPr>
          <w:lang w:val="es-ES"/>
        </w:rPr>
        <w:t xml:space="preserve"> </w:t>
      </w:r>
    </w:p>
    <w:p w:rsidR="00236E18" w:rsidRPr="00F01092" w:rsidRDefault="00236E18" w:rsidP="00236E18">
      <w:pPr>
        <w:autoSpaceDE w:val="0"/>
        <w:autoSpaceDN w:val="0"/>
        <w:adjustRightInd w:val="0"/>
        <w:rPr>
          <w:bCs/>
        </w:rPr>
      </w:pPr>
    </w:p>
    <w:p w:rsidR="00236E18" w:rsidRPr="00F01092" w:rsidRDefault="00236E18" w:rsidP="00236E18">
      <w:pPr>
        <w:autoSpaceDE w:val="0"/>
        <w:autoSpaceDN w:val="0"/>
        <w:adjustRightInd w:val="0"/>
        <w:rPr>
          <w:bCs/>
        </w:rPr>
      </w:pPr>
    </w:p>
    <w:p w:rsidR="00236E18" w:rsidRPr="00F01092" w:rsidRDefault="00236E18" w:rsidP="00236E18">
      <w:pPr>
        <w:autoSpaceDE w:val="0"/>
        <w:autoSpaceDN w:val="0"/>
        <w:adjustRightInd w:val="0"/>
      </w:pPr>
      <w:r w:rsidRPr="00F01092">
        <w:rPr>
          <w:lang w:val="es-ES_tradnl"/>
        </w:rPr>
        <w:t>CONTEXTO DE PLANIFICACIÓN</w:t>
      </w:r>
    </w:p>
    <w:p w:rsidR="00236E18" w:rsidRPr="00F01092" w:rsidRDefault="00236E18" w:rsidP="00236E18">
      <w:pPr>
        <w:autoSpaceDE w:val="0"/>
        <w:autoSpaceDN w:val="0"/>
        <w:adjustRightInd w:val="0"/>
        <w:rPr>
          <w:sz w:val="20"/>
        </w:rPr>
      </w:pPr>
    </w:p>
    <w:p w:rsidR="00236E18" w:rsidRPr="00F01092" w:rsidRDefault="00236E18" w:rsidP="00236E18">
      <w:pPr>
        <w:pStyle w:val="ListParagraph"/>
        <w:numPr>
          <w:ilvl w:val="0"/>
          <w:numId w:val="41"/>
        </w:numPr>
        <w:tabs>
          <w:tab w:val="left" w:pos="709"/>
        </w:tabs>
        <w:autoSpaceDE w:val="0"/>
        <w:autoSpaceDN w:val="0"/>
        <w:adjustRightInd w:val="0"/>
        <w:ind w:left="0" w:firstLine="0"/>
        <w:jc w:val="both"/>
        <w:rPr>
          <w:rFonts w:ascii="Arial" w:hAnsi="Arial" w:cs="Arial"/>
          <w:sz w:val="20"/>
          <w:szCs w:val="20"/>
          <w:lang w:val="es-ES"/>
        </w:rPr>
      </w:pPr>
      <w:r w:rsidRPr="00F01092">
        <w:rPr>
          <w:rFonts w:ascii="Arial" w:hAnsi="Arial" w:cs="Arial"/>
          <w:sz w:val="20"/>
          <w:szCs w:val="20"/>
          <w:lang w:val="es-ES"/>
        </w:rPr>
        <w:t xml:space="preserve">Las tecnologías de la información y de las comunicaciones (TIC) siguen desempeñando dos funciones vitales en la OMPI.  A nivel externo, se han convertido en el medio de mayor importancia para la prestación de servicios a sus clientes en el mundo entero.  </w:t>
      </w:r>
      <w:r w:rsidRPr="00F01092">
        <w:rPr>
          <w:rFonts w:ascii="Arial" w:hAnsi="Arial" w:cs="Arial"/>
          <w:sz w:val="20"/>
          <w:szCs w:val="20"/>
          <w:lang w:val="es-ES_tradnl"/>
        </w:rPr>
        <w:t>Entre éstos figuran los servicios de registro, los servicios de infraestructura mundial de P.I., el acceso a informaciones y análisis de P.I., el acceso a plataformas relativas a la P.I. en el contexto de las cuestiones mundiales de política pública, y las comunicaciones con los Estados miembros y las partes interesadas mediante la difusión por Internet de las reuniones de la OMPI.  A nivel interno, las TIC permiten que la OMPI lleve a cabo sus operaciones diarias mediante la prestación de servicios tales como las telecomunicaciones, el correo electrónico y la tramitación de una amplia gama de transacciones administrativas.  Por lo tanto, las nueve metas estratégicas de la OMPI dependen en gran medida de una infraestructura y servicios de TIC que sean fiables y eficaces para la ejecución de los programas.</w:t>
      </w:r>
    </w:p>
    <w:p w:rsidR="00236E18" w:rsidRPr="00F01092" w:rsidRDefault="00236E18" w:rsidP="00236E18">
      <w:pPr>
        <w:autoSpaceDE w:val="0"/>
        <w:autoSpaceDN w:val="0"/>
        <w:adjustRightInd w:val="0"/>
        <w:rPr>
          <w:sz w:val="20"/>
        </w:rPr>
      </w:pPr>
    </w:p>
    <w:p w:rsidR="00236E18" w:rsidRPr="00F01092" w:rsidRDefault="00236E18" w:rsidP="00236E18">
      <w:pPr>
        <w:pStyle w:val="ListParagraph"/>
        <w:numPr>
          <w:ilvl w:val="0"/>
          <w:numId w:val="41"/>
        </w:numPr>
        <w:tabs>
          <w:tab w:val="left" w:pos="709"/>
        </w:tabs>
        <w:autoSpaceDE w:val="0"/>
        <w:autoSpaceDN w:val="0"/>
        <w:adjustRightInd w:val="0"/>
        <w:ind w:left="0" w:firstLine="0"/>
        <w:jc w:val="both"/>
        <w:rPr>
          <w:rFonts w:ascii="Arial" w:hAnsi="Arial" w:cs="Arial"/>
          <w:sz w:val="20"/>
          <w:szCs w:val="20"/>
          <w:lang w:val="es-ES"/>
        </w:rPr>
      </w:pPr>
      <w:r w:rsidRPr="00F01092">
        <w:rPr>
          <w:rFonts w:ascii="Arial" w:hAnsi="Arial" w:cs="Arial"/>
          <w:sz w:val="20"/>
          <w:szCs w:val="20"/>
          <w:lang w:val="es-ES"/>
        </w:rPr>
        <w:t xml:space="preserve">La capacidad de la OMPI para seguir atendiendo sus necesidades estratégicas y operativas en el ámbito de las TIC dependerá de su capacidad para mejorar continuamente el rendimiento, el alcance y la </w:t>
      </w:r>
      <w:r>
        <w:rPr>
          <w:rFonts w:ascii="Arial" w:hAnsi="Arial" w:cs="Arial"/>
          <w:sz w:val="20"/>
          <w:szCs w:val="20"/>
          <w:lang w:val="es-ES"/>
        </w:rPr>
        <w:t>capacidad de reacción y recuperación</w:t>
      </w:r>
      <w:r w:rsidRPr="00F01092">
        <w:rPr>
          <w:rFonts w:ascii="Arial" w:hAnsi="Arial" w:cs="Arial"/>
          <w:sz w:val="20"/>
          <w:szCs w:val="20"/>
          <w:lang w:val="es-ES"/>
        </w:rPr>
        <w:t xml:space="preserve"> de sus sistemas de TIC.  Esto exigirá importantes desembolsos, la selección estratégica de proveedores y la constitución de alianzas, así como la consecución de un equilibrio entre la innovación y la preservación de la estabilidad.  El mayor desafío para el programa será contener los gastos y al mismo tiempo atender el rápido aumento de las demandas, y gestionar los riesgos que entraña la mejora sustancial de la infraestructura de las TIC.</w:t>
      </w:r>
    </w:p>
    <w:p w:rsidR="00236E18" w:rsidRPr="00F01092" w:rsidRDefault="00236E18" w:rsidP="00236E18">
      <w:pPr>
        <w:autoSpaceDE w:val="0"/>
        <w:autoSpaceDN w:val="0"/>
        <w:adjustRightInd w:val="0"/>
      </w:pPr>
    </w:p>
    <w:p w:rsidR="00236E18" w:rsidRPr="00F01092" w:rsidRDefault="00236E18" w:rsidP="00236E18">
      <w:pPr>
        <w:autoSpaceDE w:val="0"/>
        <w:autoSpaceDN w:val="0"/>
        <w:adjustRightInd w:val="0"/>
      </w:pPr>
    </w:p>
    <w:p w:rsidR="00236E18" w:rsidRPr="00F01092" w:rsidRDefault="00236E18" w:rsidP="00236E18">
      <w:pPr>
        <w:autoSpaceDE w:val="0"/>
        <w:autoSpaceDN w:val="0"/>
        <w:adjustRightInd w:val="0"/>
      </w:pPr>
      <w:r w:rsidRPr="00F01092">
        <w:rPr>
          <w:lang w:val="es-ES_tradnl"/>
        </w:rPr>
        <w:t>ESTRATEGIAS DE EJECUCIÓN</w:t>
      </w:r>
    </w:p>
    <w:p w:rsidR="00236E18" w:rsidRPr="00F01092" w:rsidRDefault="00236E18" w:rsidP="00236E18">
      <w:pPr>
        <w:autoSpaceDE w:val="0"/>
        <w:autoSpaceDN w:val="0"/>
        <w:adjustRightInd w:val="0"/>
        <w:rPr>
          <w:sz w:val="20"/>
        </w:rPr>
      </w:pPr>
    </w:p>
    <w:p w:rsidR="00236E18" w:rsidRPr="00BA58A3" w:rsidRDefault="00236E18" w:rsidP="00236E18">
      <w:pPr>
        <w:pStyle w:val="ListParagraph"/>
        <w:numPr>
          <w:ilvl w:val="0"/>
          <w:numId w:val="41"/>
        </w:numPr>
        <w:tabs>
          <w:tab w:val="left" w:pos="709"/>
        </w:tabs>
        <w:autoSpaceDE w:val="0"/>
        <w:autoSpaceDN w:val="0"/>
        <w:adjustRightInd w:val="0"/>
        <w:ind w:left="0" w:firstLine="0"/>
        <w:jc w:val="both"/>
        <w:rPr>
          <w:rFonts w:ascii="Arial" w:hAnsi="Arial" w:cs="Arial"/>
          <w:sz w:val="20"/>
          <w:szCs w:val="20"/>
          <w:lang w:val="es-ES"/>
        </w:rPr>
      </w:pPr>
      <w:r w:rsidRPr="00BA58A3">
        <w:rPr>
          <w:rFonts w:ascii="Arial" w:hAnsi="Arial" w:cs="Arial"/>
          <w:sz w:val="20"/>
          <w:szCs w:val="20"/>
          <w:lang w:val="es-ES"/>
        </w:rPr>
        <w:t>Se impulsará la integración de la disciplina de la arquitectura institucional para asegurar que haya una mayor correspondencia entre los sistemas y la configuración de las TIC con las necesidades institucionales, que se siga avanzando en la uniformización y coherencia de la arquitectura de las TIC, que se coordinen adecuadamente las actividades de restructuración de la arquitectura de sistemas, que se adopten decisiones sobre soluciones, tecnologías y productos que se correspondan con la arquitectura institucional elegida y que se gestionen los datos, el acceso de los usuarios y la información institucionales de manera integral y coherente.</w:t>
      </w:r>
    </w:p>
    <w:p w:rsidR="00236E18" w:rsidRPr="00F01092" w:rsidRDefault="00236E18" w:rsidP="00236E18">
      <w:pPr>
        <w:tabs>
          <w:tab w:val="left" w:pos="709"/>
        </w:tabs>
        <w:autoSpaceDE w:val="0"/>
        <w:autoSpaceDN w:val="0"/>
        <w:adjustRightInd w:val="0"/>
        <w:rPr>
          <w:strike/>
          <w:sz w:val="20"/>
        </w:rPr>
      </w:pPr>
    </w:p>
    <w:p w:rsidR="00236E18" w:rsidRPr="00BA58A3" w:rsidRDefault="00236E18" w:rsidP="00236E18">
      <w:pPr>
        <w:pStyle w:val="ListParagraph"/>
        <w:numPr>
          <w:ilvl w:val="0"/>
          <w:numId w:val="41"/>
        </w:numPr>
        <w:tabs>
          <w:tab w:val="left" w:pos="709"/>
        </w:tabs>
        <w:autoSpaceDE w:val="0"/>
        <w:autoSpaceDN w:val="0"/>
        <w:adjustRightInd w:val="0"/>
        <w:ind w:left="0" w:firstLine="0"/>
        <w:jc w:val="both"/>
        <w:rPr>
          <w:rFonts w:ascii="Arial" w:hAnsi="Arial" w:cs="Arial"/>
          <w:sz w:val="20"/>
          <w:szCs w:val="20"/>
          <w:lang w:val="es-ES"/>
        </w:rPr>
      </w:pPr>
      <w:r w:rsidRPr="00BA58A3">
        <w:rPr>
          <w:rFonts w:ascii="Arial" w:hAnsi="Arial" w:cs="Arial"/>
          <w:sz w:val="20"/>
          <w:szCs w:val="20"/>
          <w:lang w:val="es-ES"/>
        </w:rPr>
        <w:t xml:space="preserve">Para la ejecución del programa en el nuevo bienio se aprovecharán las inversiones realizadas y los logros obtenidos en la esfera de las TIC, como el aumento de la </w:t>
      </w:r>
      <w:r>
        <w:rPr>
          <w:rFonts w:ascii="Arial" w:hAnsi="Arial" w:cs="Arial"/>
          <w:sz w:val="20"/>
          <w:szCs w:val="20"/>
          <w:lang w:val="es-ES"/>
        </w:rPr>
        <w:t>capacidad de reacción y recuperación</w:t>
      </w:r>
      <w:r w:rsidRPr="00BA58A3">
        <w:rPr>
          <w:rFonts w:ascii="Arial" w:hAnsi="Arial" w:cs="Arial"/>
          <w:sz w:val="20"/>
          <w:szCs w:val="20"/>
          <w:lang w:val="es-ES"/>
        </w:rPr>
        <w:t xml:space="preserve"> de las TIC ante las amenazas cibernéticas y las catástrofes de gran escala</w:t>
      </w:r>
      <w:r>
        <w:rPr>
          <w:rFonts w:ascii="Arial" w:hAnsi="Arial" w:cs="Arial"/>
          <w:sz w:val="20"/>
          <w:szCs w:val="20"/>
          <w:lang w:val="es-ES"/>
        </w:rPr>
        <w:t>, y se prestará asistencia a la integración armoniosa de las oficinas de la OMPI en el exterior mediante la introducción progresiva de un sistema y arquitectura estándares de Oficina Global (</w:t>
      </w:r>
      <w:r w:rsidRPr="00387230">
        <w:rPr>
          <w:rFonts w:ascii="Arial" w:hAnsi="Arial" w:cs="Arial"/>
          <w:i/>
          <w:sz w:val="20"/>
          <w:szCs w:val="20"/>
          <w:lang w:val="es-ES"/>
        </w:rPr>
        <w:t>Global Office</w:t>
      </w:r>
      <w:r>
        <w:rPr>
          <w:rFonts w:ascii="Arial" w:hAnsi="Arial" w:cs="Arial"/>
          <w:sz w:val="20"/>
          <w:szCs w:val="20"/>
          <w:lang w:val="es-ES"/>
        </w:rPr>
        <w:t>)</w:t>
      </w:r>
      <w:r w:rsidRPr="00BA58A3">
        <w:rPr>
          <w:rFonts w:ascii="Arial" w:hAnsi="Arial" w:cs="Arial"/>
          <w:sz w:val="20"/>
          <w:szCs w:val="20"/>
          <w:lang w:val="es-ES"/>
        </w:rPr>
        <w:t>.  Se pondrán en marcha las mejoras tecnológicas efectuadas mediante proyectos.  Se prevé que la selección estratégica de proveedores y la creación de alianzas potenciarán la eficacia en función de los costos y la capacidad de respuesta desde una perspectiva geográfica.</w:t>
      </w:r>
    </w:p>
    <w:p w:rsidR="00236E18" w:rsidRPr="001B0506" w:rsidRDefault="00236E18" w:rsidP="00236E18">
      <w:pPr>
        <w:tabs>
          <w:tab w:val="left" w:pos="709"/>
        </w:tabs>
        <w:autoSpaceDE w:val="0"/>
        <w:autoSpaceDN w:val="0"/>
        <w:adjustRightInd w:val="0"/>
        <w:rPr>
          <w:strike/>
          <w:sz w:val="20"/>
          <w:highlight w:val="lightGray"/>
        </w:rPr>
      </w:pPr>
    </w:p>
    <w:p w:rsidR="00236E18" w:rsidRPr="00207B7E" w:rsidRDefault="00236E18" w:rsidP="00236E18">
      <w:pPr>
        <w:pStyle w:val="ListParagraph"/>
        <w:numPr>
          <w:ilvl w:val="0"/>
          <w:numId w:val="41"/>
        </w:numPr>
        <w:tabs>
          <w:tab w:val="left" w:pos="709"/>
        </w:tabs>
        <w:autoSpaceDE w:val="0"/>
        <w:autoSpaceDN w:val="0"/>
        <w:adjustRightInd w:val="0"/>
        <w:ind w:left="0" w:firstLine="0"/>
        <w:jc w:val="both"/>
        <w:rPr>
          <w:rFonts w:ascii="Arial" w:hAnsi="Arial" w:cs="Arial"/>
          <w:sz w:val="20"/>
          <w:szCs w:val="20"/>
          <w:lang w:val="es-ES"/>
        </w:rPr>
      </w:pPr>
      <w:r w:rsidRPr="00207B7E">
        <w:rPr>
          <w:rFonts w:ascii="Arial" w:hAnsi="Arial" w:cs="Arial"/>
          <w:sz w:val="20"/>
          <w:szCs w:val="20"/>
          <w:lang w:val="es-ES"/>
        </w:rPr>
        <w:t xml:space="preserve">En coordinación con los </w:t>
      </w:r>
      <w:r>
        <w:rPr>
          <w:rFonts w:ascii="Arial" w:hAnsi="Arial" w:cs="Arial"/>
          <w:sz w:val="20"/>
          <w:szCs w:val="20"/>
          <w:lang w:val="es-ES"/>
        </w:rPr>
        <w:t>programas especializados</w:t>
      </w:r>
      <w:r w:rsidRPr="00207B7E">
        <w:rPr>
          <w:rFonts w:ascii="Arial" w:hAnsi="Arial" w:cs="Arial"/>
          <w:sz w:val="20"/>
          <w:szCs w:val="20"/>
          <w:lang w:val="es-ES"/>
        </w:rPr>
        <w:t xml:space="preserve"> pertinentes y la División de Aseguramiento de la Información, e</w:t>
      </w:r>
      <w:r>
        <w:rPr>
          <w:rFonts w:ascii="Arial" w:hAnsi="Arial" w:cs="Arial"/>
          <w:sz w:val="20"/>
          <w:szCs w:val="20"/>
          <w:lang w:val="es-ES"/>
        </w:rPr>
        <w:t>n e</w:t>
      </w:r>
      <w:r w:rsidRPr="00207B7E">
        <w:rPr>
          <w:rFonts w:ascii="Arial" w:hAnsi="Arial" w:cs="Arial"/>
          <w:sz w:val="20"/>
          <w:szCs w:val="20"/>
          <w:lang w:val="es-ES"/>
        </w:rPr>
        <w:t>l</w:t>
      </w:r>
      <w:r>
        <w:rPr>
          <w:rFonts w:ascii="Arial" w:hAnsi="Arial" w:cs="Arial"/>
          <w:sz w:val="20"/>
          <w:szCs w:val="20"/>
          <w:lang w:val="es-ES"/>
        </w:rPr>
        <w:t xml:space="preserve"> marco de este</w:t>
      </w:r>
      <w:r w:rsidRPr="00207B7E">
        <w:rPr>
          <w:rFonts w:ascii="Arial" w:hAnsi="Arial" w:cs="Arial"/>
          <w:sz w:val="20"/>
          <w:szCs w:val="20"/>
          <w:lang w:val="es-ES"/>
        </w:rPr>
        <w:t xml:space="preserve"> programa </w:t>
      </w:r>
      <w:r>
        <w:rPr>
          <w:rFonts w:ascii="Arial" w:hAnsi="Arial" w:cs="Arial"/>
          <w:sz w:val="20"/>
          <w:szCs w:val="20"/>
          <w:lang w:val="es-ES"/>
        </w:rPr>
        <w:t>se v</w:t>
      </w:r>
      <w:r w:rsidRPr="00207B7E">
        <w:rPr>
          <w:rFonts w:ascii="Arial" w:hAnsi="Arial" w:cs="Arial"/>
          <w:sz w:val="20"/>
          <w:szCs w:val="20"/>
          <w:lang w:val="es-ES"/>
        </w:rPr>
        <w:t>e</w:t>
      </w:r>
      <w:r>
        <w:rPr>
          <w:rFonts w:ascii="Arial" w:hAnsi="Arial" w:cs="Arial"/>
          <w:sz w:val="20"/>
          <w:szCs w:val="20"/>
          <w:lang w:val="es-ES"/>
        </w:rPr>
        <w:t>la</w:t>
      </w:r>
      <w:r w:rsidRPr="00207B7E">
        <w:rPr>
          <w:rFonts w:ascii="Arial" w:hAnsi="Arial" w:cs="Arial"/>
          <w:sz w:val="20"/>
          <w:szCs w:val="20"/>
          <w:lang w:val="es-ES"/>
        </w:rPr>
        <w:t xml:space="preserve">rá </w:t>
      </w:r>
      <w:r>
        <w:rPr>
          <w:rFonts w:ascii="Arial" w:hAnsi="Arial" w:cs="Arial"/>
          <w:sz w:val="20"/>
          <w:szCs w:val="20"/>
          <w:lang w:val="es-ES"/>
        </w:rPr>
        <w:t xml:space="preserve">por </w:t>
      </w:r>
      <w:r w:rsidRPr="00207B7E">
        <w:rPr>
          <w:rFonts w:ascii="Arial" w:hAnsi="Arial" w:cs="Arial"/>
          <w:sz w:val="20"/>
          <w:szCs w:val="20"/>
          <w:lang w:val="es-ES"/>
        </w:rPr>
        <w:t>que los sistemas de TIC que contienen información muy sensible sean menos vulnerables a amenazas externas</w:t>
      </w:r>
      <w:r>
        <w:rPr>
          <w:rFonts w:ascii="Arial" w:hAnsi="Arial" w:cs="Arial"/>
          <w:sz w:val="20"/>
          <w:szCs w:val="20"/>
          <w:lang w:val="es-ES"/>
        </w:rPr>
        <w:t>.  También se velará por que la OMPI</w:t>
      </w:r>
      <w:r w:rsidRPr="00207B7E">
        <w:rPr>
          <w:rFonts w:ascii="Arial" w:hAnsi="Arial" w:cs="Arial"/>
          <w:sz w:val="20"/>
          <w:szCs w:val="20"/>
          <w:lang w:val="es-ES"/>
        </w:rPr>
        <w:t xml:space="preserve"> </w:t>
      </w:r>
      <w:r>
        <w:rPr>
          <w:rFonts w:ascii="Arial" w:hAnsi="Arial" w:cs="Arial"/>
          <w:sz w:val="20"/>
          <w:szCs w:val="20"/>
          <w:lang w:val="es-ES"/>
        </w:rPr>
        <w:t>encuentre</w:t>
      </w:r>
      <w:r w:rsidRPr="00207B7E">
        <w:rPr>
          <w:rFonts w:ascii="Arial" w:hAnsi="Arial" w:cs="Arial"/>
          <w:sz w:val="20"/>
          <w:szCs w:val="20"/>
          <w:lang w:val="es-ES"/>
        </w:rPr>
        <w:t xml:space="preserve"> soluciones de alojamiento de datos más </w:t>
      </w:r>
      <w:proofErr w:type="spellStart"/>
      <w:r>
        <w:rPr>
          <w:rFonts w:ascii="Arial" w:hAnsi="Arial" w:cs="Arial"/>
          <w:sz w:val="20"/>
          <w:szCs w:val="20"/>
          <w:lang w:val="es-ES"/>
        </w:rPr>
        <w:t>costo</w:t>
      </w:r>
      <w:r w:rsidRPr="00207B7E">
        <w:rPr>
          <w:rFonts w:ascii="Arial" w:hAnsi="Arial" w:cs="Arial"/>
          <w:sz w:val="20"/>
          <w:szCs w:val="20"/>
          <w:lang w:val="es-ES"/>
        </w:rPr>
        <w:t>eficaces</w:t>
      </w:r>
      <w:proofErr w:type="spellEnd"/>
      <w:r>
        <w:rPr>
          <w:rFonts w:ascii="Arial" w:hAnsi="Arial" w:cs="Arial"/>
          <w:sz w:val="20"/>
          <w:szCs w:val="20"/>
          <w:lang w:val="es-ES"/>
        </w:rPr>
        <w:t>, y con mayor poder de recuperación,</w:t>
      </w:r>
      <w:r w:rsidRPr="00207B7E">
        <w:rPr>
          <w:rFonts w:ascii="Arial" w:hAnsi="Arial" w:cs="Arial"/>
          <w:sz w:val="20"/>
          <w:szCs w:val="20"/>
          <w:lang w:val="es-ES"/>
        </w:rPr>
        <w:t xml:space="preserve"> para los sistemas de TIC que no tienen exigencias en materia de confidencialidad.</w:t>
      </w:r>
    </w:p>
    <w:p w:rsidR="00236E18" w:rsidRPr="00F01092" w:rsidRDefault="00236E18" w:rsidP="00236E18">
      <w:pPr>
        <w:autoSpaceDE w:val="0"/>
        <w:autoSpaceDN w:val="0"/>
        <w:adjustRightInd w:val="0"/>
        <w:rPr>
          <w:sz w:val="20"/>
        </w:rPr>
      </w:pPr>
    </w:p>
    <w:p w:rsidR="00236E18" w:rsidRPr="00F01092" w:rsidRDefault="00236E18" w:rsidP="00236E18">
      <w:pPr>
        <w:pStyle w:val="ListParagraph"/>
        <w:numPr>
          <w:ilvl w:val="0"/>
          <w:numId w:val="41"/>
        </w:numPr>
        <w:tabs>
          <w:tab w:val="left" w:pos="709"/>
        </w:tabs>
        <w:autoSpaceDE w:val="0"/>
        <w:autoSpaceDN w:val="0"/>
        <w:adjustRightInd w:val="0"/>
        <w:ind w:left="0" w:firstLine="0"/>
        <w:jc w:val="both"/>
        <w:rPr>
          <w:rFonts w:ascii="Arial" w:hAnsi="Arial" w:cs="Arial"/>
          <w:sz w:val="20"/>
          <w:szCs w:val="20"/>
          <w:lang w:val="es-ES"/>
        </w:rPr>
      </w:pPr>
      <w:r w:rsidRPr="00F01092">
        <w:rPr>
          <w:rFonts w:ascii="Arial" w:hAnsi="Arial" w:cs="Arial"/>
          <w:sz w:val="20"/>
          <w:szCs w:val="20"/>
          <w:lang w:val="es-ES"/>
        </w:rPr>
        <w:t xml:space="preserve">En el curso del próximo bienio, se avanzará en la implantación de tecnologías para la gestión de contenidos institucionales, destinadas a mejorar la gestión de documentos, la colaboración, el intercambio y la recogida de información.  Se prevé que esos avances permitan mejorar la </w:t>
      </w:r>
      <w:r>
        <w:rPr>
          <w:rFonts w:ascii="Arial" w:hAnsi="Arial" w:cs="Arial"/>
          <w:sz w:val="20"/>
          <w:szCs w:val="20"/>
          <w:lang w:val="es-ES"/>
        </w:rPr>
        <w:t>distribuc</w:t>
      </w:r>
      <w:r w:rsidRPr="00F01092">
        <w:rPr>
          <w:rFonts w:ascii="Arial" w:hAnsi="Arial" w:cs="Arial"/>
          <w:sz w:val="20"/>
          <w:szCs w:val="20"/>
          <w:lang w:val="es-ES"/>
        </w:rPr>
        <w:t>ión del conocimiento y la</w:t>
      </w:r>
      <w:r>
        <w:rPr>
          <w:rFonts w:ascii="Arial" w:hAnsi="Arial" w:cs="Arial"/>
          <w:sz w:val="20"/>
          <w:szCs w:val="20"/>
          <w:lang w:val="es-ES"/>
        </w:rPr>
        <w:t xml:space="preserve"> gestión de la</w:t>
      </w:r>
      <w:r w:rsidRPr="00F01092">
        <w:rPr>
          <w:rFonts w:ascii="Arial" w:hAnsi="Arial" w:cs="Arial"/>
          <w:sz w:val="20"/>
          <w:szCs w:val="20"/>
          <w:lang w:val="es-ES"/>
        </w:rPr>
        <w:t xml:space="preserve"> información en toda la Organización.</w:t>
      </w:r>
    </w:p>
    <w:p w:rsidR="00236E18" w:rsidRPr="00F01092" w:rsidRDefault="00236E18" w:rsidP="00236E18">
      <w:pPr>
        <w:autoSpaceDE w:val="0"/>
        <w:autoSpaceDN w:val="0"/>
        <w:adjustRightInd w:val="0"/>
        <w:rPr>
          <w:sz w:val="20"/>
        </w:rPr>
      </w:pPr>
    </w:p>
    <w:p w:rsidR="00236E18" w:rsidRPr="00F01092" w:rsidRDefault="00236E18" w:rsidP="00236E18">
      <w:pPr>
        <w:autoSpaceDE w:val="0"/>
        <w:autoSpaceDN w:val="0"/>
        <w:adjustRightInd w:val="0"/>
        <w:rPr>
          <w:sz w:val="20"/>
        </w:rPr>
      </w:pPr>
    </w:p>
    <w:p w:rsidR="00236E18" w:rsidRPr="00F01092" w:rsidRDefault="00236E18" w:rsidP="00236E18">
      <w:pPr>
        <w:keepNext/>
        <w:keepLines/>
        <w:autoSpaceDE w:val="0"/>
        <w:autoSpaceDN w:val="0"/>
        <w:adjustRightInd w:val="0"/>
      </w:pPr>
      <w:r w:rsidRPr="00F01092">
        <w:rPr>
          <w:lang w:val="es-ES_tradnl"/>
        </w:rPr>
        <w:lastRenderedPageBreak/>
        <w:t>PRINCIPALES RIESGOS Y ESTRATEGIAS DE MITIGACIÓN</w:t>
      </w:r>
    </w:p>
    <w:p w:rsidR="00236E18" w:rsidRPr="00F01092" w:rsidRDefault="00236E18" w:rsidP="00236E18">
      <w:pPr>
        <w:keepNext/>
        <w:keepLines/>
        <w:rPr>
          <w:rFonts w:eastAsia="Times New Roman"/>
          <w:sz w:val="20"/>
          <w:lang w:eastAsia="en-US"/>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236E18" w:rsidRPr="00F01092" w:rsidTr="00294272">
        <w:trPr>
          <w:trHeight w:val="577"/>
        </w:trPr>
        <w:tc>
          <w:tcPr>
            <w:tcW w:w="4111" w:type="dxa"/>
            <w:tcBorders>
              <w:top w:val="single" w:sz="4" w:space="0" w:color="auto"/>
              <w:bottom w:val="single" w:sz="4" w:space="0" w:color="auto"/>
            </w:tcBorders>
            <w:shd w:val="clear" w:color="auto" w:fill="C6D9F1"/>
            <w:vAlign w:val="center"/>
          </w:tcPr>
          <w:p w:rsidR="00236E18" w:rsidRPr="00F01092" w:rsidRDefault="00236E18" w:rsidP="00294272">
            <w:pPr>
              <w:keepNext/>
              <w:keepLines/>
              <w:jc w:val="center"/>
              <w:rPr>
                <w:rFonts w:eastAsia="Times New Roman"/>
                <w:b/>
                <w:bCs/>
                <w:sz w:val="18"/>
                <w:szCs w:val="18"/>
                <w:lang w:eastAsia="en-US"/>
              </w:rPr>
            </w:pPr>
            <w:r w:rsidRPr="00F01092">
              <w:rPr>
                <w:rFonts w:eastAsia="Times New Roman"/>
                <w:b/>
                <w:bCs/>
                <w:sz w:val="18"/>
                <w:szCs w:val="18"/>
                <w:lang w:val="es-ES_tradnl" w:eastAsia="en-US"/>
              </w:rPr>
              <w:t>Riesgo</w:t>
            </w:r>
          </w:p>
        </w:tc>
        <w:tc>
          <w:tcPr>
            <w:tcW w:w="5103" w:type="dxa"/>
            <w:tcBorders>
              <w:top w:val="single" w:sz="4" w:space="0" w:color="auto"/>
              <w:bottom w:val="single" w:sz="4" w:space="0" w:color="auto"/>
            </w:tcBorders>
            <w:shd w:val="clear" w:color="auto" w:fill="C6D9F1"/>
            <w:vAlign w:val="center"/>
          </w:tcPr>
          <w:p w:rsidR="00236E18" w:rsidRPr="00F01092" w:rsidRDefault="00236E18" w:rsidP="00294272">
            <w:pPr>
              <w:keepNext/>
              <w:keepLines/>
              <w:jc w:val="center"/>
              <w:rPr>
                <w:rFonts w:eastAsia="Times New Roman"/>
                <w:b/>
                <w:bCs/>
                <w:sz w:val="18"/>
                <w:szCs w:val="18"/>
                <w:lang w:eastAsia="en-US"/>
              </w:rPr>
            </w:pPr>
            <w:r w:rsidRPr="00F01092">
              <w:rPr>
                <w:rFonts w:eastAsia="Times New Roman"/>
                <w:b/>
                <w:bCs/>
                <w:sz w:val="18"/>
                <w:szCs w:val="18"/>
                <w:lang w:eastAsia="en-US"/>
              </w:rPr>
              <w:t>Mitigación</w:t>
            </w:r>
          </w:p>
        </w:tc>
      </w:tr>
      <w:tr w:rsidR="00236E18" w:rsidRPr="00F01092" w:rsidTr="00294272">
        <w:trPr>
          <w:trHeight w:val="1142"/>
        </w:trPr>
        <w:tc>
          <w:tcPr>
            <w:tcW w:w="4111" w:type="dxa"/>
            <w:shd w:val="clear" w:color="auto" w:fill="auto"/>
            <w:tcMar>
              <w:top w:w="113" w:type="dxa"/>
              <w:bottom w:w="113" w:type="dxa"/>
            </w:tcMar>
          </w:tcPr>
          <w:p w:rsidR="00236E18" w:rsidRPr="00F01092" w:rsidRDefault="00236E18" w:rsidP="00294272">
            <w:pPr>
              <w:keepNext/>
              <w:keepLines/>
              <w:rPr>
                <w:rFonts w:eastAsia="Times New Roman"/>
                <w:sz w:val="16"/>
                <w:szCs w:val="16"/>
                <w:lang w:eastAsia="en-US"/>
              </w:rPr>
            </w:pPr>
            <w:r w:rsidRPr="00F01092">
              <w:rPr>
                <w:rFonts w:eastAsia="Times New Roman"/>
                <w:sz w:val="16"/>
                <w:szCs w:val="16"/>
                <w:lang w:val="es-ES_tradnl" w:eastAsia="en-US"/>
              </w:rPr>
              <w:t>Si el Sistema del PCT y los sistemas de información conexos experimentan un nivel inaceptable de interrupciones, no se podrían aceptar las solicitudes PCT presentadas y, en consecuencia, se producirían efectos negativos en la tramitación y publicación de dichas solicitudes.  La reputación se vería afectada negativamente.</w:t>
            </w:r>
          </w:p>
        </w:tc>
        <w:tc>
          <w:tcPr>
            <w:tcW w:w="5103" w:type="dxa"/>
            <w:shd w:val="clear" w:color="auto" w:fill="auto"/>
            <w:tcMar>
              <w:top w:w="113" w:type="dxa"/>
              <w:bottom w:w="113" w:type="dxa"/>
            </w:tcMar>
          </w:tcPr>
          <w:p w:rsidR="00236E18" w:rsidRPr="00F01092" w:rsidRDefault="00236E18" w:rsidP="00294272">
            <w:pPr>
              <w:keepNext/>
              <w:keepLines/>
              <w:rPr>
                <w:rFonts w:eastAsia="Times New Roman"/>
                <w:sz w:val="16"/>
                <w:szCs w:val="16"/>
                <w:lang w:eastAsia="en-US"/>
              </w:rPr>
            </w:pPr>
            <w:r w:rsidRPr="00F01092">
              <w:rPr>
                <w:rFonts w:eastAsia="Times New Roman"/>
                <w:sz w:val="16"/>
                <w:szCs w:val="16"/>
                <w:lang w:eastAsia="en-US"/>
              </w:rPr>
              <w:t>Utilizar la infraestructura complementaria establecida durante el bienio 2014-2015, incorporando al mismo tiempo más capacidades complementarias y la posibilidad de perfeccionar el plan de continuidad de las actividades.</w:t>
            </w:r>
          </w:p>
          <w:p w:rsidR="00236E18" w:rsidRPr="00F01092" w:rsidRDefault="00236E18" w:rsidP="00294272">
            <w:pPr>
              <w:keepNext/>
              <w:keepLines/>
              <w:rPr>
                <w:rFonts w:eastAsia="Times New Roman"/>
                <w:sz w:val="16"/>
                <w:szCs w:val="16"/>
                <w:lang w:eastAsia="en-US"/>
              </w:rPr>
            </w:pPr>
          </w:p>
        </w:tc>
      </w:tr>
    </w:tbl>
    <w:p w:rsidR="00236E18" w:rsidRPr="00F01092" w:rsidRDefault="00236E18" w:rsidP="00236E18">
      <w:pPr>
        <w:rPr>
          <w:rFonts w:eastAsia="Times New Roman"/>
          <w:lang w:eastAsia="en-US"/>
        </w:rPr>
      </w:pPr>
    </w:p>
    <w:p w:rsidR="00236E18" w:rsidRPr="00F01092" w:rsidRDefault="00236E18" w:rsidP="00236E18">
      <w:pPr>
        <w:rPr>
          <w:rFonts w:eastAsia="Times New Roman"/>
          <w:lang w:eastAsia="en-US"/>
        </w:rPr>
      </w:pPr>
      <w:r w:rsidRPr="00F01092">
        <w:rPr>
          <w:rFonts w:eastAsia="Times New Roman"/>
          <w:lang w:val="es-ES_tradnl" w:eastAsia="en-US"/>
        </w:rPr>
        <w:t>MARCO DE RESULTADOS</w:t>
      </w:r>
    </w:p>
    <w:p w:rsidR="00236E18" w:rsidRPr="00F01092" w:rsidRDefault="00236E18" w:rsidP="00236E18">
      <w:pPr>
        <w:autoSpaceDE w:val="0"/>
        <w:autoSpaceDN w:val="0"/>
        <w:adjustRightInd w:val="0"/>
      </w:pPr>
    </w:p>
    <w:tbl>
      <w:tblPr>
        <w:tblW w:w="9229" w:type="dxa"/>
        <w:tblInd w:w="93" w:type="dxa"/>
        <w:tblLook w:val="04A0" w:firstRow="1" w:lastRow="0" w:firstColumn="1" w:lastColumn="0" w:noHBand="0" w:noVBand="1"/>
      </w:tblPr>
      <w:tblGrid>
        <w:gridCol w:w="1960"/>
        <w:gridCol w:w="2460"/>
        <w:gridCol w:w="2220"/>
        <w:gridCol w:w="2589"/>
      </w:tblGrid>
      <w:tr w:rsidR="00236E18" w:rsidRPr="00F01092" w:rsidTr="00294272">
        <w:trPr>
          <w:trHeight w:val="540"/>
        </w:trPr>
        <w:tc>
          <w:tcPr>
            <w:tcW w:w="1960" w:type="dxa"/>
            <w:tcBorders>
              <w:top w:val="single" w:sz="4" w:space="0" w:color="auto"/>
              <w:left w:val="single" w:sz="4" w:space="0" w:color="auto"/>
              <w:bottom w:val="single" w:sz="4" w:space="0" w:color="auto"/>
              <w:right w:val="nil"/>
            </w:tcBorders>
            <w:shd w:val="clear" w:color="auto" w:fill="C6D9F1"/>
            <w:vAlign w:val="center"/>
            <w:hideMark/>
          </w:tcPr>
          <w:p w:rsidR="00236E18" w:rsidRPr="00F01092" w:rsidRDefault="00236E18" w:rsidP="00294272">
            <w:pPr>
              <w:jc w:val="center"/>
              <w:rPr>
                <w:rFonts w:eastAsia="Times New Roman"/>
                <w:b/>
                <w:bCs/>
                <w:sz w:val="18"/>
                <w:szCs w:val="18"/>
                <w:lang w:eastAsia="en-US"/>
              </w:rPr>
            </w:pPr>
            <w:r w:rsidRPr="00F01092">
              <w:rPr>
                <w:rFonts w:eastAsia="Times New Roman"/>
                <w:b/>
                <w:bCs/>
                <w:sz w:val="18"/>
                <w:szCs w:val="18"/>
                <w:lang w:val="es-ES_tradnl" w:eastAsia="en-US"/>
              </w:rPr>
              <w:t>Resultados previstos</w:t>
            </w:r>
          </w:p>
        </w:tc>
        <w:tc>
          <w:tcPr>
            <w:tcW w:w="2460" w:type="dxa"/>
            <w:tcBorders>
              <w:top w:val="single" w:sz="4" w:space="0" w:color="auto"/>
              <w:left w:val="nil"/>
              <w:bottom w:val="single" w:sz="4" w:space="0" w:color="auto"/>
              <w:right w:val="nil"/>
            </w:tcBorders>
            <w:shd w:val="clear" w:color="auto" w:fill="C6D9F1"/>
            <w:vAlign w:val="center"/>
            <w:hideMark/>
          </w:tcPr>
          <w:p w:rsidR="00236E18" w:rsidRPr="00F01092" w:rsidRDefault="00236E18" w:rsidP="00294272">
            <w:pPr>
              <w:jc w:val="center"/>
              <w:rPr>
                <w:rFonts w:eastAsia="Times New Roman"/>
                <w:b/>
                <w:bCs/>
                <w:sz w:val="18"/>
                <w:szCs w:val="18"/>
                <w:lang w:eastAsia="en-US"/>
              </w:rPr>
            </w:pPr>
            <w:r w:rsidRPr="00F01092">
              <w:rPr>
                <w:rFonts w:eastAsia="Times New Roman"/>
                <w:b/>
                <w:bCs/>
                <w:sz w:val="18"/>
                <w:szCs w:val="18"/>
                <w:lang w:val="es-ES_tradnl" w:eastAsia="en-US"/>
              </w:rPr>
              <w:t>Indicadores de rendimiento</w:t>
            </w:r>
          </w:p>
        </w:tc>
        <w:tc>
          <w:tcPr>
            <w:tcW w:w="2220" w:type="dxa"/>
            <w:tcBorders>
              <w:top w:val="single" w:sz="4" w:space="0" w:color="auto"/>
              <w:left w:val="nil"/>
              <w:bottom w:val="single" w:sz="4" w:space="0" w:color="auto"/>
              <w:right w:val="nil"/>
            </w:tcBorders>
            <w:shd w:val="clear" w:color="auto" w:fill="C6D9F1"/>
            <w:vAlign w:val="center"/>
            <w:hideMark/>
          </w:tcPr>
          <w:p w:rsidR="00236E18" w:rsidRPr="00F01092" w:rsidRDefault="00236E18" w:rsidP="00294272">
            <w:pPr>
              <w:jc w:val="center"/>
              <w:rPr>
                <w:rFonts w:eastAsia="Times New Roman"/>
                <w:b/>
                <w:bCs/>
                <w:sz w:val="18"/>
                <w:szCs w:val="18"/>
                <w:lang w:eastAsia="en-US"/>
              </w:rPr>
            </w:pPr>
            <w:r w:rsidRPr="00F01092">
              <w:rPr>
                <w:rFonts w:eastAsia="Times New Roman"/>
                <w:b/>
                <w:bCs/>
                <w:sz w:val="18"/>
                <w:szCs w:val="18"/>
                <w:lang w:val="es-ES_tradnl" w:eastAsia="en-US"/>
              </w:rPr>
              <w:t>Referencia</w:t>
            </w:r>
          </w:p>
        </w:tc>
        <w:tc>
          <w:tcPr>
            <w:tcW w:w="2589" w:type="dxa"/>
            <w:tcBorders>
              <w:top w:val="single" w:sz="4" w:space="0" w:color="auto"/>
              <w:left w:val="nil"/>
              <w:bottom w:val="single" w:sz="4" w:space="0" w:color="auto"/>
              <w:right w:val="single" w:sz="4" w:space="0" w:color="auto"/>
            </w:tcBorders>
            <w:shd w:val="clear" w:color="auto" w:fill="C6D9F1"/>
            <w:vAlign w:val="center"/>
            <w:hideMark/>
          </w:tcPr>
          <w:p w:rsidR="00236E18" w:rsidRPr="00F01092" w:rsidRDefault="00236E18" w:rsidP="00294272">
            <w:pPr>
              <w:jc w:val="center"/>
              <w:rPr>
                <w:rFonts w:eastAsia="Times New Roman"/>
                <w:b/>
                <w:bCs/>
                <w:sz w:val="18"/>
                <w:szCs w:val="18"/>
                <w:lang w:eastAsia="en-US"/>
              </w:rPr>
            </w:pPr>
            <w:r w:rsidRPr="00F01092">
              <w:rPr>
                <w:rFonts w:eastAsia="Times New Roman"/>
                <w:b/>
                <w:bCs/>
                <w:sz w:val="18"/>
                <w:szCs w:val="18"/>
                <w:lang w:val="es-ES_tradnl" w:eastAsia="en-US"/>
              </w:rPr>
              <w:t>Objetivos</w:t>
            </w:r>
          </w:p>
        </w:tc>
      </w:tr>
      <w:tr w:rsidR="00236E18" w:rsidRPr="00F01092" w:rsidTr="00294272">
        <w:trPr>
          <w:trHeight w:val="1055"/>
        </w:trPr>
        <w:tc>
          <w:tcPr>
            <w:tcW w:w="1960" w:type="dxa"/>
            <w:vMerge w:val="restart"/>
            <w:tcBorders>
              <w:top w:val="single" w:sz="4" w:space="0" w:color="auto"/>
              <w:left w:val="single" w:sz="4" w:space="0" w:color="auto"/>
              <w:bottom w:val="nil"/>
              <w:right w:val="nil"/>
            </w:tcBorders>
            <w:shd w:val="clear" w:color="000000" w:fill="FFFFFF"/>
            <w:hideMark/>
          </w:tcPr>
          <w:p w:rsidR="00236E18" w:rsidRPr="00207B7E" w:rsidRDefault="00236E18" w:rsidP="00294272">
            <w:pPr>
              <w:rPr>
                <w:rFonts w:eastAsia="Times New Roman"/>
                <w:sz w:val="16"/>
                <w:szCs w:val="16"/>
                <w:lang w:val="es-ES_tradnl" w:eastAsia="en-US"/>
              </w:rPr>
            </w:pPr>
            <w:r w:rsidRPr="00F01092">
              <w:rPr>
                <w:rFonts w:eastAsia="Times New Roman"/>
                <w:sz w:val="16"/>
                <w:szCs w:val="16"/>
                <w:lang w:val="es-ES_tradnl" w:eastAsia="en-US"/>
              </w:rPr>
              <w:br/>
              <w:t xml:space="preserve">IX.1 </w:t>
            </w:r>
            <w:r>
              <w:rPr>
                <w:rFonts w:eastAsia="Times New Roman"/>
                <w:sz w:val="16"/>
                <w:szCs w:val="16"/>
                <w:lang w:val="es-ES_tradnl" w:eastAsia="en-US"/>
              </w:rPr>
              <w:t xml:space="preserve"> </w:t>
            </w:r>
            <w:r w:rsidRPr="00207B7E">
              <w:rPr>
                <w:sz w:val="16"/>
                <w:szCs w:val="16"/>
                <w:lang w:val="es-ES_tradnl"/>
              </w:rPr>
              <w:t>Servicios de apoyo eficaces, eficientes, de calidad y orientados al cliente, tanto a los usuarios internos como a las partes interesadas externas</w:t>
            </w:r>
          </w:p>
          <w:p w:rsidR="00236E18" w:rsidRPr="00207B7E"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sz w:val="16"/>
                <w:szCs w:val="16"/>
                <w:lang w:val="es-ES_tradnl" w:eastAsia="en-US"/>
              </w:rPr>
            </w:pPr>
          </w:p>
          <w:p w:rsidR="00236E18" w:rsidRDefault="00236E18" w:rsidP="00294272">
            <w:pPr>
              <w:rPr>
                <w:rFonts w:eastAsia="Times New Roman"/>
                <w:color w:val="000000"/>
                <w:sz w:val="16"/>
                <w:szCs w:val="16"/>
                <w:lang w:val="es-ES_tradnl" w:eastAsia="en-US"/>
              </w:rPr>
            </w:pPr>
          </w:p>
          <w:p w:rsidR="00236E18" w:rsidRDefault="00236E18" w:rsidP="00294272">
            <w:pPr>
              <w:rPr>
                <w:rFonts w:eastAsia="Times New Roman"/>
                <w:color w:val="000000"/>
                <w:sz w:val="16"/>
                <w:szCs w:val="16"/>
                <w:lang w:val="es-ES_tradnl" w:eastAsia="en-US"/>
              </w:rPr>
            </w:pPr>
          </w:p>
          <w:p w:rsidR="00236E18" w:rsidRDefault="00236E18" w:rsidP="00294272">
            <w:pPr>
              <w:rPr>
                <w:rFonts w:eastAsia="Times New Roman"/>
                <w:color w:val="000000"/>
                <w:sz w:val="16"/>
                <w:szCs w:val="16"/>
                <w:lang w:val="es-ES_tradnl" w:eastAsia="en-US"/>
              </w:rPr>
            </w:pPr>
          </w:p>
          <w:p w:rsidR="00236E18" w:rsidRPr="00532057" w:rsidRDefault="00236E18" w:rsidP="00294272">
            <w:pPr>
              <w:rPr>
                <w:rFonts w:eastAsia="Times New Roman"/>
                <w:sz w:val="16"/>
                <w:szCs w:val="16"/>
                <w:lang w:val="es-ES_tradnl" w:eastAsia="en-US"/>
              </w:rPr>
            </w:pPr>
            <w:r w:rsidRPr="00532057">
              <w:rPr>
                <w:rFonts w:eastAsia="Times New Roman"/>
                <w:color w:val="000000"/>
                <w:sz w:val="16"/>
                <w:szCs w:val="16"/>
                <w:lang w:val="es-ES_tradnl" w:eastAsia="en-US"/>
              </w:rPr>
              <w:t xml:space="preserve">IX.4  </w:t>
            </w:r>
            <w:r w:rsidRPr="00C97161">
              <w:rPr>
                <w:sz w:val="16"/>
                <w:szCs w:val="16"/>
                <w:lang w:val="es-ES_tradnl"/>
              </w:rPr>
              <w:t>Una Organización responsable con el medio ambiente y la sociedad en la que se garantiza la seguridad del personal de la OMPI, los delegados, los visitantes, la información y los activos físicos</w:t>
            </w:r>
          </w:p>
        </w:tc>
        <w:tc>
          <w:tcPr>
            <w:tcW w:w="2460" w:type="dxa"/>
            <w:tcBorders>
              <w:top w:val="single" w:sz="4" w:space="0" w:color="auto"/>
              <w:left w:val="nil"/>
              <w:bottom w:val="nil"/>
              <w:right w:val="nil"/>
            </w:tcBorders>
            <w:shd w:val="clear" w:color="000000" w:fill="FFFFFF"/>
            <w:hideMark/>
          </w:tcPr>
          <w:p w:rsidR="00236E18" w:rsidRPr="00F01092" w:rsidRDefault="00236E18" w:rsidP="00294272">
            <w:pPr>
              <w:ind w:leftChars="34" w:left="75"/>
              <w:rPr>
                <w:rFonts w:eastAsia="Times New Roman"/>
                <w:sz w:val="16"/>
                <w:szCs w:val="16"/>
                <w:lang w:eastAsia="en-US"/>
              </w:rPr>
            </w:pPr>
            <w:r w:rsidRPr="00532057">
              <w:rPr>
                <w:rFonts w:eastAsia="Times New Roman"/>
                <w:sz w:val="16"/>
                <w:szCs w:val="16"/>
                <w:lang w:val="es-ES_tradnl" w:eastAsia="en-US"/>
              </w:rPr>
              <w:br/>
            </w:r>
            <w:r w:rsidRPr="00F01092">
              <w:rPr>
                <w:rFonts w:eastAsia="Times New Roman"/>
                <w:sz w:val="16"/>
                <w:szCs w:val="16"/>
                <w:lang w:val="es-ES_tradnl" w:eastAsia="en-US"/>
              </w:rPr>
              <w:t xml:space="preserve">Alojamiento y gestión </w:t>
            </w:r>
            <w:proofErr w:type="spellStart"/>
            <w:r w:rsidRPr="00207B7E">
              <w:rPr>
                <w:rFonts w:eastAsia="Times New Roman"/>
                <w:sz w:val="16"/>
                <w:szCs w:val="16"/>
                <w:lang w:eastAsia="en-US"/>
              </w:rPr>
              <w:t>costoeficaces</w:t>
            </w:r>
            <w:proofErr w:type="spellEnd"/>
            <w:r w:rsidRPr="00F01092">
              <w:rPr>
                <w:rFonts w:eastAsia="Times New Roman"/>
                <w:sz w:val="16"/>
                <w:szCs w:val="16"/>
                <w:lang w:val="es-ES_tradnl" w:eastAsia="en-US"/>
              </w:rPr>
              <w:t xml:space="preserve"> de las plataformas de TIC en concordancia con las necesidades operativas.</w:t>
            </w:r>
          </w:p>
        </w:tc>
        <w:tc>
          <w:tcPr>
            <w:tcW w:w="2220" w:type="dxa"/>
            <w:tcBorders>
              <w:top w:val="single" w:sz="4" w:space="0" w:color="auto"/>
              <w:left w:val="nil"/>
              <w:bottom w:val="nil"/>
              <w:right w:val="nil"/>
            </w:tcBorders>
            <w:shd w:val="clear" w:color="000000" w:fill="FFFFFF"/>
            <w:hideMark/>
          </w:tcPr>
          <w:p w:rsidR="00236E18" w:rsidRPr="009C6B48" w:rsidRDefault="00236E18" w:rsidP="00294272">
            <w:pPr>
              <w:ind w:left="51"/>
              <w:rPr>
                <w:rFonts w:eastAsia="Times New Roman"/>
                <w:sz w:val="16"/>
                <w:szCs w:val="16"/>
                <w:lang w:eastAsia="en-US"/>
              </w:rPr>
            </w:pPr>
            <w:r w:rsidRPr="00F01092">
              <w:rPr>
                <w:rFonts w:eastAsia="Times New Roman"/>
                <w:sz w:val="16"/>
                <w:szCs w:val="16"/>
                <w:lang w:val="es-ES_tradnl" w:eastAsia="en-US"/>
              </w:rPr>
              <w:br/>
            </w:r>
            <w:proofErr w:type="spellStart"/>
            <w:r w:rsidRPr="009C6B48">
              <w:rPr>
                <w:rFonts w:eastAsia="Times New Roman"/>
                <w:sz w:val="16"/>
                <w:szCs w:val="16"/>
                <w:lang w:eastAsia="en-US"/>
              </w:rPr>
              <w:t>n.d</w:t>
            </w:r>
            <w:proofErr w:type="spellEnd"/>
            <w:r w:rsidRPr="009C6B48">
              <w:rPr>
                <w:rFonts w:eastAsia="Times New Roman"/>
                <w:sz w:val="16"/>
                <w:szCs w:val="16"/>
                <w:lang w:eastAsia="en-US"/>
              </w:rPr>
              <w:t xml:space="preserve">. </w:t>
            </w:r>
          </w:p>
        </w:tc>
        <w:tc>
          <w:tcPr>
            <w:tcW w:w="2589" w:type="dxa"/>
            <w:tcBorders>
              <w:top w:val="single" w:sz="4" w:space="0" w:color="auto"/>
              <w:left w:val="nil"/>
              <w:bottom w:val="nil"/>
              <w:right w:val="single" w:sz="4" w:space="0" w:color="auto"/>
            </w:tcBorders>
            <w:shd w:val="clear" w:color="000000" w:fill="FFFFFF"/>
            <w:hideMark/>
          </w:tcPr>
          <w:p w:rsidR="00236E18" w:rsidRPr="00F01092" w:rsidRDefault="00236E18" w:rsidP="00294272">
            <w:pPr>
              <w:ind w:leftChars="33" w:left="73"/>
              <w:rPr>
                <w:rFonts w:eastAsia="Times New Roman"/>
                <w:sz w:val="16"/>
                <w:szCs w:val="16"/>
                <w:lang w:eastAsia="en-US"/>
              </w:rPr>
            </w:pPr>
            <w:r w:rsidRPr="00F01092">
              <w:rPr>
                <w:rFonts w:eastAsia="Times New Roman"/>
                <w:sz w:val="16"/>
                <w:szCs w:val="16"/>
                <w:lang w:eastAsia="en-US"/>
              </w:rPr>
              <w:br/>
              <w:t>Se elaboran y conciertan nuevos acuerdos de prestación de servicios con los usuarios más importantes de los servicios de la plataforma TIC</w:t>
            </w:r>
          </w:p>
          <w:p w:rsidR="00236E18" w:rsidRPr="00F01092" w:rsidRDefault="00236E18" w:rsidP="00294272">
            <w:pPr>
              <w:ind w:left="213" w:firstLineChars="66" w:firstLine="106"/>
              <w:rPr>
                <w:rFonts w:eastAsia="Times New Roman"/>
                <w:sz w:val="16"/>
                <w:szCs w:val="16"/>
                <w:lang w:eastAsia="en-US"/>
              </w:rPr>
            </w:pPr>
          </w:p>
        </w:tc>
      </w:tr>
      <w:tr w:rsidR="00236E18" w:rsidRPr="00F01092" w:rsidTr="00294272">
        <w:trPr>
          <w:trHeight w:val="2159"/>
        </w:trPr>
        <w:tc>
          <w:tcPr>
            <w:tcW w:w="1960" w:type="dxa"/>
            <w:vMerge/>
            <w:tcBorders>
              <w:top w:val="nil"/>
              <w:left w:val="single" w:sz="4" w:space="0" w:color="auto"/>
              <w:bottom w:val="nil"/>
              <w:right w:val="nil"/>
            </w:tcBorders>
            <w:vAlign w:val="center"/>
            <w:hideMark/>
          </w:tcPr>
          <w:p w:rsidR="00236E18" w:rsidRPr="00F01092" w:rsidRDefault="00236E18" w:rsidP="00294272">
            <w:pPr>
              <w:rPr>
                <w:rFonts w:eastAsia="Times New Roman"/>
                <w:sz w:val="16"/>
                <w:szCs w:val="16"/>
                <w:lang w:eastAsia="en-US"/>
              </w:rPr>
            </w:pPr>
          </w:p>
        </w:tc>
        <w:tc>
          <w:tcPr>
            <w:tcW w:w="2460" w:type="dxa"/>
            <w:tcBorders>
              <w:top w:val="nil"/>
              <w:left w:val="nil"/>
              <w:bottom w:val="nil"/>
              <w:right w:val="nil"/>
            </w:tcBorders>
            <w:shd w:val="clear" w:color="000000" w:fill="FFFFFF"/>
            <w:hideMark/>
          </w:tcPr>
          <w:p w:rsidR="00236E18" w:rsidRPr="00F01092" w:rsidRDefault="00236E18" w:rsidP="00294272">
            <w:pPr>
              <w:ind w:left="215"/>
              <w:rPr>
                <w:rFonts w:eastAsia="Times New Roman"/>
                <w:sz w:val="16"/>
                <w:szCs w:val="16"/>
                <w:lang w:eastAsia="en-US"/>
              </w:rPr>
            </w:pPr>
          </w:p>
        </w:tc>
        <w:tc>
          <w:tcPr>
            <w:tcW w:w="2220" w:type="dxa"/>
            <w:tcBorders>
              <w:top w:val="nil"/>
              <w:left w:val="nil"/>
              <w:bottom w:val="nil"/>
              <w:right w:val="nil"/>
            </w:tcBorders>
            <w:shd w:val="clear" w:color="000000" w:fill="FFFFFF"/>
            <w:hideMark/>
          </w:tcPr>
          <w:p w:rsidR="00236E18" w:rsidRPr="00F01092" w:rsidRDefault="00236E18" w:rsidP="00294272">
            <w:pPr>
              <w:ind w:left="51"/>
              <w:rPr>
                <w:rFonts w:eastAsia="Times New Roman"/>
                <w:sz w:val="16"/>
                <w:szCs w:val="16"/>
                <w:lang w:eastAsia="en-US"/>
              </w:rPr>
            </w:pPr>
            <w:r w:rsidRPr="00F01092">
              <w:rPr>
                <w:rFonts w:eastAsia="Times New Roman"/>
                <w:sz w:val="16"/>
                <w:szCs w:val="16"/>
                <w:lang w:eastAsia="en-US"/>
              </w:rPr>
              <w:t xml:space="preserve">Costo unitario de los servidores:  448 </w:t>
            </w:r>
            <w:r>
              <w:rPr>
                <w:rFonts w:eastAsia="Times New Roman"/>
                <w:sz w:val="16"/>
                <w:szCs w:val="16"/>
                <w:lang w:eastAsia="en-US"/>
              </w:rPr>
              <w:t>francos suizos</w:t>
            </w:r>
            <w:r w:rsidRPr="00F01092">
              <w:rPr>
                <w:rFonts w:eastAsia="Times New Roman"/>
                <w:sz w:val="16"/>
                <w:szCs w:val="16"/>
                <w:lang w:eastAsia="en-US"/>
              </w:rPr>
              <w:t xml:space="preserve"> por mes;  costo unitario por TB de almacenamiento:  299 </w:t>
            </w:r>
            <w:r>
              <w:rPr>
                <w:rFonts w:eastAsia="Times New Roman"/>
                <w:sz w:val="16"/>
                <w:szCs w:val="16"/>
                <w:lang w:eastAsia="en-US"/>
              </w:rPr>
              <w:t>francos suizos</w:t>
            </w:r>
            <w:r w:rsidRPr="00F01092">
              <w:rPr>
                <w:rFonts w:eastAsia="Times New Roman"/>
                <w:sz w:val="16"/>
                <w:szCs w:val="16"/>
                <w:lang w:eastAsia="en-US"/>
              </w:rPr>
              <w:t xml:space="preserve"> por mes;  costo unitario por copia de seguridad por TB de almacenamiento:  370 </w:t>
            </w:r>
            <w:r>
              <w:rPr>
                <w:rFonts w:eastAsia="Times New Roman"/>
                <w:sz w:val="16"/>
                <w:szCs w:val="16"/>
                <w:lang w:eastAsia="en-US"/>
              </w:rPr>
              <w:t>francos suizos</w:t>
            </w:r>
            <w:r w:rsidRPr="00F01092">
              <w:rPr>
                <w:rFonts w:eastAsia="Times New Roman"/>
                <w:sz w:val="16"/>
                <w:szCs w:val="16"/>
                <w:lang w:eastAsia="en-US"/>
              </w:rPr>
              <w:t xml:space="preserve"> por mes (fin-2014);  n</w:t>
            </w:r>
            <w:r>
              <w:rPr>
                <w:rFonts w:eastAsia="Times New Roman"/>
                <w:sz w:val="16"/>
                <w:szCs w:val="16"/>
                <w:lang w:eastAsia="en-US"/>
              </w:rPr>
              <w:t>º</w:t>
            </w:r>
            <w:r w:rsidRPr="00F01092">
              <w:rPr>
                <w:rFonts w:eastAsia="Times New Roman"/>
                <w:sz w:val="16"/>
                <w:szCs w:val="16"/>
                <w:lang w:eastAsia="en-US"/>
              </w:rPr>
              <w:t xml:space="preserve"> de incidentes de servicio de impacto alto o medio:  1,75 por mes</w:t>
            </w:r>
            <w:r>
              <w:rPr>
                <w:rFonts w:eastAsia="Times New Roman"/>
                <w:sz w:val="16"/>
                <w:szCs w:val="16"/>
                <w:lang w:eastAsia="en-US"/>
              </w:rPr>
              <w:br/>
            </w:r>
          </w:p>
        </w:tc>
        <w:tc>
          <w:tcPr>
            <w:tcW w:w="2589" w:type="dxa"/>
            <w:tcBorders>
              <w:top w:val="nil"/>
              <w:left w:val="nil"/>
              <w:bottom w:val="nil"/>
              <w:right w:val="single" w:sz="4" w:space="0" w:color="auto"/>
            </w:tcBorders>
            <w:shd w:val="clear" w:color="000000" w:fill="FFFFFF"/>
            <w:hideMark/>
          </w:tcPr>
          <w:p w:rsidR="00236E18" w:rsidRPr="00F01092" w:rsidRDefault="00236E18" w:rsidP="00294272">
            <w:pPr>
              <w:ind w:leftChars="33" w:left="73"/>
              <w:rPr>
                <w:rFonts w:eastAsia="Times New Roman"/>
                <w:sz w:val="16"/>
                <w:szCs w:val="16"/>
                <w:lang w:eastAsia="en-US"/>
              </w:rPr>
            </w:pPr>
            <w:r w:rsidRPr="00F01092">
              <w:rPr>
                <w:rFonts w:eastAsia="Times New Roman"/>
                <w:sz w:val="16"/>
                <w:szCs w:val="16"/>
                <w:lang w:eastAsia="en-US"/>
              </w:rPr>
              <w:t xml:space="preserve">Los costos unitarios descienden como mínimo en un 5% por año;  no aumentan los incidentes de servicio de impacto medio o alto </w:t>
            </w:r>
          </w:p>
        </w:tc>
      </w:tr>
      <w:tr w:rsidR="00236E18" w:rsidRPr="00F01092" w:rsidTr="00294272">
        <w:trPr>
          <w:trHeight w:val="998"/>
        </w:trPr>
        <w:tc>
          <w:tcPr>
            <w:tcW w:w="1960" w:type="dxa"/>
            <w:vMerge/>
            <w:tcBorders>
              <w:top w:val="nil"/>
              <w:left w:val="single" w:sz="4" w:space="0" w:color="auto"/>
              <w:bottom w:val="nil"/>
              <w:right w:val="nil"/>
            </w:tcBorders>
            <w:vAlign w:val="center"/>
            <w:hideMark/>
          </w:tcPr>
          <w:p w:rsidR="00236E18" w:rsidRPr="00F01092" w:rsidRDefault="00236E18" w:rsidP="00294272">
            <w:pPr>
              <w:rPr>
                <w:rFonts w:eastAsia="Times New Roman"/>
                <w:sz w:val="16"/>
                <w:szCs w:val="16"/>
                <w:lang w:eastAsia="en-US"/>
              </w:rPr>
            </w:pPr>
          </w:p>
        </w:tc>
        <w:tc>
          <w:tcPr>
            <w:tcW w:w="2460" w:type="dxa"/>
            <w:tcBorders>
              <w:top w:val="nil"/>
              <w:left w:val="nil"/>
              <w:bottom w:val="nil"/>
              <w:right w:val="nil"/>
            </w:tcBorders>
            <w:shd w:val="clear" w:color="000000" w:fill="FFFFFF"/>
            <w:hideMark/>
          </w:tcPr>
          <w:p w:rsidR="00236E18" w:rsidRPr="00F01092" w:rsidRDefault="00236E18" w:rsidP="00294272">
            <w:pPr>
              <w:ind w:leftChars="34" w:left="75"/>
              <w:rPr>
                <w:rFonts w:eastAsia="Times New Roman"/>
                <w:sz w:val="16"/>
                <w:szCs w:val="16"/>
                <w:lang w:eastAsia="en-US"/>
              </w:rPr>
            </w:pPr>
            <w:r w:rsidRPr="00F01092">
              <w:rPr>
                <w:rFonts w:eastAsia="Times New Roman"/>
                <w:sz w:val="16"/>
                <w:szCs w:val="16"/>
                <w:lang w:eastAsia="en-US"/>
              </w:rPr>
              <w:t xml:space="preserve">Las actividades de desarrollo de aplicaciones se ajustan a </w:t>
            </w:r>
            <w:r w:rsidRPr="00C97161">
              <w:rPr>
                <w:rFonts w:eastAsia="Times New Roman"/>
                <w:sz w:val="16"/>
                <w:szCs w:val="16"/>
                <w:lang w:val="es-ES_tradnl" w:eastAsia="en-US"/>
              </w:rPr>
              <w:t>las</w:t>
            </w:r>
            <w:r w:rsidRPr="00F01092">
              <w:rPr>
                <w:rFonts w:eastAsia="Times New Roman"/>
                <w:sz w:val="16"/>
                <w:szCs w:val="16"/>
                <w:lang w:eastAsia="en-US"/>
              </w:rPr>
              <w:t xml:space="preserve"> normas relativas a los datos maestros y de referencia de la OMPI.</w:t>
            </w:r>
          </w:p>
          <w:p w:rsidR="00236E18" w:rsidRPr="00F01092" w:rsidRDefault="00236E18" w:rsidP="00294272">
            <w:pPr>
              <w:ind w:left="215"/>
              <w:rPr>
                <w:rFonts w:eastAsia="Times New Roman"/>
                <w:sz w:val="16"/>
                <w:szCs w:val="16"/>
                <w:lang w:eastAsia="en-US"/>
              </w:rPr>
            </w:pPr>
          </w:p>
        </w:tc>
        <w:tc>
          <w:tcPr>
            <w:tcW w:w="2220" w:type="dxa"/>
            <w:tcBorders>
              <w:top w:val="nil"/>
              <w:left w:val="nil"/>
              <w:bottom w:val="nil"/>
              <w:right w:val="nil"/>
            </w:tcBorders>
            <w:shd w:val="clear" w:color="000000" w:fill="FFFFFF"/>
            <w:hideMark/>
          </w:tcPr>
          <w:p w:rsidR="00236E18" w:rsidRPr="00F01092" w:rsidRDefault="00236E18" w:rsidP="00294272">
            <w:pPr>
              <w:ind w:left="51"/>
              <w:rPr>
                <w:rFonts w:eastAsia="Times New Roman"/>
                <w:sz w:val="16"/>
                <w:szCs w:val="16"/>
                <w:lang w:eastAsia="en-US"/>
              </w:rPr>
            </w:pPr>
            <w:proofErr w:type="spellStart"/>
            <w:r>
              <w:rPr>
                <w:rFonts w:eastAsia="Times New Roman"/>
                <w:sz w:val="16"/>
                <w:szCs w:val="16"/>
                <w:lang w:val="es-ES_tradnl" w:eastAsia="en-US"/>
              </w:rPr>
              <w:t>n.</w:t>
            </w:r>
            <w:r w:rsidRPr="00F01092">
              <w:rPr>
                <w:rFonts w:eastAsia="Times New Roman"/>
                <w:sz w:val="16"/>
                <w:szCs w:val="16"/>
                <w:lang w:val="es-ES_tradnl" w:eastAsia="en-US"/>
              </w:rPr>
              <w:t>d</w:t>
            </w:r>
            <w:proofErr w:type="spellEnd"/>
            <w:r>
              <w:rPr>
                <w:rFonts w:eastAsia="Times New Roman"/>
                <w:sz w:val="16"/>
                <w:szCs w:val="16"/>
                <w:lang w:val="es-ES_tradnl" w:eastAsia="en-US"/>
              </w:rPr>
              <w:t>.</w:t>
            </w:r>
            <w:r w:rsidRPr="00F01092">
              <w:rPr>
                <w:rFonts w:eastAsia="Times New Roman"/>
                <w:sz w:val="16"/>
                <w:szCs w:val="16"/>
                <w:lang w:eastAsia="en-US"/>
              </w:rPr>
              <w:t xml:space="preserve"> </w:t>
            </w:r>
          </w:p>
        </w:tc>
        <w:tc>
          <w:tcPr>
            <w:tcW w:w="2589" w:type="dxa"/>
            <w:tcBorders>
              <w:top w:val="nil"/>
              <w:left w:val="nil"/>
              <w:bottom w:val="nil"/>
              <w:right w:val="single" w:sz="4" w:space="0" w:color="auto"/>
            </w:tcBorders>
            <w:shd w:val="clear" w:color="000000" w:fill="FFFFFF"/>
            <w:hideMark/>
          </w:tcPr>
          <w:p w:rsidR="00236E18" w:rsidRPr="00F01092" w:rsidRDefault="00236E18" w:rsidP="00294272">
            <w:pPr>
              <w:ind w:leftChars="33" w:left="73"/>
              <w:rPr>
                <w:rFonts w:eastAsia="Times New Roman"/>
                <w:sz w:val="16"/>
                <w:szCs w:val="16"/>
                <w:lang w:eastAsia="en-US"/>
              </w:rPr>
            </w:pPr>
            <w:r w:rsidRPr="00F01092">
              <w:rPr>
                <w:rFonts w:eastAsia="Times New Roman"/>
                <w:sz w:val="16"/>
                <w:szCs w:val="16"/>
                <w:lang w:eastAsia="en-US"/>
              </w:rPr>
              <w:t>Al menos un equipo de desarrollo de aplicaciones recurre a la estrategia y al depósito de datos maestros y de referencia de la OMPI</w:t>
            </w:r>
          </w:p>
        </w:tc>
      </w:tr>
      <w:tr w:rsidR="00236E18" w:rsidRPr="00F01092" w:rsidTr="00294272">
        <w:trPr>
          <w:trHeight w:val="732"/>
        </w:trPr>
        <w:tc>
          <w:tcPr>
            <w:tcW w:w="1960" w:type="dxa"/>
            <w:vMerge/>
            <w:tcBorders>
              <w:top w:val="nil"/>
              <w:left w:val="single" w:sz="4" w:space="0" w:color="auto"/>
              <w:bottom w:val="nil"/>
              <w:right w:val="nil"/>
            </w:tcBorders>
            <w:vAlign w:val="center"/>
            <w:hideMark/>
          </w:tcPr>
          <w:p w:rsidR="00236E18" w:rsidRPr="00F01092" w:rsidRDefault="00236E18" w:rsidP="00294272">
            <w:pPr>
              <w:rPr>
                <w:rFonts w:eastAsia="Times New Roman"/>
                <w:sz w:val="16"/>
                <w:szCs w:val="16"/>
                <w:lang w:eastAsia="en-US"/>
              </w:rPr>
            </w:pPr>
          </w:p>
        </w:tc>
        <w:tc>
          <w:tcPr>
            <w:tcW w:w="2460" w:type="dxa"/>
            <w:tcBorders>
              <w:top w:val="nil"/>
              <w:left w:val="nil"/>
              <w:bottom w:val="nil"/>
              <w:right w:val="nil"/>
            </w:tcBorders>
            <w:shd w:val="clear" w:color="000000" w:fill="FFFFFF"/>
          </w:tcPr>
          <w:p w:rsidR="00236E18" w:rsidRPr="00F01092" w:rsidRDefault="00236E18" w:rsidP="00294272">
            <w:pPr>
              <w:ind w:leftChars="34" w:left="75"/>
              <w:rPr>
                <w:rFonts w:eastAsia="Times New Roman"/>
                <w:sz w:val="16"/>
                <w:szCs w:val="16"/>
                <w:lang w:eastAsia="en-US"/>
              </w:rPr>
            </w:pPr>
          </w:p>
        </w:tc>
        <w:tc>
          <w:tcPr>
            <w:tcW w:w="2220" w:type="dxa"/>
            <w:tcBorders>
              <w:top w:val="nil"/>
              <w:left w:val="nil"/>
              <w:bottom w:val="nil"/>
              <w:right w:val="nil"/>
            </w:tcBorders>
            <w:shd w:val="clear" w:color="000000" w:fill="FFFFFF"/>
          </w:tcPr>
          <w:p w:rsidR="00236E18" w:rsidRPr="00F01092" w:rsidRDefault="00236E18" w:rsidP="00294272">
            <w:pPr>
              <w:ind w:left="51"/>
              <w:rPr>
                <w:rFonts w:eastAsia="Times New Roman"/>
                <w:sz w:val="16"/>
                <w:szCs w:val="16"/>
                <w:lang w:eastAsia="en-US"/>
              </w:rPr>
            </w:pPr>
          </w:p>
        </w:tc>
        <w:tc>
          <w:tcPr>
            <w:tcW w:w="2589" w:type="dxa"/>
            <w:tcBorders>
              <w:top w:val="nil"/>
              <w:left w:val="nil"/>
              <w:bottom w:val="nil"/>
              <w:right w:val="single" w:sz="4" w:space="0" w:color="auto"/>
            </w:tcBorders>
            <w:shd w:val="clear" w:color="000000" w:fill="FFFFFF"/>
          </w:tcPr>
          <w:p w:rsidR="00236E18" w:rsidRPr="00F01092" w:rsidRDefault="00236E18" w:rsidP="00294272">
            <w:pPr>
              <w:ind w:leftChars="33" w:left="73"/>
              <w:rPr>
                <w:rFonts w:eastAsia="Times New Roman"/>
                <w:sz w:val="16"/>
                <w:szCs w:val="16"/>
                <w:lang w:eastAsia="en-US"/>
              </w:rPr>
            </w:pPr>
          </w:p>
        </w:tc>
      </w:tr>
      <w:tr w:rsidR="00236E18" w:rsidRPr="00F01092" w:rsidTr="00294272">
        <w:trPr>
          <w:trHeight w:val="716"/>
        </w:trPr>
        <w:tc>
          <w:tcPr>
            <w:tcW w:w="1960" w:type="dxa"/>
            <w:vMerge/>
            <w:tcBorders>
              <w:top w:val="nil"/>
              <w:left w:val="single" w:sz="4" w:space="0" w:color="auto"/>
              <w:bottom w:val="nil"/>
              <w:right w:val="nil"/>
            </w:tcBorders>
            <w:vAlign w:val="center"/>
            <w:hideMark/>
          </w:tcPr>
          <w:p w:rsidR="00236E18" w:rsidRPr="00F01092" w:rsidRDefault="00236E18" w:rsidP="00294272">
            <w:pPr>
              <w:rPr>
                <w:rFonts w:eastAsia="Times New Roman"/>
                <w:sz w:val="16"/>
                <w:szCs w:val="16"/>
                <w:lang w:eastAsia="en-US"/>
              </w:rPr>
            </w:pPr>
          </w:p>
        </w:tc>
        <w:tc>
          <w:tcPr>
            <w:tcW w:w="2460" w:type="dxa"/>
            <w:tcBorders>
              <w:top w:val="nil"/>
              <w:left w:val="nil"/>
              <w:bottom w:val="nil"/>
              <w:right w:val="nil"/>
            </w:tcBorders>
            <w:shd w:val="clear" w:color="000000" w:fill="FFFFFF"/>
            <w:hideMark/>
          </w:tcPr>
          <w:p w:rsidR="00236E18" w:rsidRPr="00F01092" w:rsidRDefault="00236E18" w:rsidP="00294272">
            <w:pPr>
              <w:ind w:left="215"/>
              <w:rPr>
                <w:rFonts w:eastAsia="Times New Roman"/>
                <w:sz w:val="16"/>
                <w:szCs w:val="16"/>
                <w:lang w:eastAsia="en-US"/>
              </w:rPr>
            </w:pPr>
          </w:p>
          <w:p w:rsidR="00236E18" w:rsidRPr="00F01092" w:rsidRDefault="00236E18" w:rsidP="00294272">
            <w:pPr>
              <w:ind w:leftChars="34" w:left="75"/>
              <w:rPr>
                <w:rFonts w:eastAsia="Times New Roman"/>
                <w:sz w:val="16"/>
                <w:szCs w:val="16"/>
                <w:lang w:eastAsia="en-US"/>
              </w:rPr>
            </w:pPr>
            <w:r w:rsidRPr="00F01092">
              <w:rPr>
                <w:rFonts w:eastAsia="Times New Roman"/>
                <w:sz w:val="16"/>
                <w:szCs w:val="16"/>
                <w:lang w:eastAsia="en-US"/>
              </w:rPr>
              <w:t>Porcentaje de clientes satisfechos con los servicios prestados por el servicio de asistencia</w:t>
            </w:r>
          </w:p>
        </w:tc>
        <w:tc>
          <w:tcPr>
            <w:tcW w:w="2220" w:type="dxa"/>
            <w:tcBorders>
              <w:top w:val="nil"/>
              <w:left w:val="nil"/>
              <w:bottom w:val="nil"/>
              <w:right w:val="nil"/>
            </w:tcBorders>
            <w:shd w:val="clear" w:color="000000" w:fill="FFFFFF"/>
            <w:hideMark/>
          </w:tcPr>
          <w:p w:rsidR="00236E18" w:rsidRPr="00F01092" w:rsidRDefault="00236E18" w:rsidP="00294272">
            <w:pPr>
              <w:ind w:left="307" w:firstLineChars="8" w:firstLine="13"/>
              <w:rPr>
                <w:rFonts w:eastAsia="Times New Roman"/>
                <w:sz w:val="16"/>
                <w:szCs w:val="16"/>
                <w:lang w:eastAsia="en-US"/>
              </w:rPr>
            </w:pPr>
          </w:p>
          <w:p w:rsidR="00236E18" w:rsidRDefault="00236E18" w:rsidP="00294272">
            <w:pPr>
              <w:ind w:left="51"/>
              <w:rPr>
                <w:rFonts w:eastAsia="Times New Roman"/>
                <w:sz w:val="16"/>
                <w:szCs w:val="16"/>
                <w:lang w:eastAsia="en-US"/>
              </w:rPr>
            </w:pPr>
            <w:r w:rsidRPr="00F01092">
              <w:rPr>
                <w:rFonts w:eastAsia="Times New Roman"/>
                <w:sz w:val="16"/>
                <w:szCs w:val="16"/>
                <w:lang w:eastAsia="en-US"/>
              </w:rPr>
              <w:t xml:space="preserve">El 97% de los clientes están satisfechos o muy satisfechos </w:t>
            </w:r>
            <w:r>
              <w:rPr>
                <w:rFonts w:eastAsia="Times New Roman"/>
                <w:sz w:val="16"/>
                <w:szCs w:val="16"/>
                <w:lang w:eastAsia="en-US"/>
              </w:rPr>
              <w:t xml:space="preserve">con </w:t>
            </w:r>
            <w:r w:rsidRPr="00F01092">
              <w:rPr>
                <w:rFonts w:eastAsia="Times New Roman"/>
                <w:sz w:val="16"/>
                <w:szCs w:val="16"/>
                <w:lang w:eastAsia="en-US"/>
              </w:rPr>
              <w:t>el servicio de asistencia</w:t>
            </w:r>
          </w:p>
          <w:p w:rsidR="00236E18" w:rsidRPr="00F01092" w:rsidRDefault="00236E18" w:rsidP="00294272">
            <w:pPr>
              <w:ind w:left="51"/>
              <w:rPr>
                <w:rFonts w:eastAsia="Times New Roman"/>
                <w:sz w:val="16"/>
                <w:szCs w:val="16"/>
                <w:lang w:eastAsia="en-US"/>
              </w:rPr>
            </w:pPr>
          </w:p>
        </w:tc>
        <w:tc>
          <w:tcPr>
            <w:tcW w:w="2589" w:type="dxa"/>
            <w:tcBorders>
              <w:top w:val="nil"/>
              <w:left w:val="nil"/>
              <w:bottom w:val="nil"/>
              <w:right w:val="single" w:sz="4" w:space="0" w:color="auto"/>
            </w:tcBorders>
            <w:shd w:val="clear" w:color="000000" w:fill="FFFFFF"/>
            <w:hideMark/>
          </w:tcPr>
          <w:p w:rsidR="00236E18" w:rsidRPr="00F01092" w:rsidRDefault="00236E18" w:rsidP="00294272">
            <w:pPr>
              <w:ind w:left="213"/>
              <w:rPr>
                <w:rFonts w:eastAsia="Times New Roman"/>
                <w:sz w:val="16"/>
                <w:szCs w:val="16"/>
                <w:lang w:eastAsia="en-US"/>
              </w:rPr>
            </w:pPr>
          </w:p>
          <w:p w:rsidR="00236E18" w:rsidRPr="00F01092" w:rsidRDefault="00236E18" w:rsidP="00294272">
            <w:pPr>
              <w:ind w:leftChars="33" w:left="73"/>
              <w:rPr>
                <w:rFonts w:eastAsia="Times New Roman"/>
                <w:sz w:val="16"/>
                <w:szCs w:val="16"/>
                <w:lang w:eastAsia="en-US"/>
              </w:rPr>
            </w:pPr>
            <w:r w:rsidRPr="00F01092">
              <w:rPr>
                <w:rFonts w:eastAsia="Times New Roman"/>
                <w:sz w:val="16"/>
                <w:szCs w:val="16"/>
                <w:lang w:eastAsia="en-US"/>
              </w:rPr>
              <w:t xml:space="preserve">Se mantiene el alto grado de satisfacción de los usuarios </w:t>
            </w:r>
          </w:p>
        </w:tc>
      </w:tr>
      <w:tr w:rsidR="00236E18" w:rsidRPr="006A3CA4" w:rsidTr="00294272">
        <w:trPr>
          <w:trHeight w:val="982"/>
        </w:trPr>
        <w:tc>
          <w:tcPr>
            <w:tcW w:w="1960" w:type="dxa"/>
            <w:vMerge/>
            <w:tcBorders>
              <w:top w:val="nil"/>
              <w:left w:val="single" w:sz="4" w:space="0" w:color="auto"/>
              <w:bottom w:val="single" w:sz="4" w:space="0" w:color="auto"/>
              <w:right w:val="nil"/>
            </w:tcBorders>
            <w:vAlign w:val="center"/>
            <w:hideMark/>
          </w:tcPr>
          <w:p w:rsidR="00236E18" w:rsidRPr="00F01092" w:rsidRDefault="00236E18" w:rsidP="00294272">
            <w:pPr>
              <w:rPr>
                <w:rFonts w:eastAsia="Times New Roman"/>
                <w:sz w:val="16"/>
                <w:szCs w:val="16"/>
                <w:lang w:eastAsia="en-US"/>
              </w:rPr>
            </w:pPr>
          </w:p>
        </w:tc>
        <w:tc>
          <w:tcPr>
            <w:tcW w:w="2460" w:type="dxa"/>
            <w:tcBorders>
              <w:top w:val="nil"/>
              <w:left w:val="nil"/>
              <w:bottom w:val="single" w:sz="4" w:space="0" w:color="auto"/>
              <w:right w:val="nil"/>
            </w:tcBorders>
            <w:shd w:val="clear" w:color="000000" w:fill="FFFFFF"/>
            <w:hideMark/>
          </w:tcPr>
          <w:p w:rsidR="00236E18" w:rsidRDefault="00236E18" w:rsidP="00294272">
            <w:pPr>
              <w:ind w:leftChars="34" w:left="75"/>
              <w:rPr>
                <w:rFonts w:eastAsia="Times New Roman"/>
                <w:sz w:val="16"/>
                <w:szCs w:val="16"/>
                <w:lang w:eastAsia="en-US"/>
              </w:rPr>
            </w:pPr>
            <w:r w:rsidRPr="00F01092">
              <w:rPr>
                <w:rFonts w:eastAsia="Times New Roman"/>
                <w:sz w:val="16"/>
                <w:szCs w:val="16"/>
                <w:lang w:eastAsia="en-US"/>
              </w:rPr>
              <w:t>Los proyectos de TIC de la OMPI se administran de conformidad con las Directrices para la gestión de proyectos y transición del servicio de la OMPI</w:t>
            </w:r>
          </w:p>
          <w:p w:rsidR="00236E18" w:rsidRDefault="00236E18" w:rsidP="00294272">
            <w:pPr>
              <w:ind w:left="215"/>
              <w:rPr>
                <w:rFonts w:eastAsia="Times New Roman"/>
                <w:sz w:val="16"/>
                <w:szCs w:val="16"/>
                <w:lang w:eastAsia="en-US"/>
              </w:rPr>
            </w:pPr>
          </w:p>
          <w:p w:rsidR="00236E18" w:rsidRDefault="00236E18" w:rsidP="00294272">
            <w:pPr>
              <w:ind w:leftChars="34" w:left="75"/>
              <w:rPr>
                <w:rFonts w:eastAsia="Times New Roman"/>
                <w:color w:val="000000"/>
                <w:sz w:val="16"/>
                <w:szCs w:val="16"/>
                <w:lang w:eastAsia="en-US"/>
              </w:rPr>
            </w:pPr>
          </w:p>
          <w:p w:rsidR="00236E18" w:rsidRDefault="00236E18" w:rsidP="00294272">
            <w:pPr>
              <w:ind w:leftChars="34" w:left="75"/>
              <w:rPr>
                <w:rFonts w:eastAsia="Times New Roman"/>
                <w:color w:val="000000"/>
                <w:sz w:val="16"/>
                <w:szCs w:val="16"/>
                <w:lang w:eastAsia="en-US"/>
              </w:rPr>
            </w:pPr>
          </w:p>
          <w:p w:rsidR="00236E18" w:rsidRDefault="00236E18" w:rsidP="00294272">
            <w:pPr>
              <w:ind w:leftChars="34" w:left="75"/>
              <w:rPr>
                <w:rFonts w:eastAsia="Times New Roman"/>
                <w:color w:val="000000"/>
                <w:sz w:val="16"/>
                <w:szCs w:val="16"/>
                <w:lang w:eastAsia="en-US"/>
              </w:rPr>
            </w:pPr>
          </w:p>
          <w:p w:rsidR="00236E18" w:rsidRPr="009C6B48" w:rsidRDefault="00236E18" w:rsidP="00294272">
            <w:pPr>
              <w:ind w:leftChars="34" w:left="75"/>
              <w:rPr>
                <w:rFonts w:eastAsia="Times New Roman"/>
                <w:sz w:val="16"/>
                <w:szCs w:val="16"/>
                <w:lang w:eastAsia="en-US"/>
              </w:rPr>
            </w:pPr>
            <w:r w:rsidRPr="009C6B48">
              <w:rPr>
                <w:rFonts w:eastAsia="Times New Roman"/>
                <w:color w:val="000000"/>
                <w:sz w:val="16"/>
                <w:szCs w:val="16"/>
                <w:lang w:eastAsia="en-US"/>
              </w:rPr>
              <w:t>Continuidad en el funcionamiento de los sistemas vitales de TIC</w:t>
            </w:r>
          </w:p>
        </w:tc>
        <w:tc>
          <w:tcPr>
            <w:tcW w:w="2220" w:type="dxa"/>
            <w:tcBorders>
              <w:top w:val="nil"/>
              <w:left w:val="nil"/>
              <w:bottom w:val="single" w:sz="4" w:space="0" w:color="auto"/>
              <w:right w:val="nil"/>
            </w:tcBorders>
            <w:shd w:val="clear" w:color="000000" w:fill="FFFFFF"/>
            <w:hideMark/>
          </w:tcPr>
          <w:p w:rsidR="00236E18" w:rsidRDefault="00236E18" w:rsidP="00294272">
            <w:pPr>
              <w:ind w:left="51"/>
              <w:rPr>
                <w:rFonts w:eastAsia="Times New Roman"/>
                <w:sz w:val="16"/>
                <w:szCs w:val="16"/>
                <w:lang w:eastAsia="en-US"/>
              </w:rPr>
            </w:pPr>
            <w:proofErr w:type="spellStart"/>
            <w:r>
              <w:rPr>
                <w:rFonts w:eastAsia="Times New Roman"/>
                <w:sz w:val="16"/>
                <w:szCs w:val="16"/>
                <w:lang w:eastAsia="en-US"/>
              </w:rPr>
              <w:t>n.d</w:t>
            </w:r>
            <w:proofErr w:type="spellEnd"/>
            <w:r>
              <w:rPr>
                <w:rFonts w:eastAsia="Times New Roman"/>
                <w:sz w:val="16"/>
                <w:szCs w:val="16"/>
                <w:lang w:eastAsia="en-US"/>
              </w:rPr>
              <w:t>. (nuevo)</w:t>
            </w:r>
          </w:p>
          <w:p w:rsidR="00236E18" w:rsidRDefault="00236E18" w:rsidP="00294272">
            <w:pPr>
              <w:ind w:left="51"/>
              <w:rPr>
                <w:rFonts w:eastAsia="Times New Roman"/>
                <w:sz w:val="16"/>
                <w:szCs w:val="16"/>
                <w:lang w:eastAsia="en-US"/>
              </w:rPr>
            </w:pPr>
          </w:p>
          <w:p w:rsidR="00236E18" w:rsidRDefault="00236E18" w:rsidP="00294272">
            <w:pPr>
              <w:ind w:left="51"/>
              <w:rPr>
                <w:rFonts w:eastAsia="Times New Roman"/>
                <w:sz w:val="16"/>
                <w:szCs w:val="16"/>
                <w:lang w:eastAsia="en-US"/>
              </w:rPr>
            </w:pPr>
          </w:p>
          <w:p w:rsidR="00236E18" w:rsidRDefault="00236E18" w:rsidP="00294272">
            <w:pPr>
              <w:ind w:left="51"/>
              <w:rPr>
                <w:rFonts w:eastAsia="Times New Roman"/>
                <w:sz w:val="16"/>
                <w:szCs w:val="16"/>
                <w:lang w:eastAsia="en-US"/>
              </w:rPr>
            </w:pPr>
          </w:p>
          <w:p w:rsidR="00236E18" w:rsidRDefault="00236E18" w:rsidP="00294272">
            <w:pPr>
              <w:ind w:left="51"/>
              <w:rPr>
                <w:rFonts w:eastAsia="Times New Roman"/>
                <w:sz w:val="16"/>
                <w:szCs w:val="16"/>
                <w:lang w:eastAsia="en-US"/>
              </w:rPr>
            </w:pPr>
            <w:r w:rsidRPr="00635BE4">
              <w:rPr>
                <w:rFonts w:eastAsia="Times New Roman"/>
                <w:sz w:val="16"/>
                <w:szCs w:val="16"/>
                <w:lang w:eastAsia="en-US"/>
              </w:rPr>
              <w:t>No se han definido las Directrices para la transición</w:t>
            </w:r>
            <w:r w:rsidRPr="00F01092">
              <w:rPr>
                <w:rFonts w:eastAsia="Times New Roman"/>
                <w:sz w:val="16"/>
                <w:szCs w:val="16"/>
                <w:lang w:eastAsia="en-US"/>
              </w:rPr>
              <w:t xml:space="preserve"> </w:t>
            </w:r>
          </w:p>
          <w:p w:rsidR="00236E18" w:rsidRDefault="00236E18" w:rsidP="00294272">
            <w:pPr>
              <w:ind w:left="51"/>
              <w:rPr>
                <w:rFonts w:eastAsia="Times New Roman"/>
                <w:color w:val="000000"/>
                <w:sz w:val="16"/>
                <w:szCs w:val="16"/>
                <w:lang w:eastAsia="en-US"/>
              </w:rPr>
            </w:pPr>
          </w:p>
          <w:p w:rsidR="00236E18" w:rsidRDefault="00236E18" w:rsidP="00294272">
            <w:pPr>
              <w:ind w:left="51"/>
              <w:rPr>
                <w:rFonts w:eastAsia="Times New Roman"/>
                <w:color w:val="000000"/>
                <w:sz w:val="16"/>
                <w:szCs w:val="16"/>
                <w:lang w:eastAsia="en-US"/>
              </w:rPr>
            </w:pPr>
          </w:p>
          <w:p w:rsidR="00236E18" w:rsidRDefault="00236E18" w:rsidP="00294272">
            <w:pPr>
              <w:ind w:left="51"/>
              <w:rPr>
                <w:rFonts w:eastAsia="Times New Roman"/>
                <w:color w:val="000000"/>
                <w:sz w:val="16"/>
                <w:szCs w:val="16"/>
                <w:lang w:eastAsia="en-US"/>
              </w:rPr>
            </w:pPr>
          </w:p>
          <w:p w:rsidR="00236E18" w:rsidRPr="009C6B48" w:rsidRDefault="00236E18" w:rsidP="00294272">
            <w:pPr>
              <w:ind w:left="51"/>
              <w:rPr>
                <w:rFonts w:eastAsia="Times New Roman"/>
                <w:sz w:val="16"/>
                <w:szCs w:val="16"/>
                <w:lang w:eastAsia="en-US"/>
              </w:rPr>
            </w:pPr>
            <w:r>
              <w:rPr>
                <w:rFonts w:eastAsia="Times New Roman"/>
                <w:color w:val="000000"/>
                <w:sz w:val="16"/>
                <w:szCs w:val="16"/>
                <w:lang w:eastAsia="en-US"/>
              </w:rPr>
              <w:t>Recuperación oportuna de l</w:t>
            </w:r>
            <w:r w:rsidRPr="009C6B48">
              <w:rPr>
                <w:rFonts w:eastAsia="Times New Roman"/>
                <w:color w:val="000000"/>
                <w:sz w:val="16"/>
                <w:szCs w:val="16"/>
                <w:lang w:eastAsia="en-US"/>
              </w:rPr>
              <w:t xml:space="preserve">os sistemas vitales </w:t>
            </w:r>
            <w:r>
              <w:rPr>
                <w:rFonts w:eastAsia="Times New Roman"/>
                <w:color w:val="000000"/>
                <w:sz w:val="16"/>
                <w:szCs w:val="16"/>
                <w:lang w:eastAsia="en-US"/>
              </w:rPr>
              <w:t>s</w:t>
            </w:r>
            <w:r w:rsidRPr="009C6B48">
              <w:rPr>
                <w:rFonts w:eastAsia="Times New Roman"/>
                <w:color w:val="000000"/>
                <w:sz w:val="16"/>
                <w:szCs w:val="16"/>
                <w:lang w:eastAsia="en-US"/>
              </w:rPr>
              <w:t>i</w:t>
            </w:r>
            <w:r>
              <w:rPr>
                <w:rFonts w:eastAsia="Times New Roman"/>
                <w:color w:val="000000"/>
                <w:sz w:val="16"/>
                <w:szCs w:val="16"/>
                <w:lang w:eastAsia="en-US"/>
              </w:rPr>
              <w:t>n pérdida de datos</w:t>
            </w:r>
            <w:r w:rsidRPr="009C6B48">
              <w:rPr>
                <w:rFonts w:eastAsia="Times New Roman"/>
                <w:color w:val="000000"/>
                <w:sz w:val="16"/>
                <w:szCs w:val="16"/>
                <w:lang w:eastAsia="en-US"/>
              </w:rPr>
              <w:t xml:space="preserve"> </w:t>
            </w:r>
            <w:r>
              <w:rPr>
                <w:rFonts w:eastAsia="Times New Roman"/>
                <w:color w:val="000000"/>
                <w:sz w:val="16"/>
                <w:szCs w:val="16"/>
                <w:lang w:eastAsia="en-US"/>
              </w:rPr>
              <w:t>en caso de importante perturbación localizada</w:t>
            </w:r>
          </w:p>
        </w:tc>
        <w:tc>
          <w:tcPr>
            <w:tcW w:w="2589" w:type="dxa"/>
            <w:tcBorders>
              <w:top w:val="nil"/>
              <w:left w:val="nil"/>
              <w:bottom w:val="single" w:sz="4" w:space="0" w:color="auto"/>
              <w:right w:val="single" w:sz="4" w:space="0" w:color="auto"/>
            </w:tcBorders>
            <w:shd w:val="clear" w:color="000000" w:fill="FFFFFF"/>
            <w:hideMark/>
          </w:tcPr>
          <w:p w:rsidR="00236E18" w:rsidRDefault="00236E18" w:rsidP="00294272">
            <w:pPr>
              <w:ind w:leftChars="33" w:left="73"/>
              <w:rPr>
                <w:rFonts w:eastAsia="Times New Roman"/>
                <w:sz w:val="16"/>
                <w:szCs w:val="16"/>
                <w:lang w:eastAsia="en-US"/>
              </w:rPr>
            </w:pPr>
            <w:r>
              <w:rPr>
                <w:rFonts w:eastAsia="Times New Roman"/>
                <w:sz w:val="16"/>
                <w:szCs w:val="16"/>
                <w:lang w:eastAsia="en-US"/>
              </w:rPr>
              <w:t xml:space="preserve">Más del 70% de los proyectos son gestionados conforme a las Directrices de la </w:t>
            </w:r>
            <w:r w:rsidRPr="00635BE4">
              <w:rPr>
                <w:rFonts w:eastAsia="Times New Roman"/>
                <w:sz w:val="16"/>
                <w:szCs w:val="16"/>
                <w:lang w:eastAsia="en-US"/>
              </w:rPr>
              <w:t>OMPI</w:t>
            </w:r>
            <w:r>
              <w:rPr>
                <w:rFonts w:eastAsia="Times New Roman"/>
                <w:sz w:val="16"/>
                <w:szCs w:val="16"/>
                <w:lang w:eastAsia="en-US"/>
              </w:rPr>
              <w:t xml:space="preserve"> para la gestión de proyectos</w:t>
            </w:r>
          </w:p>
          <w:p w:rsidR="00236E18" w:rsidRDefault="00236E18" w:rsidP="00294272">
            <w:pPr>
              <w:ind w:leftChars="33" w:left="73"/>
              <w:rPr>
                <w:rFonts w:eastAsia="Times New Roman"/>
                <w:sz w:val="16"/>
                <w:szCs w:val="16"/>
                <w:lang w:eastAsia="en-US"/>
              </w:rPr>
            </w:pPr>
          </w:p>
          <w:p w:rsidR="00236E18" w:rsidRDefault="00236E18" w:rsidP="00294272">
            <w:pPr>
              <w:ind w:leftChars="33" w:left="73"/>
              <w:rPr>
                <w:rFonts w:eastAsia="Times New Roman"/>
                <w:sz w:val="16"/>
                <w:szCs w:val="16"/>
                <w:lang w:eastAsia="en-US"/>
              </w:rPr>
            </w:pPr>
            <w:r w:rsidRPr="00F01092">
              <w:rPr>
                <w:rFonts w:eastAsia="Times New Roman"/>
                <w:sz w:val="16"/>
                <w:szCs w:val="16"/>
                <w:lang w:eastAsia="en-US"/>
              </w:rPr>
              <w:t xml:space="preserve">El 70% de los nuevos proyectos ejecutados cumplen las Directrices para la </w:t>
            </w:r>
            <w:r>
              <w:rPr>
                <w:rFonts w:eastAsia="Times New Roman"/>
                <w:sz w:val="16"/>
                <w:szCs w:val="16"/>
                <w:lang w:eastAsia="en-US"/>
              </w:rPr>
              <w:t>transición del servicio</w:t>
            </w:r>
          </w:p>
          <w:p w:rsidR="00236E18" w:rsidRDefault="00236E18" w:rsidP="00294272">
            <w:pPr>
              <w:ind w:left="51"/>
              <w:rPr>
                <w:rFonts w:eastAsia="Times New Roman"/>
                <w:sz w:val="16"/>
                <w:szCs w:val="16"/>
                <w:lang w:eastAsia="en-US"/>
              </w:rPr>
            </w:pPr>
          </w:p>
          <w:p w:rsidR="00236E18" w:rsidRPr="009C6B48" w:rsidRDefault="00236E18" w:rsidP="00294272">
            <w:pPr>
              <w:ind w:left="51"/>
              <w:rPr>
                <w:rFonts w:eastAsia="Times New Roman"/>
                <w:sz w:val="16"/>
                <w:szCs w:val="16"/>
                <w:lang w:eastAsia="en-US"/>
              </w:rPr>
            </w:pPr>
            <w:r w:rsidRPr="009C6B48">
              <w:rPr>
                <w:rFonts w:eastAsia="Times New Roman"/>
                <w:color w:val="000000"/>
                <w:sz w:val="16"/>
                <w:szCs w:val="16"/>
                <w:lang w:eastAsia="en-US"/>
              </w:rPr>
              <w:t>Se avanza hacia una plataforma de TIC que permita que continúen</w:t>
            </w:r>
            <w:r>
              <w:rPr>
                <w:rFonts w:eastAsia="Times New Roman"/>
                <w:color w:val="000000"/>
                <w:sz w:val="16"/>
                <w:szCs w:val="16"/>
                <w:lang w:eastAsia="en-US"/>
              </w:rPr>
              <w:t xml:space="preserve"> funcionando los sistemas vitales en caso de una importante perturbación regional</w:t>
            </w:r>
          </w:p>
        </w:tc>
      </w:tr>
    </w:tbl>
    <w:p w:rsidR="00236E18" w:rsidRPr="00984EFC" w:rsidRDefault="00236E18" w:rsidP="00236E18">
      <w:pPr>
        <w:rPr>
          <w:lang w:val="es-ES_tradnl"/>
        </w:rPr>
      </w:pPr>
    </w:p>
    <w:p w:rsidR="00236E18" w:rsidRPr="007378C1" w:rsidRDefault="00236E18" w:rsidP="00236E18">
      <w:pPr>
        <w:autoSpaceDE w:val="0"/>
        <w:autoSpaceDN w:val="0"/>
        <w:adjustRightInd w:val="0"/>
        <w:rPr>
          <w:highlight w:val="lightGray"/>
        </w:rPr>
      </w:pPr>
      <w:r>
        <w:t>RECURSOS PARA EL PROGRAMA</w:t>
      </w:r>
      <w:r w:rsidRPr="000E2CFF">
        <w:t xml:space="preserve"> 25</w:t>
      </w:r>
    </w:p>
    <w:p w:rsidR="00236E18" w:rsidRDefault="00236E18" w:rsidP="00236E18">
      <w:pPr>
        <w:autoSpaceDE w:val="0"/>
        <w:autoSpaceDN w:val="0"/>
        <w:adjustRightInd w:val="0"/>
        <w:rPr>
          <w:highlight w:val="lightGray"/>
        </w:rPr>
      </w:pPr>
    </w:p>
    <w:p w:rsidR="00236E18" w:rsidRPr="00F01092" w:rsidRDefault="00236E18" w:rsidP="00236E18">
      <w:pPr>
        <w:pStyle w:val="ListParagraph"/>
        <w:numPr>
          <w:ilvl w:val="0"/>
          <w:numId w:val="41"/>
        </w:numPr>
        <w:tabs>
          <w:tab w:val="left" w:pos="709"/>
        </w:tabs>
        <w:autoSpaceDE w:val="0"/>
        <w:autoSpaceDN w:val="0"/>
        <w:adjustRightInd w:val="0"/>
        <w:ind w:left="0" w:firstLine="0"/>
        <w:jc w:val="both"/>
        <w:rPr>
          <w:rFonts w:ascii="Arial" w:hAnsi="Arial" w:cs="Arial"/>
          <w:sz w:val="20"/>
          <w:szCs w:val="20"/>
          <w:lang w:val="es-ES"/>
        </w:rPr>
      </w:pPr>
      <w:r w:rsidRPr="000E2CFF">
        <w:rPr>
          <w:rFonts w:ascii="Arial" w:hAnsi="Arial" w:cs="Arial"/>
          <w:sz w:val="20"/>
          <w:szCs w:val="20"/>
          <w:lang w:val="es-ES"/>
        </w:rPr>
        <w:t xml:space="preserve">En 2016/17, </w:t>
      </w:r>
      <w:r>
        <w:rPr>
          <w:rFonts w:ascii="Arial" w:hAnsi="Arial" w:cs="Arial"/>
          <w:sz w:val="20"/>
          <w:szCs w:val="20"/>
          <w:lang w:val="es-ES"/>
        </w:rPr>
        <w:t xml:space="preserve">la dotación global </w:t>
      </w:r>
      <w:r w:rsidRPr="000E2CFF">
        <w:rPr>
          <w:rFonts w:ascii="Arial" w:hAnsi="Arial" w:cs="Arial"/>
          <w:sz w:val="20"/>
          <w:szCs w:val="20"/>
          <w:lang w:val="es-ES"/>
        </w:rPr>
        <w:t xml:space="preserve">de recursos para el programa </w:t>
      </w:r>
      <w:r>
        <w:rPr>
          <w:rFonts w:ascii="Arial" w:hAnsi="Arial" w:cs="Arial"/>
          <w:sz w:val="20"/>
          <w:szCs w:val="20"/>
          <w:lang w:val="es-ES"/>
        </w:rPr>
        <w:t>evidencia</w:t>
      </w:r>
      <w:r w:rsidRPr="000E2CFF">
        <w:rPr>
          <w:rFonts w:ascii="Arial" w:hAnsi="Arial" w:cs="Arial"/>
          <w:sz w:val="20"/>
          <w:szCs w:val="20"/>
          <w:lang w:val="es-ES"/>
        </w:rPr>
        <w:t xml:space="preserve"> un incremento neto de aproximadamente 5,7 millones de francos suizos con respecto al presupuesto de 2014/</w:t>
      </w:r>
      <w:r>
        <w:rPr>
          <w:rFonts w:ascii="Arial" w:hAnsi="Arial" w:cs="Arial"/>
          <w:sz w:val="20"/>
          <w:szCs w:val="20"/>
          <w:lang w:val="es-ES"/>
        </w:rPr>
        <w:t>15 tras las</w:t>
      </w:r>
      <w:r w:rsidRPr="000E2CFF">
        <w:rPr>
          <w:rFonts w:ascii="Arial" w:hAnsi="Arial" w:cs="Arial"/>
          <w:sz w:val="20"/>
          <w:szCs w:val="20"/>
          <w:lang w:val="es-ES"/>
        </w:rPr>
        <w:t xml:space="preserve"> transferencias.  Ello se debe, por una parte, a una disminución en los recursos de personal como consecuencia de la transferencia, al programa 28 (Aseguramiento de la información, seguridad y vigilancia) de las actividades relativas al aseguramiento de la información, lo que se refleja en el resultado previsto IX.4 y, por otra, al incremento sustancial en los recursos </w:t>
      </w:r>
      <w:r>
        <w:rPr>
          <w:rFonts w:ascii="Arial" w:hAnsi="Arial" w:cs="Arial"/>
          <w:sz w:val="20"/>
          <w:szCs w:val="20"/>
          <w:lang w:val="es-ES"/>
        </w:rPr>
        <w:t>no relativos a personal</w:t>
      </w:r>
      <w:r w:rsidRPr="000E2CFF">
        <w:rPr>
          <w:rFonts w:ascii="Arial" w:hAnsi="Arial" w:cs="Arial"/>
          <w:sz w:val="20"/>
          <w:szCs w:val="20"/>
          <w:lang w:val="es-ES"/>
        </w:rPr>
        <w:t xml:space="preserve">, debido a la mayor dependencia de la Organización de una infraestructura y unos servicios de TIC fiables y eficaces, lo que se refleja en el resultado previsto IX.1.  Los recursos en el marco del resultado previsto IX.4 reflejan la colaboración del programa con el programa 5 (Sistema del PCT) para </w:t>
      </w:r>
      <w:r>
        <w:rPr>
          <w:rFonts w:ascii="Arial" w:hAnsi="Arial" w:cs="Arial"/>
          <w:sz w:val="20"/>
          <w:szCs w:val="20"/>
          <w:lang w:val="es-ES"/>
        </w:rPr>
        <w:t>mejorar tanto</w:t>
      </w:r>
      <w:r w:rsidRPr="000E2CFF">
        <w:rPr>
          <w:rFonts w:ascii="Arial" w:hAnsi="Arial" w:cs="Arial"/>
          <w:sz w:val="20"/>
          <w:szCs w:val="20"/>
          <w:lang w:val="es-ES"/>
        </w:rPr>
        <w:t xml:space="preserve"> la capacidad de </w:t>
      </w:r>
      <w:r>
        <w:rPr>
          <w:rFonts w:ascii="Arial" w:hAnsi="Arial" w:cs="Arial"/>
          <w:sz w:val="20"/>
          <w:szCs w:val="20"/>
          <w:lang w:val="es-ES"/>
        </w:rPr>
        <w:t>reacción y recuperación</w:t>
      </w:r>
      <w:r w:rsidRPr="000E2CFF">
        <w:rPr>
          <w:rFonts w:ascii="Arial" w:hAnsi="Arial" w:cs="Arial"/>
          <w:sz w:val="20"/>
          <w:szCs w:val="20"/>
          <w:lang w:val="es-ES"/>
        </w:rPr>
        <w:t xml:space="preserve"> </w:t>
      </w:r>
      <w:r>
        <w:rPr>
          <w:rFonts w:ascii="Arial" w:hAnsi="Arial" w:cs="Arial"/>
          <w:sz w:val="20"/>
          <w:szCs w:val="20"/>
          <w:lang w:val="es-ES"/>
        </w:rPr>
        <w:t>como</w:t>
      </w:r>
      <w:r w:rsidRPr="000E2CFF">
        <w:rPr>
          <w:rFonts w:ascii="Arial" w:hAnsi="Arial" w:cs="Arial"/>
          <w:sz w:val="20"/>
          <w:szCs w:val="20"/>
          <w:lang w:val="es-ES"/>
        </w:rPr>
        <w:t xml:space="preserve"> los nivel</w:t>
      </w:r>
      <w:r>
        <w:rPr>
          <w:rFonts w:ascii="Arial" w:hAnsi="Arial" w:cs="Arial"/>
          <w:sz w:val="20"/>
          <w:szCs w:val="20"/>
          <w:lang w:val="es-ES"/>
        </w:rPr>
        <w:t>es de seguridad del PCT</w:t>
      </w:r>
      <w:r w:rsidRPr="000E2CFF">
        <w:rPr>
          <w:rFonts w:ascii="Arial" w:hAnsi="Arial" w:cs="Arial"/>
          <w:sz w:val="20"/>
          <w:szCs w:val="20"/>
          <w:lang w:val="es-ES"/>
        </w:rPr>
        <w:t>.</w:t>
      </w:r>
    </w:p>
    <w:p w:rsidR="00236E18" w:rsidRDefault="00236E18" w:rsidP="00236E18">
      <w:pPr>
        <w:autoSpaceDE w:val="0"/>
        <w:autoSpaceDN w:val="0"/>
        <w:adjustRightInd w:val="0"/>
        <w:rPr>
          <w:highlight w:val="lightGray"/>
        </w:rPr>
      </w:pPr>
    </w:p>
    <w:p w:rsidR="00236E18" w:rsidRPr="000E2CFF" w:rsidRDefault="00236E18" w:rsidP="00236E18">
      <w:pPr>
        <w:autoSpaceDE w:val="0"/>
        <w:autoSpaceDN w:val="0"/>
        <w:adjustRightInd w:val="0"/>
        <w:rPr>
          <w:sz w:val="20"/>
          <w:highlight w:val="lightGray"/>
        </w:rPr>
      </w:pPr>
    </w:p>
    <w:p w:rsidR="00236E18" w:rsidRPr="00446960" w:rsidRDefault="00236E18" w:rsidP="00236E18">
      <w:pPr>
        <w:keepNext/>
        <w:keepLines/>
        <w:tabs>
          <w:tab w:val="left" w:pos="1427"/>
        </w:tabs>
        <w:jc w:val="center"/>
        <w:rPr>
          <w:sz w:val="20"/>
          <w:highlight w:val="lightGray"/>
          <w:lang w:eastAsia="en-US"/>
        </w:rPr>
      </w:pPr>
      <w:r w:rsidRPr="00446960">
        <w:rPr>
          <w:b/>
          <w:sz w:val="20"/>
          <w:szCs w:val="24"/>
        </w:rPr>
        <w:t>Programa 25</w:t>
      </w:r>
      <w:proofErr w:type="gramStart"/>
      <w:r w:rsidRPr="00446960">
        <w:rPr>
          <w:b/>
          <w:sz w:val="20"/>
          <w:szCs w:val="24"/>
        </w:rPr>
        <w:t xml:space="preserve">:  </w:t>
      </w:r>
      <w:r w:rsidRPr="00073668">
        <w:rPr>
          <w:rFonts w:eastAsiaTheme="minorEastAsia"/>
          <w:b/>
          <w:sz w:val="20"/>
        </w:rPr>
        <w:t>Recursos</w:t>
      </w:r>
      <w:proofErr w:type="gramEnd"/>
      <w:r w:rsidRPr="00073668">
        <w:rPr>
          <w:rFonts w:eastAsiaTheme="minorEastAsia"/>
          <w:b/>
          <w:sz w:val="20"/>
        </w:rPr>
        <w:t xml:space="preserve"> por resultado</w:t>
      </w:r>
    </w:p>
    <w:p w:rsidR="00236E18" w:rsidRPr="00446960" w:rsidRDefault="00236E18" w:rsidP="00236E18">
      <w:pPr>
        <w:keepNext/>
        <w:keepLines/>
        <w:tabs>
          <w:tab w:val="left" w:pos="1427"/>
        </w:tabs>
        <w:spacing w:after="120"/>
        <w:jc w:val="center"/>
        <w:rPr>
          <w:i/>
          <w:sz w:val="20"/>
          <w:szCs w:val="24"/>
          <w:highlight w:val="lightGray"/>
        </w:rPr>
      </w:pPr>
      <w:r w:rsidRPr="00446960">
        <w:rPr>
          <w:i/>
          <w:sz w:val="20"/>
          <w:szCs w:val="24"/>
        </w:rPr>
        <w:t>(</w:t>
      </w:r>
      <w:proofErr w:type="gramStart"/>
      <w:r w:rsidRPr="00446960">
        <w:rPr>
          <w:i/>
          <w:sz w:val="20"/>
          <w:szCs w:val="24"/>
        </w:rPr>
        <w:t>en</w:t>
      </w:r>
      <w:proofErr w:type="gramEnd"/>
      <w:r w:rsidRPr="00446960">
        <w:rPr>
          <w:i/>
          <w:sz w:val="20"/>
          <w:szCs w:val="24"/>
        </w:rPr>
        <w:t xml:space="preserve"> miles de francos suizos)</w:t>
      </w:r>
    </w:p>
    <w:p w:rsidR="00236E18" w:rsidRPr="009C6B48" w:rsidRDefault="00236E18" w:rsidP="00236E18">
      <w:pPr>
        <w:keepNext/>
        <w:keepLines/>
        <w:autoSpaceDE w:val="0"/>
        <w:autoSpaceDN w:val="0"/>
        <w:adjustRightInd w:val="0"/>
        <w:jc w:val="center"/>
        <w:rPr>
          <w:sz w:val="20"/>
          <w:szCs w:val="24"/>
          <w:highlight w:val="lightGray"/>
        </w:rPr>
      </w:pPr>
    </w:p>
    <w:p w:rsidR="00236E18" w:rsidRPr="007378C1" w:rsidRDefault="00236E18" w:rsidP="00236E18">
      <w:pPr>
        <w:autoSpaceDE w:val="0"/>
        <w:autoSpaceDN w:val="0"/>
        <w:adjustRightInd w:val="0"/>
        <w:jc w:val="center"/>
        <w:rPr>
          <w:b/>
          <w:sz w:val="20"/>
          <w:szCs w:val="24"/>
          <w:highlight w:val="lightGray"/>
        </w:rPr>
      </w:pPr>
      <w:r w:rsidRPr="009C6B48">
        <w:rPr>
          <w:noProof/>
          <w:lang w:val="en-US" w:eastAsia="en-US"/>
        </w:rPr>
        <w:drawing>
          <wp:inline distT="0" distB="0" distL="0" distR="0" wp14:anchorId="600DF76A" wp14:editId="12D99146">
            <wp:extent cx="5677535" cy="2162810"/>
            <wp:effectExtent l="0" t="0" r="0" b="8890"/>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677535" cy="2162810"/>
                    </a:xfrm>
                    <a:prstGeom prst="rect">
                      <a:avLst/>
                    </a:prstGeom>
                    <a:noFill/>
                    <a:ln>
                      <a:noFill/>
                    </a:ln>
                  </pic:spPr>
                </pic:pic>
              </a:graphicData>
            </a:graphic>
          </wp:inline>
        </w:drawing>
      </w:r>
    </w:p>
    <w:p w:rsidR="00236E18" w:rsidRPr="00A339B4" w:rsidRDefault="00236E18" w:rsidP="00236E18">
      <w:pPr>
        <w:autoSpaceDE w:val="0"/>
        <w:autoSpaceDN w:val="0"/>
        <w:adjustRightInd w:val="0"/>
        <w:jc w:val="center"/>
        <w:rPr>
          <w:sz w:val="20"/>
          <w:szCs w:val="24"/>
          <w:highlight w:val="lightGray"/>
        </w:rPr>
      </w:pPr>
    </w:p>
    <w:p w:rsidR="00236E18" w:rsidRDefault="00236E18" w:rsidP="00236E18">
      <w:pPr>
        <w:rPr>
          <w:b/>
          <w:sz w:val="20"/>
          <w:szCs w:val="24"/>
        </w:rPr>
      </w:pPr>
      <w:r>
        <w:rPr>
          <w:b/>
          <w:sz w:val="20"/>
          <w:szCs w:val="24"/>
        </w:rPr>
        <w:br w:type="page"/>
      </w:r>
    </w:p>
    <w:p w:rsidR="00236E18" w:rsidRPr="00570FF2" w:rsidRDefault="00236E18" w:rsidP="00236E18">
      <w:pPr>
        <w:jc w:val="center"/>
        <w:rPr>
          <w:sz w:val="20"/>
          <w:lang w:eastAsia="en-US"/>
        </w:rPr>
      </w:pPr>
      <w:r w:rsidRPr="00570FF2">
        <w:rPr>
          <w:b/>
          <w:sz w:val="20"/>
          <w:szCs w:val="24"/>
        </w:rPr>
        <w:lastRenderedPageBreak/>
        <w:t>Programa 25</w:t>
      </w:r>
      <w:proofErr w:type="gramStart"/>
      <w:r w:rsidRPr="00570FF2">
        <w:rPr>
          <w:b/>
          <w:sz w:val="20"/>
          <w:szCs w:val="24"/>
        </w:rPr>
        <w:t xml:space="preserve">:  </w:t>
      </w:r>
      <w:r w:rsidRPr="00570FF2">
        <w:rPr>
          <w:rFonts w:eastAsiaTheme="minorEastAsia"/>
          <w:b/>
          <w:sz w:val="20"/>
        </w:rPr>
        <w:t>Recursos</w:t>
      </w:r>
      <w:proofErr w:type="gramEnd"/>
      <w:r w:rsidRPr="00570FF2">
        <w:rPr>
          <w:rFonts w:eastAsiaTheme="minorEastAsia"/>
          <w:b/>
          <w:sz w:val="20"/>
        </w:rPr>
        <w:t xml:space="preserve"> por objeto de gasto</w:t>
      </w:r>
    </w:p>
    <w:p w:rsidR="00236E18" w:rsidRPr="00570FF2" w:rsidRDefault="00236E18" w:rsidP="00236E18">
      <w:pPr>
        <w:tabs>
          <w:tab w:val="left" w:pos="1427"/>
        </w:tabs>
        <w:spacing w:after="120"/>
        <w:jc w:val="center"/>
        <w:rPr>
          <w:i/>
          <w:sz w:val="20"/>
          <w:szCs w:val="24"/>
        </w:rPr>
      </w:pPr>
      <w:r w:rsidRPr="00570FF2">
        <w:rPr>
          <w:i/>
          <w:sz w:val="20"/>
          <w:szCs w:val="24"/>
        </w:rPr>
        <w:t>(</w:t>
      </w:r>
      <w:proofErr w:type="gramStart"/>
      <w:r w:rsidRPr="00570FF2">
        <w:rPr>
          <w:i/>
          <w:sz w:val="20"/>
          <w:szCs w:val="24"/>
        </w:rPr>
        <w:t>en</w:t>
      </w:r>
      <w:proofErr w:type="gramEnd"/>
      <w:r w:rsidRPr="00570FF2">
        <w:rPr>
          <w:i/>
          <w:sz w:val="20"/>
          <w:szCs w:val="24"/>
        </w:rPr>
        <w:t xml:space="preserve"> miles de francos suizos)</w:t>
      </w:r>
    </w:p>
    <w:p w:rsidR="00236E18" w:rsidRDefault="00236E18" w:rsidP="00236E18">
      <w:pPr>
        <w:autoSpaceDE w:val="0"/>
        <w:autoSpaceDN w:val="0"/>
        <w:adjustRightInd w:val="0"/>
        <w:jc w:val="center"/>
        <w:rPr>
          <w:sz w:val="20"/>
        </w:rPr>
      </w:pPr>
      <w:r>
        <w:rPr>
          <w:noProof/>
          <w:lang w:val="en-US" w:eastAsia="en-US"/>
        </w:rPr>
        <w:drawing>
          <wp:inline distT="0" distB="0" distL="0" distR="0" wp14:anchorId="7EC32DAC" wp14:editId="20BC2289">
            <wp:extent cx="5940425" cy="6118130"/>
            <wp:effectExtent l="0" t="0" r="3175" b="0"/>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940425" cy="6118130"/>
                    </a:xfrm>
                    <a:prstGeom prst="rect">
                      <a:avLst/>
                    </a:prstGeom>
                    <a:noFill/>
                    <a:ln>
                      <a:noFill/>
                    </a:ln>
                  </pic:spPr>
                </pic:pic>
              </a:graphicData>
            </a:graphic>
          </wp:inline>
        </w:drawing>
      </w:r>
    </w:p>
    <w:p w:rsidR="00236E18" w:rsidRDefault="00236E18" w:rsidP="00236E18">
      <w:pPr>
        <w:autoSpaceDE w:val="0"/>
        <w:autoSpaceDN w:val="0"/>
        <w:adjustRightInd w:val="0"/>
        <w:rPr>
          <w:sz w:val="20"/>
        </w:rPr>
      </w:pPr>
    </w:p>
    <w:p w:rsidR="00236E18" w:rsidRPr="00A339B4" w:rsidRDefault="00236E18" w:rsidP="00236E18">
      <w:pPr>
        <w:autoSpaceDE w:val="0"/>
        <w:autoSpaceDN w:val="0"/>
        <w:adjustRightInd w:val="0"/>
        <w:rPr>
          <w:sz w:val="20"/>
          <w:lang w:val="en-US"/>
        </w:rPr>
      </w:pPr>
    </w:p>
    <w:p w:rsidR="00236E18" w:rsidRDefault="00236E18" w:rsidP="00236E18">
      <w:pPr>
        <w:rPr>
          <w:szCs w:val="22"/>
          <w:lang w:val="en-US"/>
        </w:rPr>
      </w:pPr>
      <w:r>
        <w:rPr>
          <w:szCs w:val="22"/>
          <w:lang w:val="en-US"/>
        </w:rPr>
        <w:br w:type="page"/>
      </w:r>
    </w:p>
    <w:p w:rsidR="00236E18" w:rsidRPr="006105F6" w:rsidRDefault="00236E18" w:rsidP="00236E18">
      <w:pPr>
        <w:pStyle w:val="StyleStyleHeading3ComplexItalicLatin12pt"/>
        <w:rPr>
          <w:lang w:val="es-ES"/>
        </w:rPr>
      </w:pPr>
      <w:bookmarkStart w:id="125" w:name="_Toc431573575"/>
      <w:bookmarkStart w:id="126" w:name="_Toc431573976"/>
      <w:r w:rsidRPr="006105F6">
        <w:rPr>
          <w:lang w:val="es-ES"/>
        </w:rPr>
        <w:lastRenderedPageBreak/>
        <w:t>PROGRAMA 26</w:t>
      </w:r>
      <w:r w:rsidRPr="006105F6">
        <w:rPr>
          <w:lang w:val="es-ES"/>
        </w:rPr>
        <w:tab/>
        <w:t>SUPERVISIÓN INTERNA</w:t>
      </w:r>
      <w:bookmarkEnd w:id="125"/>
      <w:bookmarkEnd w:id="126"/>
    </w:p>
    <w:p w:rsidR="00236E18" w:rsidRPr="006105F6" w:rsidRDefault="00236E18" w:rsidP="00236E18">
      <w:pPr>
        <w:jc w:val="both"/>
        <w:rPr>
          <w:b/>
          <w:bCs/>
          <w:szCs w:val="22"/>
        </w:rPr>
      </w:pPr>
    </w:p>
    <w:p w:rsidR="00236E18" w:rsidRPr="006105F6" w:rsidRDefault="00236E18" w:rsidP="00236E18">
      <w:pPr>
        <w:jc w:val="both"/>
        <w:rPr>
          <w:b/>
          <w:bCs/>
          <w:szCs w:val="22"/>
        </w:rPr>
      </w:pPr>
    </w:p>
    <w:p w:rsidR="00236E18" w:rsidRPr="006105F6" w:rsidRDefault="00236E18" w:rsidP="00236E18">
      <w:pPr>
        <w:jc w:val="both"/>
        <w:rPr>
          <w:bCs/>
          <w:szCs w:val="22"/>
        </w:rPr>
      </w:pPr>
      <w:r w:rsidRPr="006105F6">
        <w:rPr>
          <w:bCs/>
          <w:szCs w:val="22"/>
        </w:rPr>
        <w:t>CONTEXTO DE PLANIFICACIÓN</w:t>
      </w:r>
    </w:p>
    <w:p w:rsidR="00236E18" w:rsidRPr="006105F6" w:rsidRDefault="00236E18" w:rsidP="00236E18">
      <w:pPr>
        <w:jc w:val="both"/>
        <w:rPr>
          <w:bCs/>
          <w:szCs w:val="22"/>
        </w:rPr>
      </w:pPr>
    </w:p>
    <w:p w:rsidR="00236E18" w:rsidRPr="006105F6" w:rsidRDefault="00236E18" w:rsidP="00236E18">
      <w:pPr>
        <w:pStyle w:val="ListParagraph"/>
        <w:numPr>
          <w:ilvl w:val="0"/>
          <w:numId w:val="42"/>
        </w:numPr>
        <w:tabs>
          <w:tab w:val="left" w:pos="709"/>
        </w:tabs>
        <w:autoSpaceDE w:val="0"/>
        <w:autoSpaceDN w:val="0"/>
        <w:adjustRightInd w:val="0"/>
        <w:ind w:left="0" w:firstLine="0"/>
        <w:jc w:val="both"/>
        <w:rPr>
          <w:rFonts w:ascii="Arial" w:hAnsi="Arial" w:cs="Arial"/>
          <w:sz w:val="20"/>
          <w:lang w:val="es-ES"/>
        </w:rPr>
      </w:pPr>
      <w:r w:rsidRPr="006105F6">
        <w:rPr>
          <w:rFonts w:ascii="Arial" w:hAnsi="Arial" w:cs="Arial"/>
          <w:sz w:val="20"/>
          <w:lang w:val="es-ES"/>
        </w:rPr>
        <w:t>La División de Supervisión Interna (DSI) examina de forma independiente y objetiva las actividades, la ejecución de los programas y los sistemas operacionales de la OMPI.  La DSI examina lo antes mencionado teniendo en cuenta el riesgo o la relevancia que tienen para la Administración y los distintos sectores de la OMPI, con el fin de fomentar el ahorro, la eficiencia, la eficacia y la incidencia de la labor de la Secretaría.  La DSI evalúa, de forma independiente, los sistemas y procesos operacionales y de control de la OMPI con el fin de determinar las prácticas óptimas y las deficiencias, y formular recomendaciones para subsanarlas.  La DSI también investiga las alegaciones de fraude, abusos y conductas indebidas, y formula recomendaciones para impedir tales prácticas.  Desde el punto de vista administrativo, la DSI depende jerárquicamente del Director General y proporciona una garantía razonable y objetiva a los Estados miembros acerca de la efectividad, la eficiencia, la economía y la relevancia de las operaciones que lleva a cabo la OMPI así como de la ejecución de los programas y de la marcha de los sistemas operacionales.  También evalúa la salvaguarda de los activos, y determina si los fondos confiados a la Organización se han contabilizado correctamente y si las prácticas de gestión y los controles internos son adecuados y funcionan adecuadamente.  Las actividades de la DSI han sido diseñadas con el fin de añadir valor a la Organización, de conformidad con la Carta de la OMPI de Supervisión Interna.</w:t>
      </w:r>
    </w:p>
    <w:p w:rsidR="00236E18" w:rsidRPr="006105F6" w:rsidRDefault="00236E18" w:rsidP="00236E18">
      <w:pPr>
        <w:pStyle w:val="ListParagraph"/>
        <w:tabs>
          <w:tab w:val="left" w:pos="709"/>
        </w:tabs>
        <w:autoSpaceDE w:val="0"/>
        <w:autoSpaceDN w:val="0"/>
        <w:adjustRightInd w:val="0"/>
        <w:spacing w:before="120" w:after="120"/>
        <w:ind w:left="0"/>
        <w:jc w:val="both"/>
        <w:rPr>
          <w:rFonts w:ascii="Arial" w:hAnsi="Arial" w:cs="Arial"/>
          <w:sz w:val="20"/>
          <w:lang w:val="es-ES"/>
        </w:rPr>
      </w:pPr>
    </w:p>
    <w:p w:rsidR="00236E18" w:rsidRPr="006105F6" w:rsidRDefault="00236E18" w:rsidP="00236E18">
      <w:pPr>
        <w:pStyle w:val="ListParagraph"/>
        <w:tabs>
          <w:tab w:val="left" w:pos="709"/>
        </w:tabs>
        <w:autoSpaceDE w:val="0"/>
        <w:autoSpaceDN w:val="0"/>
        <w:adjustRightInd w:val="0"/>
        <w:ind w:left="0"/>
        <w:jc w:val="both"/>
        <w:rPr>
          <w:rFonts w:ascii="Arial" w:hAnsi="Arial" w:cs="Arial"/>
          <w:sz w:val="20"/>
          <w:lang w:val="es-ES"/>
        </w:rPr>
      </w:pPr>
    </w:p>
    <w:p w:rsidR="00236E18" w:rsidRPr="006105F6" w:rsidRDefault="00236E18" w:rsidP="00236E18">
      <w:r w:rsidRPr="006105F6">
        <w:t>ESTRATEGIAS DE EJECUCIÓN</w:t>
      </w:r>
    </w:p>
    <w:p w:rsidR="00236E18" w:rsidRPr="006105F6" w:rsidRDefault="00236E18" w:rsidP="00236E18"/>
    <w:p w:rsidR="00236E18" w:rsidRPr="006105F6" w:rsidRDefault="00236E18" w:rsidP="00236E18">
      <w:pPr>
        <w:pStyle w:val="ListParagraph"/>
        <w:numPr>
          <w:ilvl w:val="0"/>
          <w:numId w:val="42"/>
        </w:numPr>
        <w:tabs>
          <w:tab w:val="left" w:pos="709"/>
        </w:tabs>
        <w:autoSpaceDE w:val="0"/>
        <w:autoSpaceDN w:val="0"/>
        <w:adjustRightInd w:val="0"/>
        <w:ind w:left="0" w:firstLine="0"/>
        <w:jc w:val="both"/>
        <w:rPr>
          <w:rFonts w:ascii="Arial" w:hAnsi="Arial" w:cs="Arial"/>
          <w:sz w:val="20"/>
          <w:szCs w:val="20"/>
          <w:lang w:val="es-ES"/>
        </w:rPr>
      </w:pPr>
      <w:r w:rsidRPr="006105F6">
        <w:rPr>
          <w:rFonts w:ascii="Arial" w:hAnsi="Arial" w:cs="Arial"/>
          <w:sz w:val="20"/>
          <w:szCs w:val="20"/>
          <w:lang w:val="es-ES"/>
        </w:rPr>
        <w:t>La DSI llevará a cabo evaluaciones objetivas de los procesos y sistemas de gestión con el fin de determinar la existencia de una administración responsable de los recursos monetarios y físicos de la Organización.  Evaluará asimismo la idoneidad y la efectividad de los controles internos, de la gestión de los riesgos, de los procesos de gobierno y proporcionará una garantía razonable acerca de la conformidad de las operaciones de la OMPI con la reglamentación aplicable. Se continuará fomentando el aprendizaje y la rendición de cuentas a escala institucional mediante procesos de supervisión transparentes y participativos.</w:t>
      </w:r>
    </w:p>
    <w:p w:rsidR="00236E18" w:rsidRPr="006105F6" w:rsidRDefault="00236E18" w:rsidP="00236E18">
      <w:pPr>
        <w:pStyle w:val="ListParagraph"/>
        <w:tabs>
          <w:tab w:val="left" w:pos="709"/>
        </w:tabs>
        <w:autoSpaceDE w:val="0"/>
        <w:autoSpaceDN w:val="0"/>
        <w:adjustRightInd w:val="0"/>
        <w:spacing w:before="120" w:after="120"/>
        <w:ind w:left="0"/>
        <w:jc w:val="both"/>
        <w:rPr>
          <w:rFonts w:ascii="Arial" w:hAnsi="Arial" w:cs="Arial"/>
          <w:sz w:val="20"/>
          <w:szCs w:val="20"/>
          <w:lang w:val="es-ES"/>
        </w:rPr>
      </w:pPr>
    </w:p>
    <w:p w:rsidR="00236E18" w:rsidRPr="006105F6" w:rsidRDefault="00236E18" w:rsidP="00236E18">
      <w:pPr>
        <w:pStyle w:val="ListParagraph"/>
        <w:numPr>
          <w:ilvl w:val="0"/>
          <w:numId w:val="42"/>
        </w:numPr>
        <w:tabs>
          <w:tab w:val="left" w:pos="709"/>
        </w:tabs>
        <w:autoSpaceDE w:val="0"/>
        <w:autoSpaceDN w:val="0"/>
        <w:adjustRightInd w:val="0"/>
        <w:spacing w:before="120" w:after="120"/>
        <w:ind w:left="0" w:firstLine="0"/>
        <w:jc w:val="both"/>
        <w:rPr>
          <w:rFonts w:ascii="Arial" w:hAnsi="Arial" w:cs="Arial"/>
          <w:sz w:val="20"/>
          <w:szCs w:val="20"/>
          <w:lang w:val="es-ES"/>
        </w:rPr>
      </w:pPr>
      <w:r w:rsidRPr="006105F6">
        <w:rPr>
          <w:rFonts w:ascii="Arial" w:hAnsi="Arial" w:cs="Arial"/>
          <w:sz w:val="20"/>
          <w:szCs w:val="20"/>
          <w:lang w:val="es-ES"/>
        </w:rPr>
        <w:t>La</w:t>
      </w:r>
      <w:r w:rsidRPr="006105F6">
        <w:rPr>
          <w:rFonts w:ascii="Arial" w:hAnsi="Arial" w:cs="Arial"/>
          <w:sz w:val="20"/>
          <w:lang w:val="es-ES"/>
        </w:rPr>
        <w:t xml:space="preserve"> DSI seguirá prestando apoyo a la Administración en la elaboración y aplicación de un marco eficaz y efectivo de ética e integridad en el que se hayan definido con claridad las obligaciones, funciones, responsabilidades y derechos de todo el personal de la OMPI</w:t>
      </w:r>
      <w:r w:rsidRPr="006105F6">
        <w:rPr>
          <w:rFonts w:ascii="Arial" w:hAnsi="Arial" w:cs="Arial"/>
          <w:sz w:val="20"/>
          <w:szCs w:val="20"/>
          <w:lang w:val="es-ES"/>
        </w:rPr>
        <w:t xml:space="preserve">.  A esos fines, se deberá presentar informes de investigación puntuales elaborados con arreglo a las normas y prácticas óptimas en materia de investigación del sistema de las NN.UU.  </w:t>
      </w:r>
    </w:p>
    <w:p w:rsidR="00236E18" w:rsidRPr="006105F6" w:rsidRDefault="00236E18" w:rsidP="00236E18">
      <w:pPr>
        <w:pStyle w:val="ListParagraph"/>
        <w:tabs>
          <w:tab w:val="left" w:pos="709"/>
        </w:tabs>
        <w:autoSpaceDE w:val="0"/>
        <w:autoSpaceDN w:val="0"/>
        <w:adjustRightInd w:val="0"/>
        <w:spacing w:before="120" w:after="120"/>
        <w:ind w:left="0"/>
        <w:jc w:val="both"/>
        <w:rPr>
          <w:rFonts w:ascii="Arial" w:hAnsi="Arial" w:cs="Arial"/>
          <w:sz w:val="20"/>
          <w:szCs w:val="20"/>
          <w:lang w:val="es-ES"/>
        </w:rPr>
      </w:pPr>
    </w:p>
    <w:p w:rsidR="00236E18" w:rsidRPr="006105F6" w:rsidRDefault="00236E18" w:rsidP="00236E18">
      <w:pPr>
        <w:pStyle w:val="ListParagraph"/>
        <w:numPr>
          <w:ilvl w:val="0"/>
          <w:numId w:val="42"/>
        </w:numPr>
        <w:tabs>
          <w:tab w:val="left" w:pos="709"/>
        </w:tabs>
        <w:autoSpaceDE w:val="0"/>
        <w:autoSpaceDN w:val="0"/>
        <w:adjustRightInd w:val="0"/>
        <w:spacing w:before="120" w:after="120"/>
        <w:ind w:left="0" w:firstLine="0"/>
        <w:jc w:val="both"/>
        <w:rPr>
          <w:rFonts w:ascii="Arial" w:hAnsi="Arial" w:cs="Arial"/>
          <w:sz w:val="20"/>
          <w:szCs w:val="20"/>
          <w:lang w:val="es-ES"/>
        </w:rPr>
      </w:pPr>
      <w:r w:rsidRPr="006105F6">
        <w:rPr>
          <w:rFonts w:ascii="Arial" w:hAnsi="Arial" w:cs="Arial"/>
          <w:sz w:val="20"/>
          <w:lang w:val="es-ES"/>
        </w:rPr>
        <w:t>La DSI tendrá en cuenta los resultados y las recomendaciones de la evaluación externa de la calidad de sus tres funciones, a saber, la auditoría, la evaluación y la investigación, que fue realizada en 2014/2015 con objeto de mejorar los servicios que presta a la Organización.  Mediante esas tres disciplinas, la DSI podrá ofrecer servicios de alto nivel a la Organización y reforzar las sinergias entre ellas llevando a cabo actividades comunes de planificación, formación y seguimiento, entre otros medios</w:t>
      </w:r>
      <w:r w:rsidRPr="006105F6">
        <w:rPr>
          <w:rFonts w:ascii="Arial" w:hAnsi="Arial" w:cs="Arial"/>
          <w:sz w:val="20"/>
          <w:szCs w:val="20"/>
          <w:lang w:val="es-ES"/>
        </w:rPr>
        <w:t>.  Además, se seguirá elaborando y actualizando herramientas de supervisión adecuadas, tales como manuales, políticas y directrices que estén en consonancia con las normas profesionales reconocidas en el plano internacional y con las prácticas óptimas de las NN.UU. y de otras organizaciones internacionales.</w:t>
      </w:r>
    </w:p>
    <w:p w:rsidR="00236E18" w:rsidRPr="006105F6" w:rsidRDefault="00236E18" w:rsidP="00236E18">
      <w:pPr>
        <w:pStyle w:val="ListParagraph"/>
        <w:tabs>
          <w:tab w:val="left" w:pos="709"/>
        </w:tabs>
        <w:autoSpaceDE w:val="0"/>
        <w:autoSpaceDN w:val="0"/>
        <w:adjustRightInd w:val="0"/>
        <w:spacing w:before="120" w:after="120"/>
        <w:ind w:left="0"/>
        <w:jc w:val="both"/>
        <w:rPr>
          <w:rFonts w:ascii="Arial" w:hAnsi="Arial" w:cs="Arial"/>
          <w:sz w:val="20"/>
          <w:szCs w:val="20"/>
          <w:lang w:val="es-ES"/>
        </w:rPr>
      </w:pPr>
    </w:p>
    <w:p w:rsidR="00236E18" w:rsidRPr="006105F6" w:rsidRDefault="00236E18" w:rsidP="00236E18">
      <w:pPr>
        <w:pStyle w:val="ListParagraph"/>
        <w:numPr>
          <w:ilvl w:val="0"/>
          <w:numId w:val="42"/>
        </w:numPr>
        <w:tabs>
          <w:tab w:val="left" w:pos="709"/>
        </w:tabs>
        <w:autoSpaceDE w:val="0"/>
        <w:autoSpaceDN w:val="0"/>
        <w:adjustRightInd w:val="0"/>
        <w:spacing w:before="120" w:after="120"/>
        <w:ind w:left="0" w:firstLine="0"/>
        <w:jc w:val="both"/>
        <w:rPr>
          <w:rFonts w:ascii="Arial" w:hAnsi="Arial" w:cs="Arial"/>
          <w:sz w:val="20"/>
          <w:szCs w:val="20"/>
          <w:lang w:val="es-ES"/>
        </w:rPr>
      </w:pPr>
      <w:r w:rsidRPr="006105F6">
        <w:rPr>
          <w:rFonts w:ascii="Arial" w:hAnsi="Arial" w:cs="Arial"/>
          <w:sz w:val="20"/>
          <w:lang w:val="es-ES"/>
        </w:rPr>
        <w:t xml:space="preserve">Se seguirá ofreciendo apoyo y asesoramiento profesional, según proceda, a todos los </w:t>
      </w:r>
      <w:r w:rsidRPr="006105F6">
        <w:rPr>
          <w:rFonts w:ascii="Arial" w:hAnsi="Arial" w:cs="Arial"/>
          <w:sz w:val="20"/>
          <w:szCs w:val="20"/>
          <w:lang w:val="es-ES"/>
        </w:rPr>
        <w:t xml:space="preserve"> directores de programa, en particular asesoramiento en tiempo real mediante la realización de auditorías continuas, evaluaciones y exámenes de ciclo corto.  La DSI seguirá manteniendo una línea telefónica directa para denunciar irregularidades y posibles casos de conductas indebidas en la OMPI, y realizará investigaciones proactivas destinadas a detectar casos no denunciados de fraude o abuso, y a proponer controles para atenuar las consecuencias de tales actuaciones.  </w:t>
      </w:r>
    </w:p>
    <w:p w:rsidR="00236E18" w:rsidRPr="006105F6" w:rsidRDefault="00236E18" w:rsidP="00236E18">
      <w:pPr>
        <w:pStyle w:val="ListParagraph"/>
        <w:tabs>
          <w:tab w:val="left" w:pos="709"/>
        </w:tabs>
        <w:autoSpaceDE w:val="0"/>
        <w:autoSpaceDN w:val="0"/>
        <w:adjustRightInd w:val="0"/>
        <w:spacing w:before="120" w:after="120"/>
        <w:ind w:left="0"/>
        <w:jc w:val="both"/>
        <w:rPr>
          <w:rFonts w:ascii="Arial" w:hAnsi="Arial" w:cs="Arial"/>
          <w:sz w:val="20"/>
          <w:szCs w:val="20"/>
          <w:lang w:val="es-ES"/>
        </w:rPr>
      </w:pPr>
    </w:p>
    <w:p w:rsidR="00236E18" w:rsidRPr="006105F6" w:rsidRDefault="00236E18" w:rsidP="00236E18">
      <w:pPr>
        <w:pStyle w:val="ListParagraph"/>
        <w:numPr>
          <w:ilvl w:val="0"/>
          <w:numId w:val="42"/>
        </w:numPr>
        <w:tabs>
          <w:tab w:val="left" w:pos="709"/>
        </w:tabs>
        <w:autoSpaceDE w:val="0"/>
        <w:autoSpaceDN w:val="0"/>
        <w:adjustRightInd w:val="0"/>
        <w:spacing w:before="120" w:after="120"/>
        <w:ind w:left="0" w:firstLine="0"/>
        <w:jc w:val="both"/>
        <w:rPr>
          <w:rFonts w:ascii="Arial" w:hAnsi="Arial" w:cs="Arial"/>
          <w:sz w:val="20"/>
          <w:szCs w:val="20"/>
          <w:lang w:val="es-ES"/>
        </w:rPr>
      </w:pPr>
      <w:r w:rsidRPr="006105F6">
        <w:rPr>
          <w:rFonts w:ascii="Arial" w:hAnsi="Arial" w:cs="Arial"/>
          <w:sz w:val="20"/>
          <w:szCs w:val="20"/>
          <w:lang w:val="es-ES"/>
        </w:rPr>
        <w:t xml:space="preserve">Seguirá teniendo carácter prioritario </w:t>
      </w:r>
      <w:r>
        <w:rPr>
          <w:rFonts w:ascii="Arial" w:hAnsi="Arial" w:cs="Arial"/>
          <w:sz w:val="20"/>
          <w:szCs w:val="20"/>
          <w:lang w:val="es-ES"/>
        </w:rPr>
        <w:t>l</w:t>
      </w:r>
      <w:r w:rsidRPr="006105F6">
        <w:rPr>
          <w:rFonts w:ascii="Arial" w:hAnsi="Arial" w:cs="Arial"/>
          <w:sz w:val="20"/>
          <w:szCs w:val="20"/>
          <w:lang w:val="es-ES"/>
        </w:rPr>
        <w:t xml:space="preserve">a cooperación y coordinación con el Auditor Externo y demás proveedores de aseguramiento </w:t>
      </w:r>
      <w:r>
        <w:rPr>
          <w:rFonts w:ascii="Arial" w:hAnsi="Arial" w:cs="Arial"/>
          <w:sz w:val="20"/>
          <w:szCs w:val="20"/>
          <w:lang w:val="es-ES"/>
        </w:rPr>
        <w:t>de la supervisión</w:t>
      </w:r>
      <w:r w:rsidRPr="006105F6">
        <w:rPr>
          <w:rFonts w:ascii="Arial" w:hAnsi="Arial" w:cs="Arial"/>
          <w:sz w:val="20"/>
          <w:szCs w:val="20"/>
          <w:lang w:val="es-ES"/>
        </w:rPr>
        <w:t>.  Durante el bienio, se mantendrá la cooperación con los organismos de las NN.UU. encargados de la supervisión interna y con las asociaciones internacionales y profesionales con miras a asegurar que la supervisión interna en la OMPI contribuya a los últimos avances en la materia y se beneficie de ellos.</w:t>
      </w:r>
    </w:p>
    <w:p w:rsidR="00236E18" w:rsidRPr="006105F6" w:rsidRDefault="00236E18" w:rsidP="00236E18">
      <w:pPr>
        <w:pStyle w:val="ListParagraph"/>
        <w:tabs>
          <w:tab w:val="left" w:pos="709"/>
        </w:tabs>
        <w:autoSpaceDE w:val="0"/>
        <w:autoSpaceDN w:val="0"/>
        <w:adjustRightInd w:val="0"/>
        <w:spacing w:before="120" w:after="120"/>
        <w:ind w:left="0"/>
        <w:jc w:val="both"/>
        <w:rPr>
          <w:rFonts w:ascii="Arial" w:hAnsi="Arial" w:cs="Arial"/>
          <w:sz w:val="20"/>
          <w:szCs w:val="20"/>
          <w:lang w:val="es-ES"/>
        </w:rPr>
      </w:pPr>
    </w:p>
    <w:p w:rsidR="00236E18" w:rsidRPr="006105F6" w:rsidRDefault="00236E18" w:rsidP="00236E18">
      <w:pPr>
        <w:pStyle w:val="ListParagraph"/>
        <w:numPr>
          <w:ilvl w:val="0"/>
          <w:numId w:val="42"/>
        </w:numPr>
        <w:tabs>
          <w:tab w:val="left" w:pos="709"/>
        </w:tabs>
        <w:autoSpaceDE w:val="0"/>
        <w:autoSpaceDN w:val="0"/>
        <w:adjustRightInd w:val="0"/>
        <w:spacing w:before="120" w:after="120"/>
        <w:ind w:left="0" w:firstLine="0"/>
        <w:jc w:val="both"/>
        <w:rPr>
          <w:rFonts w:ascii="Arial" w:hAnsi="Arial" w:cs="Arial"/>
          <w:sz w:val="20"/>
          <w:szCs w:val="20"/>
          <w:lang w:val="es-ES"/>
        </w:rPr>
      </w:pPr>
      <w:r w:rsidRPr="006105F6">
        <w:rPr>
          <w:rFonts w:ascii="Arial" w:hAnsi="Arial" w:cs="Arial"/>
          <w:sz w:val="20"/>
          <w:szCs w:val="20"/>
          <w:lang w:val="es-ES"/>
        </w:rPr>
        <w:lastRenderedPageBreak/>
        <w:t>El avance en la aplicación de las recomendaciones de supervisión será objeto de un seguimiento periódico y los resultados serán comunicados al Director General, a la Comisión Consultiva Independiente de Supervisión (CCIS) y a las Asambleas de la OMPI.</w:t>
      </w:r>
    </w:p>
    <w:p w:rsidR="00236E18" w:rsidRPr="006105F6" w:rsidRDefault="00236E18" w:rsidP="00236E18">
      <w:pPr>
        <w:pStyle w:val="ListParagraph"/>
        <w:tabs>
          <w:tab w:val="left" w:pos="709"/>
        </w:tabs>
        <w:autoSpaceDE w:val="0"/>
        <w:autoSpaceDN w:val="0"/>
        <w:adjustRightInd w:val="0"/>
        <w:spacing w:before="120" w:after="120"/>
        <w:ind w:left="0"/>
        <w:jc w:val="both"/>
        <w:rPr>
          <w:rFonts w:ascii="Arial" w:hAnsi="Arial" w:cs="Arial"/>
          <w:sz w:val="20"/>
          <w:szCs w:val="20"/>
          <w:lang w:val="es-ES"/>
        </w:rPr>
      </w:pPr>
    </w:p>
    <w:p w:rsidR="00236E18" w:rsidRPr="006105F6" w:rsidRDefault="00236E18" w:rsidP="00236E18">
      <w:pPr>
        <w:pStyle w:val="ListParagraph"/>
        <w:numPr>
          <w:ilvl w:val="0"/>
          <w:numId w:val="42"/>
        </w:numPr>
        <w:tabs>
          <w:tab w:val="left" w:pos="709"/>
        </w:tabs>
        <w:autoSpaceDE w:val="0"/>
        <w:autoSpaceDN w:val="0"/>
        <w:adjustRightInd w:val="0"/>
        <w:ind w:left="0" w:firstLine="0"/>
        <w:jc w:val="both"/>
        <w:rPr>
          <w:rFonts w:ascii="Arial" w:hAnsi="Arial" w:cs="Arial"/>
          <w:sz w:val="20"/>
          <w:szCs w:val="20"/>
          <w:lang w:val="es-ES"/>
        </w:rPr>
      </w:pPr>
      <w:r w:rsidRPr="006105F6">
        <w:rPr>
          <w:rFonts w:ascii="Arial" w:hAnsi="Arial" w:cs="Arial"/>
          <w:sz w:val="20"/>
          <w:szCs w:val="20"/>
          <w:lang w:val="es-ES"/>
        </w:rPr>
        <w:t>Con el fin de compartir experiencias y datos sobre las actividades de supervisión con  los sectores interesados clave, dentro y fuera de la OMPI, los principales resultados y conclusiones de la labor de supervisión se difundirán regularmente mediante la presentación de ponencias en sesiones de información y formación.</w:t>
      </w:r>
    </w:p>
    <w:p w:rsidR="00236E18" w:rsidRDefault="00236E18" w:rsidP="00236E18">
      <w:pPr>
        <w:jc w:val="both"/>
      </w:pPr>
    </w:p>
    <w:p w:rsidR="00236E18" w:rsidRPr="006105F6" w:rsidRDefault="00236E18" w:rsidP="00236E18">
      <w:pPr>
        <w:jc w:val="both"/>
      </w:pPr>
    </w:p>
    <w:p w:rsidR="00236E18" w:rsidRPr="006105F6" w:rsidRDefault="00236E18" w:rsidP="00236E18">
      <w:r w:rsidRPr="006105F6">
        <w:t>PRINCIPALES RIESGOS Y ESTRATEGIAS DE MITIGACIÓN</w:t>
      </w:r>
    </w:p>
    <w:p w:rsidR="00236E18" w:rsidRPr="006105F6" w:rsidRDefault="00236E18" w:rsidP="00236E18">
      <w:pPr>
        <w:spacing w:line="276" w:lineRule="auto"/>
        <w:rPr>
          <w:sz w:val="20"/>
        </w:rPr>
      </w:pPr>
    </w:p>
    <w:tbl>
      <w:tblPr>
        <w:tblW w:w="9214" w:type="dxa"/>
        <w:tblInd w:w="108" w:type="dxa"/>
        <w:tblCellMar>
          <w:left w:w="0" w:type="dxa"/>
          <w:right w:w="0" w:type="dxa"/>
        </w:tblCellMar>
        <w:tblLook w:val="04A0" w:firstRow="1" w:lastRow="0" w:firstColumn="1" w:lastColumn="0" w:noHBand="0" w:noVBand="1"/>
      </w:tblPr>
      <w:tblGrid>
        <w:gridCol w:w="4111"/>
        <w:gridCol w:w="5103"/>
      </w:tblGrid>
      <w:tr w:rsidR="00236E18" w:rsidRPr="006105F6" w:rsidTr="00294272">
        <w:trPr>
          <w:trHeight w:val="577"/>
        </w:trPr>
        <w:tc>
          <w:tcPr>
            <w:tcW w:w="4111" w:type="dxa"/>
            <w:tcBorders>
              <w:top w:val="single" w:sz="8" w:space="0" w:color="auto"/>
              <w:left w:val="single" w:sz="8" w:space="0" w:color="auto"/>
              <w:bottom w:val="single" w:sz="8" w:space="0" w:color="auto"/>
              <w:right w:val="nil"/>
            </w:tcBorders>
            <w:shd w:val="clear" w:color="auto" w:fill="C6D9F1"/>
            <w:tcMar>
              <w:top w:w="0" w:type="dxa"/>
              <w:left w:w="108" w:type="dxa"/>
              <w:bottom w:w="0" w:type="dxa"/>
              <w:right w:w="108" w:type="dxa"/>
            </w:tcMar>
            <w:vAlign w:val="center"/>
            <w:hideMark/>
          </w:tcPr>
          <w:p w:rsidR="00236E18" w:rsidRPr="006105F6" w:rsidRDefault="00236E18" w:rsidP="00294272">
            <w:pPr>
              <w:spacing w:line="276" w:lineRule="auto"/>
              <w:jc w:val="center"/>
              <w:rPr>
                <w:rFonts w:eastAsia="Calibri"/>
                <w:b/>
                <w:bCs/>
                <w:sz w:val="18"/>
                <w:szCs w:val="18"/>
              </w:rPr>
            </w:pPr>
            <w:r w:rsidRPr="006105F6">
              <w:rPr>
                <w:rFonts w:eastAsia="Calibri"/>
                <w:b/>
                <w:bCs/>
                <w:sz w:val="18"/>
                <w:szCs w:val="18"/>
              </w:rPr>
              <w:t>Riesgo</w:t>
            </w:r>
          </w:p>
        </w:tc>
        <w:tc>
          <w:tcPr>
            <w:tcW w:w="510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36E18" w:rsidRPr="006105F6" w:rsidRDefault="00236E18" w:rsidP="00294272">
            <w:pPr>
              <w:spacing w:line="276" w:lineRule="auto"/>
              <w:jc w:val="center"/>
              <w:rPr>
                <w:rFonts w:eastAsia="Calibri"/>
                <w:b/>
                <w:bCs/>
                <w:sz w:val="18"/>
                <w:szCs w:val="18"/>
              </w:rPr>
            </w:pPr>
            <w:r w:rsidRPr="006105F6">
              <w:rPr>
                <w:b/>
                <w:bCs/>
                <w:sz w:val="18"/>
                <w:szCs w:val="18"/>
              </w:rPr>
              <w:t>Mitigación</w:t>
            </w:r>
          </w:p>
        </w:tc>
      </w:tr>
      <w:tr w:rsidR="00236E18" w:rsidRPr="006105F6" w:rsidTr="00294272">
        <w:trPr>
          <w:trHeight w:val="857"/>
        </w:trPr>
        <w:tc>
          <w:tcPr>
            <w:tcW w:w="4111" w:type="dxa"/>
            <w:tcBorders>
              <w:top w:val="nil"/>
              <w:left w:val="single" w:sz="8" w:space="0" w:color="auto"/>
              <w:bottom w:val="single" w:sz="8" w:space="0" w:color="auto"/>
              <w:right w:val="nil"/>
            </w:tcBorders>
            <w:tcMar>
              <w:top w:w="113" w:type="dxa"/>
              <w:left w:w="108" w:type="dxa"/>
              <w:bottom w:w="113" w:type="dxa"/>
              <w:right w:w="108" w:type="dxa"/>
            </w:tcMar>
            <w:hideMark/>
          </w:tcPr>
          <w:p w:rsidR="00236E18" w:rsidRPr="006105F6" w:rsidRDefault="00236E18" w:rsidP="00294272">
            <w:pPr>
              <w:rPr>
                <w:rFonts w:eastAsia="Calibri"/>
                <w:sz w:val="16"/>
                <w:szCs w:val="16"/>
              </w:rPr>
            </w:pPr>
            <w:r w:rsidRPr="006105F6">
              <w:rPr>
                <w:rFonts w:eastAsia="Calibri"/>
                <w:sz w:val="16"/>
                <w:szCs w:val="16"/>
              </w:rPr>
              <w:t>La actividad de supervisión interna no es independiente y el personal de la DSI no actúa con objetividad al cumplir con su labor.  Estarían en peligro la imparcialidad y la credibilidad de la labor ejecutada.  Se menoscabaría la confianza en la función de supervisión.</w:t>
            </w:r>
          </w:p>
        </w:tc>
        <w:tc>
          <w:tcPr>
            <w:tcW w:w="5103" w:type="dxa"/>
            <w:tcBorders>
              <w:top w:val="nil"/>
              <w:left w:val="nil"/>
              <w:bottom w:val="single" w:sz="8" w:space="0" w:color="auto"/>
              <w:right w:val="single" w:sz="8" w:space="0" w:color="auto"/>
            </w:tcBorders>
            <w:tcMar>
              <w:top w:w="113" w:type="dxa"/>
              <w:left w:w="108" w:type="dxa"/>
              <w:bottom w:w="113" w:type="dxa"/>
              <w:right w:w="108" w:type="dxa"/>
            </w:tcMar>
          </w:tcPr>
          <w:p w:rsidR="00236E18" w:rsidRPr="006105F6" w:rsidRDefault="00236E18" w:rsidP="00294272">
            <w:pPr>
              <w:rPr>
                <w:rFonts w:eastAsia="Calibri"/>
                <w:sz w:val="16"/>
                <w:szCs w:val="16"/>
              </w:rPr>
            </w:pPr>
            <w:r w:rsidRPr="006105F6">
              <w:rPr>
                <w:sz w:val="16"/>
                <w:szCs w:val="16"/>
              </w:rPr>
              <w:t>Observar la Carta de Supervisión Interna revisada.  Informes periódicos a la Comisión Consultiva Independiente de Supervisión (CCIS).  Informes anuales a la Asamblea General sobre su independencia</w:t>
            </w:r>
          </w:p>
          <w:p w:rsidR="00236E18" w:rsidRPr="006105F6" w:rsidRDefault="00236E18" w:rsidP="00294272">
            <w:pPr>
              <w:rPr>
                <w:sz w:val="16"/>
                <w:szCs w:val="16"/>
              </w:rPr>
            </w:pPr>
          </w:p>
          <w:p w:rsidR="00236E18" w:rsidRPr="006105F6" w:rsidRDefault="00236E18" w:rsidP="00294272">
            <w:pPr>
              <w:rPr>
                <w:rFonts w:eastAsia="Calibri"/>
                <w:sz w:val="16"/>
                <w:szCs w:val="16"/>
              </w:rPr>
            </w:pPr>
            <w:r w:rsidRPr="006105F6">
              <w:rPr>
                <w:sz w:val="16"/>
                <w:szCs w:val="16"/>
              </w:rPr>
              <w:t>Evaluaciones externas sobre la independencia de las funciones de supervisión.</w:t>
            </w:r>
          </w:p>
        </w:tc>
      </w:tr>
    </w:tbl>
    <w:p w:rsidR="00236E18" w:rsidRPr="006105F6" w:rsidRDefault="00236E18" w:rsidP="00236E18">
      <w:pPr>
        <w:rPr>
          <w:rFonts w:eastAsia="Calibri"/>
          <w:sz w:val="20"/>
        </w:rPr>
      </w:pPr>
    </w:p>
    <w:p w:rsidR="00236E18" w:rsidRPr="006105F6" w:rsidRDefault="00236E18" w:rsidP="00236E18">
      <w:pPr>
        <w:rPr>
          <w:sz w:val="20"/>
        </w:rPr>
      </w:pPr>
    </w:p>
    <w:p w:rsidR="00236E18" w:rsidRPr="006105F6" w:rsidRDefault="00236E18" w:rsidP="00236E18">
      <w:pPr>
        <w:autoSpaceDE w:val="0"/>
        <w:autoSpaceDN w:val="0"/>
        <w:adjustRightInd w:val="0"/>
        <w:jc w:val="both"/>
        <w:rPr>
          <w:szCs w:val="22"/>
        </w:rPr>
      </w:pPr>
      <w:r w:rsidRPr="006105F6">
        <w:rPr>
          <w:szCs w:val="22"/>
        </w:rPr>
        <w:t>MARCO DE RESULTADOS</w:t>
      </w:r>
    </w:p>
    <w:p w:rsidR="00236E18" w:rsidRPr="006105F6" w:rsidRDefault="00236E18" w:rsidP="00236E18">
      <w:pPr>
        <w:autoSpaceDE w:val="0"/>
        <w:autoSpaceDN w:val="0"/>
        <w:adjustRightInd w:val="0"/>
        <w:jc w:val="both"/>
        <w:rPr>
          <w:szCs w:val="22"/>
        </w:rPr>
      </w:pPr>
    </w:p>
    <w:tbl>
      <w:tblPr>
        <w:tblW w:w="9229" w:type="dxa"/>
        <w:tblInd w:w="93" w:type="dxa"/>
        <w:tblLook w:val="04A0" w:firstRow="1" w:lastRow="0" w:firstColumn="1" w:lastColumn="0" w:noHBand="0" w:noVBand="1"/>
      </w:tblPr>
      <w:tblGrid>
        <w:gridCol w:w="2160"/>
        <w:gridCol w:w="2620"/>
        <w:gridCol w:w="2340"/>
        <w:gridCol w:w="2109"/>
      </w:tblGrid>
      <w:tr w:rsidR="00236E18" w:rsidRPr="006105F6" w:rsidTr="00294272">
        <w:trPr>
          <w:trHeight w:val="465"/>
          <w:tblHeader/>
        </w:trPr>
        <w:tc>
          <w:tcPr>
            <w:tcW w:w="2160" w:type="dxa"/>
            <w:tcBorders>
              <w:top w:val="single" w:sz="4" w:space="0" w:color="auto"/>
              <w:left w:val="single" w:sz="4" w:space="0" w:color="auto"/>
              <w:bottom w:val="single" w:sz="4" w:space="0" w:color="auto"/>
              <w:right w:val="nil"/>
            </w:tcBorders>
            <w:shd w:val="clear" w:color="auto" w:fill="C6D9F1"/>
            <w:vAlign w:val="center"/>
            <w:hideMark/>
          </w:tcPr>
          <w:p w:rsidR="00236E18" w:rsidRPr="006105F6" w:rsidRDefault="00236E18" w:rsidP="00294272">
            <w:pPr>
              <w:jc w:val="center"/>
              <w:rPr>
                <w:b/>
                <w:bCs/>
                <w:sz w:val="18"/>
                <w:szCs w:val="18"/>
              </w:rPr>
            </w:pPr>
            <w:r w:rsidRPr="006105F6">
              <w:rPr>
                <w:b/>
                <w:bCs/>
                <w:sz w:val="18"/>
                <w:szCs w:val="18"/>
              </w:rPr>
              <w:t>Resultados previstos</w:t>
            </w:r>
          </w:p>
        </w:tc>
        <w:tc>
          <w:tcPr>
            <w:tcW w:w="2620" w:type="dxa"/>
            <w:tcBorders>
              <w:top w:val="single" w:sz="4" w:space="0" w:color="auto"/>
              <w:left w:val="nil"/>
              <w:bottom w:val="single" w:sz="4" w:space="0" w:color="auto"/>
              <w:right w:val="nil"/>
            </w:tcBorders>
            <w:shd w:val="clear" w:color="auto" w:fill="C6D9F1"/>
            <w:vAlign w:val="center"/>
            <w:hideMark/>
          </w:tcPr>
          <w:p w:rsidR="00236E18" w:rsidRPr="006105F6" w:rsidRDefault="00236E18" w:rsidP="00294272">
            <w:pPr>
              <w:jc w:val="center"/>
              <w:rPr>
                <w:b/>
                <w:bCs/>
                <w:sz w:val="18"/>
                <w:szCs w:val="18"/>
              </w:rPr>
            </w:pPr>
            <w:r w:rsidRPr="006105F6">
              <w:rPr>
                <w:b/>
                <w:bCs/>
                <w:sz w:val="18"/>
                <w:szCs w:val="18"/>
              </w:rPr>
              <w:t>Indicadores de rendimiento</w:t>
            </w:r>
          </w:p>
        </w:tc>
        <w:tc>
          <w:tcPr>
            <w:tcW w:w="2340" w:type="dxa"/>
            <w:tcBorders>
              <w:top w:val="single" w:sz="4" w:space="0" w:color="auto"/>
              <w:left w:val="nil"/>
              <w:bottom w:val="single" w:sz="4" w:space="0" w:color="auto"/>
              <w:right w:val="nil"/>
            </w:tcBorders>
            <w:shd w:val="clear" w:color="auto" w:fill="C6D9F1"/>
            <w:vAlign w:val="center"/>
            <w:hideMark/>
          </w:tcPr>
          <w:p w:rsidR="00236E18" w:rsidRPr="006105F6" w:rsidRDefault="00236E18" w:rsidP="00294272">
            <w:pPr>
              <w:jc w:val="center"/>
              <w:rPr>
                <w:b/>
                <w:bCs/>
                <w:sz w:val="18"/>
                <w:szCs w:val="18"/>
              </w:rPr>
            </w:pPr>
            <w:r w:rsidRPr="006105F6">
              <w:rPr>
                <w:b/>
                <w:bCs/>
                <w:sz w:val="18"/>
                <w:szCs w:val="18"/>
              </w:rPr>
              <w:t>Referencia</w:t>
            </w:r>
          </w:p>
        </w:tc>
        <w:tc>
          <w:tcPr>
            <w:tcW w:w="2109" w:type="dxa"/>
            <w:tcBorders>
              <w:top w:val="single" w:sz="4" w:space="0" w:color="auto"/>
              <w:left w:val="nil"/>
              <w:bottom w:val="single" w:sz="4" w:space="0" w:color="auto"/>
              <w:right w:val="single" w:sz="4" w:space="0" w:color="auto"/>
            </w:tcBorders>
            <w:shd w:val="clear" w:color="auto" w:fill="C6D9F1"/>
            <w:vAlign w:val="center"/>
            <w:hideMark/>
          </w:tcPr>
          <w:p w:rsidR="00236E18" w:rsidRPr="006105F6" w:rsidRDefault="00236E18" w:rsidP="00294272">
            <w:pPr>
              <w:jc w:val="center"/>
              <w:rPr>
                <w:b/>
                <w:bCs/>
                <w:sz w:val="18"/>
                <w:szCs w:val="18"/>
              </w:rPr>
            </w:pPr>
            <w:r w:rsidRPr="006105F6">
              <w:rPr>
                <w:b/>
                <w:bCs/>
                <w:sz w:val="18"/>
                <w:szCs w:val="18"/>
              </w:rPr>
              <w:t>Objetivos</w:t>
            </w:r>
          </w:p>
        </w:tc>
      </w:tr>
      <w:tr w:rsidR="00236E18" w:rsidRPr="006105F6" w:rsidTr="00294272">
        <w:trPr>
          <w:trHeight w:val="1083"/>
        </w:trPr>
        <w:tc>
          <w:tcPr>
            <w:tcW w:w="2160" w:type="dxa"/>
            <w:vMerge w:val="restart"/>
            <w:tcBorders>
              <w:top w:val="single" w:sz="4" w:space="0" w:color="auto"/>
              <w:left w:val="single" w:sz="4" w:space="0" w:color="auto"/>
              <w:bottom w:val="single" w:sz="4" w:space="0" w:color="000000"/>
              <w:right w:val="nil"/>
            </w:tcBorders>
            <w:shd w:val="clear" w:color="000000" w:fill="FFFFFF"/>
            <w:hideMark/>
          </w:tcPr>
          <w:p w:rsidR="00236E18" w:rsidRPr="006105F6" w:rsidRDefault="00236E18" w:rsidP="00294272">
            <w:pPr>
              <w:rPr>
                <w:sz w:val="16"/>
                <w:szCs w:val="16"/>
              </w:rPr>
            </w:pPr>
            <w:r w:rsidRPr="006105F6">
              <w:rPr>
                <w:sz w:val="16"/>
                <w:szCs w:val="16"/>
              </w:rPr>
              <w:br/>
              <w:t>IX.8</w:t>
            </w:r>
            <w:r>
              <w:rPr>
                <w:sz w:val="16"/>
                <w:szCs w:val="16"/>
              </w:rPr>
              <w:t xml:space="preserve">  </w:t>
            </w:r>
            <w:r w:rsidRPr="00A339B4">
              <w:rPr>
                <w:sz w:val="16"/>
                <w:szCs w:val="16"/>
                <w:lang w:val="es-ES_tradnl"/>
              </w:rPr>
              <w:t>Mejor rendición de cuentas, aprendizaje institucional, uso óptimo de los recursos, administración, control interno y buen gobierno gracias a la asistencia que proporciona una supervisión eficaz e independiente</w:t>
            </w:r>
          </w:p>
        </w:tc>
        <w:tc>
          <w:tcPr>
            <w:tcW w:w="2620" w:type="dxa"/>
            <w:tcBorders>
              <w:top w:val="single" w:sz="4" w:space="0" w:color="auto"/>
              <w:left w:val="nil"/>
              <w:bottom w:val="nil"/>
              <w:right w:val="nil"/>
            </w:tcBorders>
            <w:shd w:val="clear" w:color="000000" w:fill="FFFFFF"/>
            <w:hideMark/>
          </w:tcPr>
          <w:p w:rsidR="00236E18" w:rsidRPr="006105F6" w:rsidRDefault="00236E18" w:rsidP="00294272">
            <w:pPr>
              <w:ind w:left="299" w:firstLineChars="13" w:firstLine="21"/>
              <w:rPr>
                <w:sz w:val="16"/>
                <w:szCs w:val="16"/>
              </w:rPr>
            </w:pPr>
            <w:r w:rsidRPr="006105F6">
              <w:rPr>
                <w:sz w:val="16"/>
                <w:szCs w:val="16"/>
              </w:rPr>
              <w:br/>
              <w:t xml:space="preserve">INDEPENDENCIA - </w:t>
            </w:r>
            <w:r>
              <w:rPr>
                <w:sz w:val="16"/>
                <w:szCs w:val="16"/>
              </w:rPr>
              <w:t>No</w:t>
            </w:r>
            <w:r w:rsidRPr="006105F6">
              <w:rPr>
                <w:sz w:val="16"/>
                <w:szCs w:val="16"/>
              </w:rPr>
              <w:t xml:space="preserve"> interferencia y grado de independencia percibido por las principales partes interesadas.</w:t>
            </w:r>
            <w:r w:rsidRPr="006105F6">
              <w:rPr>
                <w:sz w:val="16"/>
                <w:szCs w:val="16"/>
              </w:rPr>
              <w:br/>
            </w:r>
          </w:p>
        </w:tc>
        <w:tc>
          <w:tcPr>
            <w:tcW w:w="2340" w:type="dxa"/>
            <w:tcBorders>
              <w:top w:val="single" w:sz="4" w:space="0" w:color="auto"/>
              <w:left w:val="nil"/>
              <w:bottom w:val="nil"/>
              <w:right w:val="nil"/>
            </w:tcBorders>
            <w:shd w:val="clear" w:color="000000" w:fill="FFFFFF"/>
            <w:hideMark/>
          </w:tcPr>
          <w:p w:rsidR="00236E18" w:rsidRPr="006105F6" w:rsidRDefault="00236E18" w:rsidP="00294272">
            <w:pPr>
              <w:spacing w:after="240"/>
              <w:ind w:left="230" w:firstLineChars="56" w:firstLine="90"/>
              <w:rPr>
                <w:sz w:val="16"/>
                <w:szCs w:val="16"/>
              </w:rPr>
            </w:pPr>
            <w:r w:rsidRPr="006105F6">
              <w:rPr>
                <w:sz w:val="16"/>
                <w:szCs w:val="16"/>
              </w:rPr>
              <w:br/>
              <w:t>No hay interferencias en la labor de la DSI.</w:t>
            </w:r>
          </w:p>
        </w:tc>
        <w:tc>
          <w:tcPr>
            <w:tcW w:w="2109" w:type="dxa"/>
            <w:tcBorders>
              <w:top w:val="single" w:sz="4" w:space="0" w:color="auto"/>
              <w:left w:val="nil"/>
              <w:bottom w:val="nil"/>
              <w:right w:val="single" w:sz="4" w:space="0" w:color="auto"/>
            </w:tcBorders>
            <w:shd w:val="clear" w:color="000000" w:fill="FFFFFF"/>
            <w:hideMark/>
          </w:tcPr>
          <w:p w:rsidR="00236E18" w:rsidRPr="006105F6" w:rsidRDefault="00236E18" w:rsidP="00294272">
            <w:pPr>
              <w:spacing w:after="240"/>
              <w:ind w:left="300" w:firstLineChars="12" w:firstLine="19"/>
              <w:rPr>
                <w:sz w:val="16"/>
                <w:szCs w:val="16"/>
              </w:rPr>
            </w:pPr>
            <w:r w:rsidRPr="006105F6">
              <w:rPr>
                <w:sz w:val="16"/>
                <w:szCs w:val="16"/>
              </w:rPr>
              <w:br/>
              <w:t>No hay interferencias en la labor de la DSI.</w:t>
            </w:r>
          </w:p>
        </w:tc>
      </w:tr>
      <w:tr w:rsidR="00236E18" w:rsidRPr="006105F6" w:rsidTr="00294272">
        <w:trPr>
          <w:trHeight w:val="3543"/>
        </w:trPr>
        <w:tc>
          <w:tcPr>
            <w:tcW w:w="2160" w:type="dxa"/>
            <w:vMerge/>
            <w:tcBorders>
              <w:top w:val="nil"/>
              <w:left w:val="single" w:sz="4" w:space="0" w:color="auto"/>
              <w:bottom w:val="single" w:sz="4" w:space="0" w:color="auto"/>
              <w:right w:val="nil"/>
            </w:tcBorders>
            <w:vAlign w:val="center"/>
            <w:hideMark/>
          </w:tcPr>
          <w:p w:rsidR="00236E18" w:rsidRPr="006105F6" w:rsidRDefault="00236E18" w:rsidP="00294272">
            <w:pPr>
              <w:rPr>
                <w:sz w:val="16"/>
                <w:szCs w:val="16"/>
              </w:rPr>
            </w:pPr>
          </w:p>
        </w:tc>
        <w:tc>
          <w:tcPr>
            <w:tcW w:w="2620" w:type="dxa"/>
            <w:tcBorders>
              <w:top w:val="nil"/>
              <w:left w:val="nil"/>
              <w:right w:val="nil"/>
            </w:tcBorders>
            <w:shd w:val="clear" w:color="000000" w:fill="FFFFFF"/>
            <w:hideMark/>
          </w:tcPr>
          <w:p w:rsidR="00236E18" w:rsidRPr="006105F6" w:rsidRDefault="00236E18" w:rsidP="00294272">
            <w:pPr>
              <w:ind w:left="299"/>
              <w:rPr>
                <w:sz w:val="16"/>
                <w:szCs w:val="16"/>
              </w:rPr>
            </w:pPr>
            <w:r w:rsidRPr="006105F6">
              <w:rPr>
                <w:sz w:val="16"/>
                <w:szCs w:val="16"/>
              </w:rPr>
              <w:t>EFECTIVIDAD</w:t>
            </w:r>
            <w:r>
              <w:rPr>
                <w:sz w:val="16"/>
                <w:szCs w:val="16"/>
              </w:rPr>
              <w:t xml:space="preserve"> </w:t>
            </w:r>
            <w:r w:rsidRPr="006105F6">
              <w:rPr>
                <w:sz w:val="16"/>
                <w:szCs w:val="16"/>
              </w:rPr>
              <w:t xml:space="preserve">- el porcentaje de la labor que abarca ámbitos de importancia y de alto riesgo de conformidad con la estrategia de la Organización </w:t>
            </w:r>
            <w:r w:rsidRPr="006105F6">
              <w:rPr>
                <w:sz w:val="16"/>
                <w:szCs w:val="16"/>
              </w:rPr>
              <w:br/>
            </w:r>
          </w:p>
          <w:p w:rsidR="00236E18" w:rsidRPr="006105F6" w:rsidRDefault="00236E18" w:rsidP="00294272">
            <w:pPr>
              <w:ind w:left="299"/>
              <w:rPr>
                <w:sz w:val="16"/>
                <w:szCs w:val="16"/>
              </w:rPr>
            </w:pPr>
          </w:p>
          <w:p w:rsidR="00236E18" w:rsidRPr="006105F6" w:rsidRDefault="00236E18" w:rsidP="00294272">
            <w:pPr>
              <w:ind w:left="299"/>
              <w:rPr>
                <w:sz w:val="16"/>
                <w:szCs w:val="16"/>
              </w:rPr>
            </w:pPr>
            <w:r w:rsidRPr="006105F6">
              <w:rPr>
                <w:sz w:val="16"/>
                <w:szCs w:val="16"/>
              </w:rPr>
              <w:t>EFICACIA – los informes de la DSI se elaboran oportunamente y se ajustan a las recomendaciones SMART (específicas, mensurables, realizables, pertinentes y sujetas a plazo)</w:t>
            </w:r>
          </w:p>
        </w:tc>
        <w:tc>
          <w:tcPr>
            <w:tcW w:w="2340" w:type="dxa"/>
            <w:tcBorders>
              <w:top w:val="nil"/>
              <w:left w:val="nil"/>
              <w:right w:val="nil"/>
            </w:tcBorders>
            <w:shd w:val="clear" w:color="000000" w:fill="FFFFFF"/>
            <w:hideMark/>
          </w:tcPr>
          <w:p w:rsidR="00236E18" w:rsidRPr="006105F6" w:rsidRDefault="00236E18" w:rsidP="00294272">
            <w:pPr>
              <w:ind w:left="230"/>
              <w:rPr>
                <w:sz w:val="16"/>
                <w:szCs w:val="16"/>
              </w:rPr>
            </w:pPr>
            <w:r w:rsidRPr="006105F6">
              <w:rPr>
                <w:sz w:val="16"/>
                <w:szCs w:val="16"/>
              </w:rPr>
              <w:t xml:space="preserve">El 100% de los ámbitos de gran importancia/alto riesgo </w:t>
            </w:r>
          </w:p>
          <w:p w:rsidR="00236E18" w:rsidRPr="006105F6" w:rsidRDefault="00236E18" w:rsidP="00294272">
            <w:pPr>
              <w:ind w:left="230"/>
              <w:rPr>
                <w:sz w:val="16"/>
                <w:szCs w:val="16"/>
              </w:rPr>
            </w:pPr>
          </w:p>
          <w:p w:rsidR="00236E18" w:rsidRPr="006105F6" w:rsidRDefault="00236E18" w:rsidP="00294272">
            <w:pPr>
              <w:ind w:left="230"/>
              <w:rPr>
                <w:sz w:val="16"/>
                <w:szCs w:val="16"/>
              </w:rPr>
            </w:pPr>
          </w:p>
          <w:p w:rsidR="00236E18" w:rsidRPr="006105F6" w:rsidRDefault="00236E18" w:rsidP="00294272">
            <w:pPr>
              <w:ind w:left="230"/>
              <w:rPr>
                <w:sz w:val="16"/>
                <w:szCs w:val="16"/>
              </w:rPr>
            </w:pPr>
            <w:r w:rsidRPr="006105F6">
              <w:rPr>
                <w:sz w:val="16"/>
                <w:szCs w:val="16"/>
              </w:rPr>
              <w:br/>
            </w:r>
          </w:p>
          <w:p w:rsidR="00236E18" w:rsidRPr="006105F6" w:rsidRDefault="00236E18" w:rsidP="00294272">
            <w:pPr>
              <w:ind w:left="230"/>
              <w:rPr>
                <w:sz w:val="16"/>
                <w:szCs w:val="16"/>
              </w:rPr>
            </w:pPr>
          </w:p>
          <w:p w:rsidR="00236E18" w:rsidRPr="006105F6" w:rsidRDefault="00236E18" w:rsidP="00294272">
            <w:pPr>
              <w:ind w:left="230"/>
              <w:rPr>
                <w:sz w:val="16"/>
                <w:szCs w:val="16"/>
              </w:rPr>
            </w:pPr>
            <w:r w:rsidRPr="006105F6">
              <w:rPr>
                <w:sz w:val="16"/>
                <w:szCs w:val="16"/>
              </w:rPr>
              <w:t>El 75% de los informes de auditoría y evaluación se elaboran en menos de 4 meses;</w:t>
            </w:r>
            <w:r w:rsidRPr="006105F6">
              <w:rPr>
                <w:sz w:val="16"/>
                <w:szCs w:val="16"/>
              </w:rPr>
              <w:br/>
              <w:t>todos los informes de las actividades de investigación se elaboran de conformidad con la Política de Investigación;</w:t>
            </w:r>
            <w:r w:rsidRPr="006105F6">
              <w:rPr>
                <w:sz w:val="16"/>
                <w:szCs w:val="16"/>
              </w:rPr>
              <w:br/>
              <w:t>el 75 % de las recomendaciones sigue el modelo SMART</w:t>
            </w:r>
          </w:p>
        </w:tc>
        <w:tc>
          <w:tcPr>
            <w:tcW w:w="2109" w:type="dxa"/>
            <w:tcBorders>
              <w:top w:val="nil"/>
              <w:left w:val="nil"/>
              <w:right w:val="single" w:sz="4" w:space="0" w:color="auto"/>
            </w:tcBorders>
            <w:shd w:val="clear" w:color="000000" w:fill="FFFFFF"/>
            <w:hideMark/>
          </w:tcPr>
          <w:p w:rsidR="00236E18" w:rsidRPr="006105F6" w:rsidRDefault="00236E18" w:rsidP="00294272">
            <w:pPr>
              <w:ind w:left="300"/>
              <w:rPr>
                <w:sz w:val="16"/>
                <w:szCs w:val="16"/>
              </w:rPr>
            </w:pPr>
            <w:r w:rsidRPr="006105F6">
              <w:rPr>
                <w:sz w:val="16"/>
                <w:szCs w:val="16"/>
              </w:rPr>
              <w:t>El 100% de la labor en ámbitos de gran importancia/alto riesgo, de conformidad con las metas estratégicas de la OMPI</w:t>
            </w:r>
          </w:p>
          <w:p w:rsidR="00236E18" w:rsidRPr="006105F6" w:rsidRDefault="00236E18" w:rsidP="00294272">
            <w:pPr>
              <w:ind w:left="300"/>
              <w:rPr>
                <w:sz w:val="16"/>
                <w:szCs w:val="16"/>
              </w:rPr>
            </w:pPr>
            <w:r w:rsidRPr="006105F6">
              <w:rPr>
                <w:sz w:val="16"/>
                <w:szCs w:val="16"/>
              </w:rPr>
              <w:br/>
              <w:t>El 85 % de los informes de auditoría y evaluación se elaboran en menos de 4 meses;</w:t>
            </w:r>
            <w:r w:rsidRPr="006105F6">
              <w:rPr>
                <w:sz w:val="16"/>
                <w:szCs w:val="16"/>
              </w:rPr>
              <w:br/>
              <w:t>todos los informes de investigación cumplen los plazos de la Política de Investigación;</w:t>
            </w:r>
            <w:r w:rsidRPr="006105F6">
              <w:rPr>
                <w:sz w:val="16"/>
                <w:szCs w:val="16"/>
              </w:rPr>
              <w:br/>
              <w:t>el 100% de las recomendaciones sigue el modelo  SMART</w:t>
            </w:r>
          </w:p>
          <w:p w:rsidR="00236E18" w:rsidRPr="006105F6" w:rsidRDefault="00236E18" w:rsidP="00294272">
            <w:pPr>
              <w:ind w:left="300"/>
              <w:rPr>
                <w:sz w:val="16"/>
                <w:szCs w:val="16"/>
              </w:rPr>
            </w:pPr>
          </w:p>
        </w:tc>
      </w:tr>
      <w:tr w:rsidR="00236E18" w:rsidRPr="006105F6" w:rsidTr="00294272">
        <w:trPr>
          <w:trHeight w:val="1213"/>
        </w:trPr>
        <w:tc>
          <w:tcPr>
            <w:tcW w:w="2160" w:type="dxa"/>
            <w:vMerge/>
            <w:tcBorders>
              <w:top w:val="single" w:sz="4" w:space="0" w:color="auto"/>
              <w:left w:val="single" w:sz="4" w:space="0" w:color="auto"/>
              <w:bottom w:val="single" w:sz="4" w:space="0" w:color="auto"/>
              <w:right w:val="nil"/>
            </w:tcBorders>
            <w:vAlign w:val="center"/>
            <w:hideMark/>
          </w:tcPr>
          <w:p w:rsidR="00236E18" w:rsidRPr="006105F6" w:rsidRDefault="00236E18" w:rsidP="00294272">
            <w:pPr>
              <w:rPr>
                <w:sz w:val="16"/>
                <w:szCs w:val="16"/>
              </w:rPr>
            </w:pPr>
          </w:p>
        </w:tc>
        <w:tc>
          <w:tcPr>
            <w:tcW w:w="2620" w:type="dxa"/>
            <w:tcBorders>
              <w:left w:val="nil"/>
              <w:bottom w:val="single" w:sz="4" w:space="0" w:color="auto"/>
              <w:right w:val="nil"/>
            </w:tcBorders>
            <w:shd w:val="clear" w:color="000000" w:fill="FFFFFF"/>
            <w:hideMark/>
          </w:tcPr>
          <w:p w:rsidR="00236E18" w:rsidRPr="006105F6" w:rsidRDefault="00236E18" w:rsidP="00294272">
            <w:pPr>
              <w:ind w:left="299"/>
              <w:rPr>
                <w:sz w:val="16"/>
                <w:szCs w:val="16"/>
              </w:rPr>
            </w:pPr>
            <w:r w:rsidRPr="006105F6">
              <w:rPr>
                <w:sz w:val="16"/>
                <w:szCs w:val="16"/>
              </w:rPr>
              <w:t>PERTINENCIA, VALOR AÑADIDO Y ADMINISTRACIÓN -  Ahorros o mejoras tangibles en los procedimientos y sistemas operacionales.</w:t>
            </w:r>
            <w:r>
              <w:rPr>
                <w:sz w:val="16"/>
                <w:szCs w:val="16"/>
              </w:rPr>
              <w:br/>
            </w:r>
          </w:p>
        </w:tc>
        <w:tc>
          <w:tcPr>
            <w:tcW w:w="2340" w:type="dxa"/>
            <w:tcBorders>
              <w:left w:val="nil"/>
              <w:bottom w:val="single" w:sz="4" w:space="0" w:color="auto"/>
              <w:right w:val="nil"/>
            </w:tcBorders>
            <w:shd w:val="clear" w:color="000000" w:fill="FFFFFF"/>
            <w:hideMark/>
          </w:tcPr>
          <w:p w:rsidR="00236E18" w:rsidRPr="006105F6" w:rsidRDefault="00236E18" w:rsidP="00294272">
            <w:pPr>
              <w:ind w:left="230"/>
              <w:rPr>
                <w:sz w:val="16"/>
                <w:szCs w:val="16"/>
              </w:rPr>
            </w:pPr>
            <w:proofErr w:type="spellStart"/>
            <w:r w:rsidRPr="006105F6">
              <w:rPr>
                <w:sz w:val="16"/>
                <w:szCs w:val="16"/>
              </w:rPr>
              <w:t>n</w:t>
            </w:r>
            <w:r>
              <w:rPr>
                <w:sz w:val="16"/>
                <w:szCs w:val="16"/>
              </w:rPr>
              <w:t>.</w:t>
            </w:r>
            <w:r w:rsidRPr="006105F6">
              <w:rPr>
                <w:sz w:val="16"/>
                <w:szCs w:val="16"/>
              </w:rPr>
              <w:t>d</w:t>
            </w:r>
            <w:proofErr w:type="spellEnd"/>
            <w:r>
              <w:rPr>
                <w:sz w:val="16"/>
                <w:szCs w:val="16"/>
              </w:rPr>
              <w:t>.</w:t>
            </w:r>
            <w:r w:rsidRPr="006105F6">
              <w:rPr>
                <w:sz w:val="16"/>
                <w:szCs w:val="16"/>
              </w:rPr>
              <w:t xml:space="preserve"> (se proporcionarán a finales de 2015)</w:t>
            </w:r>
          </w:p>
        </w:tc>
        <w:tc>
          <w:tcPr>
            <w:tcW w:w="2109" w:type="dxa"/>
            <w:tcBorders>
              <w:left w:val="nil"/>
              <w:bottom w:val="single" w:sz="4" w:space="0" w:color="auto"/>
              <w:right w:val="single" w:sz="4" w:space="0" w:color="auto"/>
            </w:tcBorders>
            <w:shd w:val="clear" w:color="000000" w:fill="FFFFFF"/>
            <w:hideMark/>
          </w:tcPr>
          <w:p w:rsidR="00236E18" w:rsidRPr="006105F6" w:rsidRDefault="00236E18" w:rsidP="00294272">
            <w:pPr>
              <w:ind w:left="300"/>
              <w:rPr>
                <w:sz w:val="16"/>
                <w:szCs w:val="16"/>
              </w:rPr>
            </w:pPr>
            <w:r w:rsidRPr="006105F6">
              <w:rPr>
                <w:sz w:val="16"/>
                <w:szCs w:val="16"/>
              </w:rPr>
              <w:t>El 50% de las recomendaciones dan lugar a mejoras de la eficacia</w:t>
            </w:r>
          </w:p>
        </w:tc>
      </w:tr>
      <w:tr w:rsidR="00236E18" w:rsidRPr="006105F6" w:rsidTr="00294272">
        <w:trPr>
          <w:trHeight w:val="1275"/>
        </w:trPr>
        <w:tc>
          <w:tcPr>
            <w:tcW w:w="2160" w:type="dxa"/>
            <w:vMerge/>
            <w:tcBorders>
              <w:top w:val="single" w:sz="4" w:space="0" w:color="auto"/>
              <w:left w:val="single" w:sz="4" w:space="0" w:color="auto"/>
              <w:bottom w:val="single" w:sz="4" w:space="0" w:color="000000"/>
              <w:right w:val="nil"/>
            </w:tcBorders>
            <w:vAlign w:val="center"/>
            <w:hideMark/>
          </w:tcPr>
          <w:p w:rsidR="00236E18" w:rsidRPr="006105F6" w:rsidRDefault="00236E18" w:rsidP="00294272">
            <w:pPr>
              <w:rPr>
                <w:sz w:val="16"/>
                <w:szCs w:val="16"/>
              </w:rPr>
            </w:pPr>
          </w:p>
        </w:tc>
        <w:tc>
          <w:tcPr>
            <w:tcW w:w="2620" w:type="dxa"/>
            <w:tcBorders>
              <w:top w:val="single" w:sz="4" w:space="0" w:color="auto"/>
              <w:left w:val="nil"/>
              <w:bottom w:val="single" w:sz="4" w:space="0" w:color="auto"/>
              <w:right w:val="nil"/>
            </w:tcBorders>
            <w:shd w:val="clear" w:color="000000" w:fill="FFFFFF"/>
            <w:hideMark/>
          </w:tcPr>
          <w:p w:rsidR="00236E18" w:rsidRPr="006105F6" w:rsidRDefault="00236E18" w:rsidP="00294272">
            <w:pPr>
              <w:ind w:left="299"/>
              <w:rPr>
                <w:sz w:val="16"/>
                <w:szCs w:val="16"/>
              </w:rPr>
            </w:pPr>
            <w:r>
              <w:rPr>
                <w:sz w:val="16"/>
                <w:szCs w:val="16"/>
              </w:rPr>
              <w:br/>
            </w:r>
            <w:r w:rsidRPr="006105F6">
              <w:rPr>
                <w:sz w:val="16"/>
                <w:szCs w:val="16"/>
              </w:rPr>
              <w:t>APRENDIZAJE INSTITUCIONAL -   Adopción de las enseñanzas y recomendaciones extraídas de los procesos de supervisión.</w:t>
            </w:r>
            <w:r>
              <w:rPr>
                <w:sz w:val="16"/>
                <w:szCs w:val="16"/>
              </w:rPr>
              <w:br/>
            </w:r>
          </w:p>
        </w:tc>
        <w:tc>
          <w:tcPr>
            <w:tcW w:w="2340" w:type="dxa"/>
            <w:tcBorders>
              <w:top w:val="single" w:sz="4" w:space="0" w:color="auto"/>
              <w:left w:val="nil"/>
              <w:bottom w:val="single" w:sz="4" w:space="0" w:color="auto"/>
              <w:right w:val="nil"/>
            </w:tcBorders>
            <w:shd w:val="clear" w:color="000000" w:fill="FFFFFF"/>
            <w:hideMark/>
          </w:tcPr>
          <w:p w:rsidR="00236E18" w:rsidRPr="006105F6" w:rsidRDefault="00236E18" w:rsidP="00294272">
            <w:pPr>
              <w:ind w:left="230"/>
              <w:rPr>
                <w:sz w:val="16"/>
                <w:szCs w:val="16"/>
              </w:rPr>
            </w:pPr>
            <w:r>
              <w:rPr>
                <w:sz w:val="16"/>
                <w:szCs w:val="16"/>
              </w:rPr>
              <w:br/>
            </w:r>
            <w:r w:rsidRPr="006105F6">
              <w:rPr>
                <w:sz w:val="16"/>
                <w:szCs w:val="16"/>
              </w:rPr>
              <w:t>90% de las recomendaciones aceptadas y 90% de las recomendaciones aplicadas en un plazo de dos años.</w:t>
            </w:r>
          </w:p>
        </w:tc>
        <w:tc>
          <w:tcPr>
            <w:tcW w:w="2109" w:type="dxa"/>
            <w:tcBorders>
              <w:top w:val="single" w:sz="4" w:space="0" w:color="auto"/>
              <w:left w:val="nil"/>
              <w:bottom w:val="single" w:sz="4" w:space="0" w:color="auto"/>
              <w:right w:val="single" w:sz="4" w:space="0" w:color="auto"/>
            </w:tcBorders>
            <w:shd w:val="clear" w:color="000000" w:fill="FFFFFF"/>
            <w:hideMark/>
          </w:tcPr>
          <w:p w:rsidR="00236E18" w:rsidRPr="006105F6" w:rsidRDefault="00236E18" w:rsidP="00294272">
            <w:pPr>
              <w:ind w:left="300"/>
              <w:rPr>
                <w:sz w:val="16"/>
                <w:szCs w:val="16"/>
              </w:rPr>
            </w:pPr>
            <w:r>
              <w:rPr>
                <w:sz w:val="16"/>
                <w:szCs w:val="16"/>
              </w:rPr>
              <w:br/>
            </w:r>
            <w:r w:rsidRPr="006105F6">
              <w:rPr>
                <w:sz w:val="16"/>
                <w:szCs w:val="16"/>
              </w:rPr>
              <w:t>90% de las recomendaciones aceptadas y 90% de las recomendaciones aplicadas en un plazo de dos años.</w:t>
            </w:r>
          </w:p>
        </w:tc>
      </w:tr>
    </w:tbl>
    <w:p w:rsidR="00236E18" w:rsidRPr="006105F6" w:rsidRDefault="00236E18" w:rsidP="00236E18">
      <w:pPr>
        <w:autoSpaceDE w:val="0"/>
        <w:autoSpaceDN w:val="0"/>
        <w:adjustRightInd w:val="0"/>
        <w:jc w:val="both"/>
        <w:rPr>
          <w:szCs w:val="22"/>
        </w:rPr>
      </w:pPr>
    </w:p>
    <w:p w:rsidR="00236E18" w:rsidRPr="006105F6" w:rsidRDefault="00236E18" w:rsidP="00236E18">
      <w:pPr>
        <w:shd w:val="clear" w:color="auto" w:fill="FFFFFF"/>
        <w:tabs>
          <w:tab w:val="left" w:pos="709"/>
        </w:tabs>
        <w:suppressAutoHyphens/>
        <w:jc w:val="both"/>
        <w:rPr>
          <w:szCs w:val="22"/>
        </w:rPr>
      </w:pPr>
    </w:p>
    <w:p w:rsidR="00236E18" w:rsidRDefault="00236E18" w:rsidP="00236E18">
      <w:pPr>
        <w:autoSpaceDE w:val="0"/>
        <w:autoSpaceDN w:val="0"/>
        <w:adjustRightInd w:val="0"/>
        <w:jc w:val="both"/>
      </w:pPr>
      <w:r>
        <w:t>RECURSOS PARA EL PROGRAMA</w:t>
      </w:r>
      <w:r w:rsidRPr="004B6D01">
        <w:t xml:space="preserve"> 26</w:t>
      </w:r>
    </w:p>
    <w:p w:rsidR="00236E18" w:rsidRPr="004B6D01" w:rsidRDefault="00236E18" w:rsidP="00236E18">
      <w:pPr>
        <w:autoSpaceDE w:val="0"/>
        <w:autoSpaceDN w:val="0"/>
        <w:adjustRightInd w:val="0"/>
        <w:jc w:val="both"/>
      </w:pPr>
    </w:p>
    <w:p w:rsidR="00236E18" w:rsidRPr="004B6D01" w:rsidRDefault="00236E18" w:rsidP="00236E18">
      <w:pPr>
        <w:pStyle w:val="ListParagraph"/>
        <w:numPr>
          <w:ilvl w:val="0"/>
          <w:numId w:val="42"/>
        </w:numPr>
        <w:tabs>
          <w:tab w:val="left" w:pos="709"/>
        </w:tabs>
        <w:autoSpaceDE w:val="0"/>
        <w:autoSpaceDN w:val="0"/>
        <w:adjustRightInd w:val="0"/>
        <w:ind w:left="0" w:firstLine="0"/>
        <w:jc w:val="both"/>
        <w:rPr>
          <w:rFonts w:ascii="Arial" w:hAnsi="Arial" w:cs="Arial"/>
          <w:sz w:val="20"/>
          <w:lang w:val="es-ES"/>
        </w:rPr>
      </w:pPr>
      <w:r w:rsidRPr="004B6D01">
        <w:rPr>
          <w:rFonts w:ascii="Arial" w:hAnsi="Arial" w:cs="Arial"/>
          <w:sz w:val="20"/>
          <w:szCs w:val="20"/>
          <w:lang w:val="es-ES"/>
        </w:rPr>
        <w:t>En el bienio 2016/17, la dotación global de recursos para el programa 26 muestra un ligero aumento con respecto al presupuesto de 2014/</w:t>
      </w:r>
      <w:r>
        <w:rPr>
          <w:rFonts w:ascii="Arial" w:hAnsi="Arial" w:cs="Arial"/>
          <w:sz w:val="20"/>
          <w:szCs w:val="20"/>
          <w:lang w:val="es-ES"/>
        </w:rPr>
        <w:t>15 tras las</w:t>
      </w:r>
      <w:r w:rsidRPr="004B6D01">
        <w:rPr>
          <w:rFonts w:ascii="Arial" w:hAnsi="Arial" w:cs="Arial"/>
          <w:sz w:val="20"/>
          <w:szCs w:val="20"/>
          <w:lang w:val="es-ES"/>
        </w:rPr>
        <w:t xml:space="preserve"> transferencias.  Lo cual se debe al cambio introducido en la metodología aplicada al cálculo de los costos de recursos de personal a partir del cálculo de los costos reales.</w:t>
      </w:r>
    </w:p>
    <w:p w:rsidR="00236E18" w:rsidRDefault="00236E18" w:rsidP="00236E18">
      <w:pPr>
        <w:autoSpaceDE w:val="0"/>
        <w:autoSpaceDN w:val="0"/>
        <w:adjustRightInd w:val="0"/>
        <w:jc w:val="both"/>
        <w:rPr>
          <w:sz w:val="20"/>
          <w:highlight w:val="lightGray"/>
        </w:rPr>
      </w:pPr>
    </w:p>
    <w:p w:rsidR="00236E18" w:rsidRPr="004B6D01" w:rsidRDefault="00236E18" w:rsidP="00236E18">
      <w:pPr>
        <w:autoSpaceDE w:val="0"/>
        <w:autoSpaceDN w:val="0"/>
        <w:adjustRightInd w:val="0"/>
        <w:jc w:val="both"/>
        <w:rPr>
          <w:sz w:val="20"/>
          <w:highlight w:val="lightGray"/>
        </w:rPr>
      </w:pPr>
    </w:p>
    <w:p w:rsidR="00236E18" w:rsidRPr="004B6D01" w:rsidRDefault="00236E18" w:rsidP="00236E18">
      <w:pPr>
        <w:tabs>
          <w:tab w:val="left" w:pos="1427"/>
        </w:tabs>
        <w:jc w:val="center"/>
        <w:rPr>
          <w:sz w:val="20"/>
        </w:rPr>
      </w:pPr>
      <w:r w:rsidRPr="004B6D01">
        <w:rPr>
          <w:b/>
          <w:sz w:val="20"/>
          <w:szCs w:val="24"/>
        </w:rPr>
        <w:t>Programa 26</w:t>
      </w:r>
      <w:proofErr w:type="gramStart"/>
      <w:r w:rsidRPr="004B6D01">
        <w:rPr>
          <w:b/>
          <w:sz w:val="20"/>
          <w:szCs w:val="24"/>
        </w:rPr>
        <w:t>:  Recursos</w:t>
      </w:r>
      <w:proofErr w:type="gramEnd"/>
      <w:r w:rsidRPr="004B6D01">
        <w:rPr>
          <w:b/>
          <w:sz w:val="20"/>
          <w:szCs w:val="24"/>
        </w:rPr>
        <w:t xml:space="preserve"> por resultado</w:t>
      </w:r>
    </w:p>
    <w:p w:rsidR="00236E18" w:rsidRPr="004B6D01" w:rsidRDefault="00236E18" w:rsidP="00236E18">
      <w:pPr>
        <w:tabs>
          <w:tab w:val="left" w:pos="1427"/>
        </w:tabs>
        <w:jc w:val="center"/>
        <w:rPr>
          <w:i/>
          <w:sz w:val="20"/>
          <w:szCs w:val="24"/>
        </w:rPr>
      </w:pPr>
      <w:r w:rsidRPr="004B6D01">
        <w:rPr>
          <w:i/>
          <w:sz w:val="20"/>
          <w:szCs w:val="24"/>
        </w:rPr>
        <w:t>(</w:t>
      </w:r>
      <w:proofErr w:type="gramStart"/>
      <w:r w:rsidRPr="004B6D01">
        <w:rPr>
          <w:i/>
          <w:sz w:val="20"/>
          <w:szCs w:val="24"/>
        </w:rPr>
        <w:t>en</w:t>
      </w:r>
      <w:proofErr w:type="gramEnd"/>
      <w:r w:rsidRPr="004B6D01">
        <w:rPr>
          <w:i/>
          <w:sz w:val="20"/>
          <w:szCs w:val="24"/>
        </w:rPr>
        <w:t xml:space="preserve"> miles de francos suizos)</w:t>
      </w:r>
    </w:p>
    <w:p w:rsidR="00236E18" w:rsidRPr="004B6D01" w:rsidRDefault="00236E18" w:rsidP="00236E18">
      <w:pPr>
        <w:tabs>
          <w:tab w:val="left" w:pos="1427"/>
        </w:tabs>
        <w:jc w:val="center"/>
        <w:rPr>
          <w:i/>
          <w:sz w:val="20"/>
          <w:szCs w:val="24"/>
          <w:highlight w:val="lightGray"/>
        </w:rPr>
      </w:pPr>
    </w:p>
    <w:p w:rsidR="00236E18" w:rsidRPr="00440E91" w:rsidRDefault="00236E18" w:rsidP="00236E18">
      <w:pPr>
        <w:tabs>
          <w:tab w:val="left" w:pos="1427"/>
        </w:tabs>
        <w:jc w:val="center"/>
        <w:rPr>
          <w:i/>
          <w:sz w:val="20"/>
          <w:szCs w:val="24"/>
          <w:highlight w:val="lightGray"/>
        </w:rPr>
      </w:pPr>
      <w:r w:rsidRPr="00A339B4">
        <w:rPr>
          <w:noProof/>
          <w:lang w:val="en-US" w:eastAsia="en-US"/>
        </w:rPr>
        <w:drawing>
          <wp:inline distT="0" distB="0" distL="0" distR="0" wp14:anchorId="02E6D548" wp14:editId="6C90E333">
            <wp:extent cx="5677535" cy="1359535"/>
            <wp:effectExtent l="0" t="0" r="0" b="0"/>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677535" cy="1359535"/>
                    </a:xfrm>
                    <a:prstGeom prst="rect">
                      <a:avLst/>
                    </a:prstGeom>
                    <a:noFill/>
                    <a:ln>
                      <a:noFill/>
                    </a:ln>
                  </pic:spPr>
                </pic:pic>
              </a:graphicData>
            </a:graphic>
          </wp:inline>
        </w:drawing>
      </w:r>
    </w:p>
    <w:p w:rsidR="00236E18" w:rsidRDefault="00236E18" w:rsidP="00236E18">
      <w:pPr>
        <w:tabs>
          <w:tab w:val="left" w:pos="1427"/>
        </w:tabs>
        <w:rPr>
          <w:i/>
          <w:sz w:val="20"/>
          <w:szCs w:val="24"/>
          <w:highlight w:val="lightGray"/>
        </w:rPr>
      </w:pPr>
    </w:p>
    <w:p w:rsidR="00236E18" w:rsidRPr="00440E91" w:rsidRDefault="00236E18" w:rsidP="00236E18">
      <w:pPr>
        <w:tabs>
          <w:tab w:val="left" w:pos="1427"/>
        </w:tabs>
        <w:rPr>
          <w:i/>
          <w:sz w:val="20"/>
          <w:szCs w:val="24"/>
          <w:highlight w:val="lightGray"/>
        </w:rPr>
      </w:pPr>
    </w:p>
    <w:p w:rsidR="00236E18" w:rsidRPr="00D30DC7" w:rsidRDefault="00236E18" w:rsidP="00236E18">
      <w:pPr>
        <w:keepNext/>
        <w:keepLines/>
        <w:tabs>
          <w:tab w:val="left" w:pos="1427"/>
        </w:tabs>
        <w:jc w:val="center"/>
        <w:rPr>
          <w:sz w:val="20"/>
        </w:rPr>
      </w:pPr>
      <w:r w:rsidRPr="00D30DC7">
        <w:rPr>
          <w:b/>
          <w:sz w:val="20"/>
          <w:szCs w:val="24"/>
        </w:rPr>
        <w:lastRenderedPageBreak/>
        <w:t>Programa 26</w:t>
      </w:r>
      <w:proofErr w:type="gramStart"/>
      <w:r w:rsidRPr="00D30DC7">
        <w:rPr>
          <w:b/>
          <w:sz w:val="20"/>
          <w:szCs w:val="24"/>
        </w:rPr>
        <w:t>:  Recursos</w:t>
      </w:r>
      <w:proofErr w:type="gramEnd"/>
      <w:r w:rsidRPr="00D30DC7">
        <w:rPr>
          <w:b/>
          <w:sz w:val="20"/>
          <w:szCs w:val="24"/>
        </w:rPr>
        <w:t xml:space="preserve"> por objeto de gasto</w:t>
      </w:r>
    </w:p>
    <w:p w:rsidR="00236E18" w:rsidRPr="00D30DC7" w:rsidRDefault="00236E18" w:rsidP="00236E18">
      <w:pPr>
        <w:keepNext/>
        <w:keepLines/>
        <w:tabs>
          <w:tab w:val="left" w:pos="1427"/>
        </w:tabs>
        <w:jc w:val="center"/>
        <w:rPr>
          <w:i/>
          <w:sz w:val="20"/>
          <w:szCs w:val="24"/>
        </w:rPr>
      </w:pPr>
      <w:r w:rsidRPr="00D30DC7">
        <w:rPr>
          <w:i/>
          <w:sz w:val="20"/>
          <w:szCs w:val="24"/>
        </w:rPr>
        <w:t>(</w:t>
      </w:r>
      <w:proofErr w:type="gramStart"/>
      <w:r w:rsidRPr="00D30DC7">
        <w:rPr>
          <w:i/>
          <w:sz w:val="20"/>
          <w:szCs w:val="24"/>
        </w:rPr>
        <w:t>en</w:t>
      </w:r>
      <w:proofErr w:type="gramEnd"/>
      <w:r w:rsidRPr="00D30DC7">
        <w:rPr>
          <w:i/>
          <w:sz w:val="20"/>
          <w:szCs w:val="24"/>
        </w:rPr>
        <w:t xml:space="preserve"> miles de francos suizos)</w:t>
      </w:r>
    </w:p>
    <w:p w:rsidR="00236E18" w:rsidRPr="00D30DC7" w:rsidRDefault="00236E18" w:rsidP="00236E18">
      <w:pPr>
        <w:keepNext/>
        <w:keepLines/>
        <w:tabs>
          <w:tab w:val="left" w:pos="1427"/>
        </w:tabs>
        <w:jc w:val="center"/>
        <w:rPr>
          <w:i/>
          <w:sz w:val="20"/>
          <w:szCs w:val="24"/>
          <w:highlight w:val="lightGray"/>
        </w:rPr>
      </w:pPr>
    </w:p>
    <w:p w:rsidR="00236E18" w:rsidRDefault="00236E18" w:rsidP="00236E18">
      <w:pPr>
        <w:keepNext/>
        <w:keepLines/>
        <w:tabs>
          <w:tab w:val="left" w:pos="1427"/>
        </w:tabs>
        <w:jc w:val="center"/>
      </w:pPr>
      <w:r>
        <w:rPr>
          <w:noProof/>
          <w:lang w:val="en-US" w:eastAsia="en-US"/>
        </w:rPr>
        <w:drawing>
          <wp:inline distT="0" distB="0" distL="0" distR="0" wp14:anchorId="6EE4DF5B" wp14:editId="5D598943">
            <wp:extent cx="5940425" cy="6089570"/>
            <wp:effectExtent l="0" t="0" r="3175" b="6985"/>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940425" cy="6089570"/>
                    </a:xfrm>
                    <a:prstGeom prst="rect">
                      <a:avLst/>
                    </a:prstGeom>
                    <a:noFill/>
                    <a:ln>
                      <a:noFill/>
                    </a:ln>
                  </pic:spPr>
                </pic:pic>
              </a:graphicData>
            </a:graphic>
          </wp:inline>
        </w:drawing>
      </w:r>
    </w:p>
    <w:p w:rsidR="00236E18" w:rsidRDefault="00236E18" w:rsidP="00236E18">
      <w:pPr>
        <w:shd w:val="clear" w:color="auto" w:fill="FFFFFF"/>
        <w:tabs>
          <w:tab w:val="left" w:pos="709"/>
        </w:tabs>
        <w:suppressAutoHyphens/>
        <w:jc w:val="both"/>
        <w:rPr>
          <w:szCs w:val="22"/>
        </w:rPr>
      </w:pPr>
    </w:p>
    <w:p w:rsidR="00236E18" w:rsidRDefault="00236E18" w:rsidP="00236E18">
      <w:pPr>
        <w:shd w:val="clear" w:color="auto" w:fill="FFFFFF"/>
        <w:tabs>
          <w:tab w:val="left" w:pos="709"/>
        </w:tabs>
        <w:suppressAutoHyphens/>
        <w:jc w:val="both"/>
        <w:rPr>
          <w:szCs w:val="22"/>
        </w:rPr>
      </w:pPr>
    </w:p>
    <w:p w:rsidR="00236E18" w:rsidRDefault="00236E18" w:rsidP="00236E18">
      <w:pPr>
        <w:rPr>
          <w:szCs w:val="22"/>
        </w:rPr>
      </w:pPr>
      <w:r>
        <w:rPr>
          <w:szCs w:val="22"/>
        </w:rPr>
        <w:br w:type="page"/>
      </w:r>
    </w:p>
    <w:p w:rsidR="00236E18" w:rsidRPr="00F4741E" w:rsidRDefault="00236E18" w:rsidP="00236E18">
      <w:pPr>
        <w:pStyle w:val="StyleStyleHeading3ComplexItalicLatin12pt"/>
        <w:rPr>
          <w:lang w:val="es-ES"/>
        </w:rPr>
      </w:pPr>
      <w:bookmarkStart w:id="127" w:name="_Toc431573576"/>
      <w:bookmarkStart w:id="128" w:name="_Toc431573977"/>
      <w:r w:rsidRPr="00F4741E">
        <w:rPr>
          <w:lang w:val="es-ES"/>
        </w:rPr>
        <w:lastRenderedPageBreak/>
        <w:t>PROGRAMA 27</w:t>
      </w:r>
      <w:r w:rsidRPr="00F4741E">
        <w:rPr>
          <w:lang w:val="es-ES"/>
        </w:rPr>
        <w:tab/>
        <w:t>SERVICIOS DE CONFERENCIAS Y LINGÜÍSTICOS</w:t>
      </w:r>
      <w:bookmarkEnd w:id="127"/>
      <w:bookmarkEnd w:id="128"/>
    </w:p>
    <w:p w:rsidR="00236E18" w:rsidRPr="00BB3049" w:rsidRDefault="00236E18" w:rsidP="00236E18">
      <w:pPr>
        <w:rPr>
          <w:szCs w:val="22"/>
        </w:rPr>
      </w:pPr>
    </w:p>
    <w:p w:rsidR="00236E18" w:rsidRPr="00BB3049" w:rsidRDefault="00236E18" w:rsidP="00236E18">
      <w:pPr>
        <w:rPr>
          <w:szCs w:val="22"/>
        </w:rPr>
      </w:pPr>
    </w:p>
    <w:p w:rsidR="00236E18" w:rsidRPr="00BB3049" w:rsidRDefault="00236E18" w:rsidP="00236E18">
      <w:pPr>
        <w:rPr>
          <w:bCs/>
          <w:szCs w:val="22"/>
        </w:rPr>
      </w:pPr>
      <w:r w:rsidRPr="00BB3049">
        <w:rPr>
          <w:bCs/>
          <w:szCs w:val="22"/>
        </w:rPr>
        <w:t>CONTEXTO DE PLANIFICACIÓN</w:t>
      </w:r>
    </w:p>
    <w:p w:rsidR="00236E18" w:rsidRPr="00A339B4" w:rsidRDefault="00236E18" w:rsidP="00236E18">
      <w:pPr>
        <w:jc w:val="both"/>
        <w:rPr>
          <w:sz w:val="20"/>
        </w:rPr>
      </w:pPr>
    </w:p>
    <w:p w:rsidR="00236E18" w:rsidRPr="00BB3049" w:rsidRDefault="00236E18" w:rsidP="00236E18">
      <w:pPr>
        <w:pStyle w:val="ListParagraph"/>
        <w:numPr>
          <w:ilvl w:val="0"/>
          <w:numId w:val="43"/>
        </w:numPr>
        <w:tabs>
          <w:tab w:val="left" w:pos="709"/>
        </w:tabs>
        <w:autoSpaceDE w:val="0"/>
        <w:autoSpaceDN w:val="0"/>
        <w:adjustRightInd w:val="0"/>
        <w:ind w:left="0" w:firstLine="0"/>
        <w:jc w:val="both"/>
        <w:rPr>
          <w:rFonts w:ascii="Arial" w:hAnsi="Arial" w:cs="Arial"/>
          <w:sz w:val="20"/>
          <w:lang w:val="es-ES_tradnl" w:bidi="he-IL"/>
        </w:rPr>
      </w:pPr>
      <w:r w:rsidRPr="00BB3049">
        <w:rPr>
          <w:rFonts w:ascii="Arial" w:hAnsi="Arial" w:cs="Arial"/>
          <w:sz w:val="20"/>
          <w:lang w:val="es-ES_tradnl" w:bidi="he-IL"/>
        </w:rPr>
        <w:t xml:space="preserve">El programa facilita las actividades de la Organización mediante la prestación de servicios eficientes y eficaces de conferencia, traducción, interpretación, gestión de expedientes y archivos, imprenta y despacho del correo.  Asimismo, se encarga de la formulación, presentación, adopción y aplicación de cuestiones conexas de política, así como de la gestión de proyectos de T.I. destinados a racionalizar y mejorar el funcionamiento de esas áreas. </w:t>
      </w:r>
    </w:p>
    <w:p w:rsidR="00236E18" w:rsidRPr="00BB3049" w:rsidRDefault="00236E18" w:rsidP="00236E18">
      <w:pPr>
        <w:autoSpaceDE w:val="0"/>
        <w:autoSpaceDN w:val="0"/>
        <w:adjustRightInd w:val="0"/>
        <w:jc w:val="both"/>
        <w:rPr>
          <w:sz w:val="20"/>
          <w:lang w:bidi="he-IL"/>
        </w:rPr>
      </w:pPr>
    </w:p>
    <w:p w:rsidR="00236E18" w:rsidRPr="00A339B4" w:rsidRDefault="00236E18" w:rsidP="00236E18">
      <w:pPr>
        <w:pStyle w:val="ListParagraph"/>
        <w:numPr>
          <w:ilvl w:val="0"/>
          <w:numId w:val="43"/>
        </w:numPr>
        <w:tabs>
          <w:tab w:val="left" w:pos="709"/>
        </w:tabs>
        <w:autoSpaceDE w:val="0"/>
        <w:autoSpaceDN w:val="0"/>
        <w:adjustRightInd w:val="0"/>
        <w:ind w:left="0" w:firstLine="0"/>
        <w:jc w:val="both"/>
        <w:rPr>
          <w:rFonts w:ascii="Arial" w:hAnsi="Arial" w:cs="Arial"/>
          <w:sz w:val="20"/>
          <w:lang w:val="es-ES_tradnl"/>
        </w:rPr>
      </w:pPr>
      <w:r w:rsidRPr="00A339B4">
        <w:rPr>
          <w:rFonts w:ascii="Arial" w:hAnsi="Arial" w:cs="Arial"/>
          <w:sz w:val="20"/>
          <w:lang w:val="es-ES_tradnl"/>
        </w:rPr>
        <w:t xml:space="preserve">Tras la adopción de la Política Lingüística por parte de los Estados miembros en 2011, y hacer extensiva la cobertura lingüística en seis idiomas a toda la documentación de los comités y órganos principales de la OMPI en el bienio de 2012/2013, en el bienio de 2014/15 se aplicó la misma cobertura a algunos grupos de trabajo.  En el bienio de 2016/17 se espera dar cobertura a los grupos de trabajo restantes.  En este contexto, la Secretaría sigue afrontando el doble reto de gestionar el volumen de trabajo </w:t>
      </w:r>
      <w:r>
        <w:rPr>
          <w:rFonts w:ascii="Arial" w:hAnsi="Arial" w:cs="Arial"/>
          <w:sz w:val="20"/>
          <w:lang w:val="es-ES_tradnl"/>
        </w:rPr>
        <w:t xml:space="preserve">de traducción </w:t>
      </w:r>
      <w:r w:rsidRPr="00A339B4">
        <w:rPr>
          <w:rFonts w:ascii="Arial" w:hAnsi="Arial" w:cs="Arial"/>
          <w:sz w:val="20"/>
          <w:lang w:val="es-ES_tradnl"/>
        </w:rPr>
        <w:t>sin dejar de mantener la calidad, con los recursos disponibles.  Para superar estos retos, se ha reforzado la red de traductores externos por cuenta propia y de agencias</w:t>
      </w:r>
      <w:r>
        <w:rPr>
          <w:rFonts w:ascii="Arial" w:hAnsi="Arial" w:cs="Arial"/>
          <w:sz w:val="20"/>
          <w:lang w:val="es-ES_tradnl"/>
        </w:rPr>
        <w:t xml:space="preserve"> de traducción para garantizar una distribución idónea del trabajo entre proveedores </w:t>
      </w:r>
      <w:r w:rsidRPr="00A339B4">
        <w:rPr>
          <w:rFonts w:ascii="Arial" w:hAnsi="Arial" w:cs="Arial"/>
          <w:sz w:val="20"/>
          <w:lang w:val="es-ES_tradnl"/>
        </w:rPr>
        <w:t>de traducción</w:t>
      </w:r>
      <w:r>
        <w:rPr>
          <w:rFonts w:ascii="Arial" w:hAnsi="Arial" w:cs="Arial"/>
          <w:sz w:val="20"/>
          <w:lang w:val="es-ES_tradnl"/>
        </w:rPr>
        <w:t xml:space="preserve"> y velar por que desde el comienzo los proveedores ofrezcan calidad</w:t>
      </w:r>
      <w:r w:rsidRPr="00A339B4">
        <w:rPr>
          <w:rFonts w:ascii="Arial" w:hAnsi="Arial" w:cs="Arial"/>
          <w:sz w:val="20"/>
          <w:lang w:val="es-ES_tradnl"/>
        </w:rPr>
        <w:t xml:space="preserve">.  Se han instalado nuevas herramientas de gestión </w:t>
      </w:r>
      <w:r>
        <w:rPr>
          <w:rFonts w:ascii="Arial" w:hAnsi="Arial" w:cs="Arial"/>
          <w:sz w:val="20"/>
          <w:lang w:val="es-ES_tradnl"/>
        </w:rPr>
        <w:t xml:space="preserve">e informáticas </w:t>
      </w:r>
      <w:r w:rsidRPr="00A339B4">
        <w:rPr>
          <w:rFonts w:ascii="Arial" w:hAnsi="Arial" w:cs="Arial"/>
          <w:sz w:val="20"/>
          <w:lang w:val="es-ES_tradnl"/>
        </w:rPr>
        <w:t>para mejorar el entorno de la traducción, crear bases de datos terminológicas y asegurar el control de la calidad.</w:t>
      </w:r>
    </w:p>
    <w:p w:rsidR="00236E18" w:rsidRPr="00BB3049" w:rsidRDefault="00236E18" w:rsidP="00236E18">
      <w:pPr>
        <w:jc w:val="both"/>
        <w:rPr>
          <w:sz w:val="20"/>
        </w:rPr>
      </w:pPr>
    </w:p>
    <w:p w:rsidR="00236E18" w:rsidRPr="00624F1C" w:rsidRDefault="00236E18" w:rsidP="00236E18">
      <w:pPr>
        <w:pStyle w:val="ListParagraph"/>
        <w:numPr>
          <w:ilvl w:val="0"/>
          <w:numId w:val="43"/>
        </w:numPr>
        <w:tabs>
          <w:tab w:val="left" w:pos="709"/>
        </w:tabs>
        <w:autoSpaceDE w:val="0"/>
        <w:autoSpaceDN w:val="0"/>
        <w:adjustRightInd w:val="0"/>
        <w:ind w:left="0" w:firstLine="0"/>
        <w:jc w:val="both"/>
        <w:rPr>
          <w:rFonts w:ascii="Arial" w:hAnsi="Arial" w:cs="Arial"/>
          <w:sz w:val="20"/>
          <w:lang w:val="es-ES_tradnl"/>
        </w:rPr>
      </w:pPr>
      <w:r w:rsidRPr="00624F1C">
        <w:rPr>
          <w:rFonts w:ascii="Arial" w:hAnsi="Arial" w:cs="Arial"/>
          <w:sz w:val="20"/>
          <w:lang w:val="es-ES_tradnl"/>
        </w:rPr>
        <w:t xml:space="preserve">La introducción de nuevas tecnologías para los servicios de conferencias e interpretación ha contribuido a modernizar su funcionamiento y a que se siga facilitando la participación de las delegaciones de los Estados miembros en las reuniones.  Estos servicios siguen afrontando los retos que plantean </w:t>
      </w:r>
      <w:r>
        <w:rPr>
          <w:rFonts w:ascii="Arial" w:hAnsi="Arial" w:cs="Arial"/>
          <w:sz w:val="20"/>
          <w:lang w:val="es-ES_tradnl"/>
        </w:rPr>
        <w:t xml:space="preserve">constantemente </w:t>
      </w:r>
      <w:r w:rsidRPr="00624F1C">
        <w:rPr>
          <w:rFonts w:ascii="Arial" w:hAnsi="Arial" w:cs="Arial"/>
          <w:sz w:val="20"/>
          <w:lang w:val="es-ES_tradnl"/>
        </w:rPr>
        <w:t>el aumento del número de reuniones que organiza la OMPI</w:t>
      </w:r>
      <w:r>
        <w:rPr>
          <w:rFonts w:ascii="Arial" w:hAnsi="Arial" w:cs="Arial"/>
          <w:sz w:val="20"/>
          <w:lang w:val="es-ES_tradnl"/>
        </w:rPr>
        <w:t>, así como la duración de las mismas</w:t>
      </w:r>
      <w:r w:rsidRPr="00624F1C">
        <w:rPr>
          <w:rFonts w:ascii="Arial" w:hAnsi="Arial" w:cs="Arial"/>
          <w:sz w:val="20"/>
          <w:lang w:val="es-ES_tradnl"/>
        </w:rPr>
        <w:t xml:space="preserve">, lo que afecta </w:t>
      </w:r>
      <w:r>
        <w:rPr>
          <w:rFonts w:ascii="Arial" w:hAnsi="Arial" w:cs="Arial"/>
          <w:sz w:val="20"/>
          <w:lang w:val="es-ES_tradnl"/>
        </w:rPr>
        <w:t>también</w:t>
      </w:r>
      <w:r w:rsidRPr="00624F1C">
        <w:rPr>
          <w:rFonts w:ascii="Arial" w:hAnsi="Arial" w:cs="Arial"/>
          <w:sz w:val="20"/>
          <w:lang w:val="es-ES_tradnl"/>
        </w:rPr>
        <w:t xml:space="preserve"> a los usuarios externos de la nueva sala de conferencias.</w:t>
      </w:r>
    </w:p>
    <w:p w:rsidR="00236E18" w:rsidRPr="00BB3049" w:rsidRDefault="00236E18" w:rsidP="00236E18">
      <w:pPr>
        <w:jc w:val="both"/>
        <w:rPr>
          <w:sz w:val="20"/>
        </w:rPr>
      </w:pPr>
    </w:p>
    <w:p w:rsidR="00236E18" w:rsidRPr="00BB3049" w:rsidRDefault="00236E18" w:rsidP="00236E18">
      <w:pPr>
        <w:pStyle w:val="ListParagraph"/>
        <w:numPr>
          <w:ilvl w:val="0"/>
          <w:numId w:val="43"/>
        </w:numPr>
        <w:tabs>
          <w:tab w:val="left" w:pos="709"/>
        </w:tabs>
        <w:autoSpaceDE w:val="0"/>
        <w:autoSpaceDN w:val="0"/>
        <w:adjustRightInd w:val="0"/>
        <w:ind w:left="0" w:firstLine="0"/>
        <w:jc w:val="both"/>
        <w:rPr>
          <w:rFonts w:ascii="Arial" w:hAnsi="Arial" w:cs="Arial"/>
          <w:sz w:val="20"/>
          <w:lang w:val="es-ES_tradnl"/>
        </w:rPr>
      </w:pPr>
      <w:r w:rsidRPr="00BB3049">
        <w:rPr>
          <w:rFonts w:ascii="Arial" w:hAnsi="Arial" w:cs="Arial"/>
          <w:sz w:val="20"/>
          <w:lang w:val="es-ES_tradnl"/>
        </w:rPr>
        <w:t xml:space="preserve">El programa gestiona servicios de imprenta, eficientes y puntuales, con el fin de proporcionar a los Estados miembros y otras partes interesadas los documentos y las publicaciones necesarias para facilitar la labor de los comités y demás órganos, así como de difundir información acerca de la P.I.  El servicio de gestión de expedientes y correo ofrece a todas las unidades de la Organización servicios eficaces en relación con los costos. </w:t>
      </w:r>
    </w:p>
    <w:p w:rsidR="00236E18" w:rsidRPr="00BB3049" w:rsidRDefault="00236E18" w:rsidP="00236E18">
      <w:pPr>
        <w:jc w:val="both"/>
        <w:rPr>
          <w:szCs w:val="22"/>
        </w:rPr>
      </w:pPr>
    </w:p>
    <w:p w:rsidR="00236E18" w:rsidRPr="00BB3049" w:rsidRDefault="00236E18" w:rsidP="00236E18">
      <w:pPr>
        <w:jc w:val="both"/>
        <w:rPr>
          <w:szCs w:val="22"/>
        </w:rPr>
      </w:pPr>
    </w:p>
    <w:p w:rsidR="00236E18" w:rsidRPr="00BB3049" w:rsidRDefault="00236E18" w:rsidP="00236E18">
      <w:pPr>
        <w:jc w:val="both"/>
        <w:rPr>
          <w:bCs/>
          <w:szCs w:val="22"/>
        </w:rPr>
      </w:pPr>
      <w:r w:rsidRPr="00BB3049">
        <w:rPr>
          <w:bCs/>
          <w:szCs w:val="22"/>
        </w:rPr>
        <w:t>ESTRATEGIAS DE EJECUCIÓN</w:t>
      </w:r>
    </w:p>
    <w:p w:rsidR="00236E18" w:rsidRPr="00BB3049" w:rsidRDefault="00236E18" w:rsidP="00236E18">
      <w:pPr>
        <w:jc w:val="both"/>
        <w:rPr>
          <w:szCs w:val="22"/>
        </w:rPr>
      </w:pPr>
    </w:p>
    <w:p w:rsidR="00236E18" w:rsidRPr="00624F1C" w:rsidRDefault="00236E18" w:rsidP="00236E18">
      <w:pPr>
        <w:pStyle w:val="ListParagraph"/>
        <w:numPr>
          <w:ilvl w:val="0"/>
          <w:numId w:val="43"/>
        </w:numPr>
        <w:tabs>
          <w:tab w:val="left" w:pos="709"/>
        </w:tabs>
        <w:autoSpaceDE w:val="0"/>
        <w:autoSpaceDN w:val="0"/>
        <w:adjustRightInd w:val="0"/>
        <w:ind w:left="0" w:firstLine="0"/>
        <w:jc w:val="both"/>
        <w:rPr>
          <w:rFonts w:ascii="Arial" w:hAnsi="Arial" w:cs="Arial"/>
          <w:sz w:val="20"/>
          <w:lang w:val="es-ES_tradnl"/>
        </w:rPr>
      </w:pPr>
      <w:r w:rsidRPr="00624F1C">
        <w:rPr>
          <w:rFonts w:ascii="Arial" w:hAnsi="Arial" w:cs="Arial"/>
          <w:sz w:val="20"/>
          <w:lang w:val="es-ES_tradnl"/>
        </w:rPr>
        <w:t>Para afrontar los retos que plantea el volumen de trabajo al servicio lingüístico, se mantendrá el actual nivel de subcontrataciones y, al mismo tiempo, se tomarán medidas para contener el volumen de trabajo.  La atención se centrará en alcanzar un equilibrio entre la necesidad de responder a las demandas previstas de los Estados miembros y la optimización del uso de los recursos disponibles.  La Secretaría seguirá impulsando la rigurosa aplicación de medidas de racionalización y de control</w:t>
      </w:r>
      <w:r>
        <w:rPr>
          <w:rFonts w:ascii="Arial" w:hAnsi="Arial" w:cs="Arial"/>
          <w:sz w:val="20"/>
          <w:lang w:val="es-ES_tradnl"/>
        </w:rPr>
        <w:t xml:space="preserve"> con el fin de reducir el número de páginas por documento y la cantidad global de documentos</w:t>
      </w:r>
      <w:r w:rsidRPr="00624F1C">
        <w:rPr>
          <w:rFonts w:ascii="Arial" w:hAnsi="Arial" w:cs="Arial"/>
          <w:sz w:val="20"/>
          <w:lang w:val="es-ES_tradnl"/>
        </w:rPr>
        <w:t xml:space="preserve">.  Al tiempo que se mantiene al </w:t>
      </w:r>
      <w:r>
        <w:rPr>
          <w:rFonts w:ascii="Arial" w:hAnsi="Arial" w:cs="Arial"/>
          <w:sz w:val="20"/>
          <w:lang w:val="es-ES_tradnl"/>
        </w:rPr>
        <w:t>núcleo</w:t>
      </w:r>
      <w:r w:rsidRPr="00624F1C">
        <w:rPr>
          <w:rFonts w:ascii="Arial" w:hAnsi="Arial" w:cs="Arial"/>
          <w:sz w:val="20"/>
          <w:lang w:val="es-ES_tradnl"/>
        </w:rPr>
        <w:t xml:space="preserve"> de revisores y traductores internos</w:t>
      </w:r>
      <w:r>
        <w:rPr>
          <w:rFonts w:ascii="Arial" w:hAnsi="Arial" w:cs="Arial"/>
          <w:sz w:val="20"/>
          <w:lang w:val="es-ES_tradnl"/>
        </w:rPr>
        <w:t xml:space="preserve"> expertos</w:t>
      </w:r>
      <w:r w:rsidRPr="00624F1C">
        <w:rPr>
          <w:rFonts w:ascii="Arial" w:hAnsi="Arial" w:cs="Arial"/>
          <w:sz w:val="20"/>
          <w:lang w:val="es-ES_tradnl"/>
        </w:rPr>
        <w:t>, el aumento de</w:t>
      </w:r>
      <w:r>
        <w:rPr>
          <w:rFonts w:ascii="Arial" w:hAnsi="Arial" w:cs="Arial"/>
          <w:sz w:val="20"/>
          <w:lang w:val="es-ES_tradnl"/>
        </w:rPr>
        <w:t>l</w:t>
      </w:r>
      <w:r w:rsidRPr="00624F1C">
        <w:rPr>
          <w:rFonts w:ascii="Arial" w:hAnsi="Arial" w:cs="Arial"/>
          <w:sz w:val="20"/>
          <w:lang w:val="es-ES_tradnl"/>
        </w:rPr>
        <w:t xml:space="preserve"> volumen de trabajo se afrontará principalmente mediante la subcontratación </w:t>
      </w:r>
      <w:r>
        <w:rPr>
          <w:rFonts w:ascii="Arial" w:hAnsi="Arial" w:cs="Arial"/>
          <w:sz w:val="20"/>
          <w:lang w:val="es-ES_tradnl"/>
        </w:rPr>
        <w:t>a</w:t>
      </w:r>
      <w:r w:rsidRPr="00624F1C">
        <w:rPr>
          <w:rFonts w:ascii="Arial" w:hAnsi="Arial" w:cs="Arial"/>
          <w:sz w:val="20"/>
          <w:lang w:val="es-ES_tradnl"/>
        </w:rPr>
        <w:t xml:space="preserve"> traductores por cuenta propia y agencias de traducción.  Se fortalecerán las prácticas de control de calidad y se mantendrá el concepto de “calidad en el origen” para contratar a traductores competentes. </w:t>
      </w:r>
    </w:p>
    <w:p w:rsidR="00236E18" w:rsidRPr="00BB3049" w:rsidRDefault="00236E18" w:rsidP="00236E18">
      <w:pPr>
        <w:jc w:val="both"/>
        <w:rPr>
          <w:sz w:val="20"/>
        </w:rPr>
      </w:pPr>
    </w:p>
    <w:p w:rsidR="00236E18" w:rsidRPr="00624F1C" w:rsidRDefault="00236E18" w:rsidP="00236E18">
      <w:pPr>
        <w:pStyle w:val="ListParagraph"/>
        <w:numPr>
          <w:ilvl w:val="0"/>
          <w:numId w:val="43"/>
        </w:numPr>
        <w:tabs>
          <w:tab w:val="left" w:pos="709"/>
        </w:tabs>
        <w:autoSpaceDE w:val="0"/>
        <w:autoSpaceDN w:val="0"/>
        <w:adjustRightInd w:val="0"/>
        <w:ind w:left="0" w:firstLine="0"/>
        <w:jc w:val="both"/>
        <w:rPr>
          <w:rFonts w:ascii="Arial" w:hAnsi="Arial" w:cs="Arial"/>
          <w:sz w:val="20"/>
          <w:lang w:val="es-ES_tradnl"/>
        </w:rPr>
      </w:pPr>
      <w:r w:rsidRPr="00624F1C">
        <w:rPr>
          <w:rFonts w:ascii="Arial" w:hAnsi="Arial" w:cs="Arial"/>
          <w:sz w:val="20"/>
          <w:lang w:val="es-ES_tradnl"/>
        </w:rPr>
        <w:t xml:space="preserve">Con la puesta en funcionamiento de las nuevas herramientas </w:t>
      </w:r>
      <w:r>
        <w:rPr>
          <w:rFonts w:ascii="Arial" w:hAnsi="Arial" w:cs="Arial"/>
          <w:sz w:val="20"/>
          <w:lang w:val="es-ES_tradnl"/>
        </w:rPr>
        <w:t>informáticas de traducción y d</w:t>
      </w:r>
      <w:r w:rsidRPr="00624F1C">
        <w:rPr>
          <w:rFonts w:ascii="Arial" w:hAnsi="Arial" w:cs="Arial"/>
          <w:sz w:val="20"/>
          <w:lang w:val="es-ES_tradnl"/>
        </w:rPr>
        <w:t>e gestión de la traducción, la base de datos terminológica de P.I., que se ha creado en los seis idiomas oficiales de las Naciones Unidas, se pondrá a disposición de usuarios externos.  Esta base de datos se utilizará como herramienta para asegurar la coherencia y la calidad en las tareas de traducción, herramienta que constituye además un activo para la Organización, en su empeño por convertirse en fuente de referencia mundial de información y análisis de P.I.</w:t>
      </w:r>
    </w:p>
    <w:p w:rsidR="00236E18" w:rsidRPr="00624F1C" w:rsidRDefault="00236E18" w:rsidP="00236E18">
      <w:pPr>
        <w:tabs>
          <w:tab w:val="left" w:pos="1889"/>
        </w:tabs>
        <w:jc w:val="both"/>
        <w:rPr>
          <w:sz w:val="20"/>
        </w:rPr>
      </w:pPr>
      <w:r w:rsidRPr="00624F1C">
        <w:rPr>
          <w:sz w:val="20"/>
        </w:rPr>
        <w:tab/>
      </w:r>
    </w:p>
    <w:p w:rsidR="00236E18" w:rsidRPr="00624F1C" w:rsidRDefault="00236E18" w:rsidP="00236E18">
      <w:pPr>
        <w:pStyle w:val="ListParagraph"/>
        <w:numPr>
          <w:ilvl w:val="0"/>
          <w:numId w:val="43"/>
        </w:numPr>
        <w:tabs>
          <w:tab w:val="left" w:pos="709"/>
        </w:tabs>
        <w:autoSpaceDE w:val="0"/>
        <w:autoSpaceDN w:val="0"/>
        <w:adjustRightInd w:val="0"/>
        <w:ind w:left="0" w:firstLine="0"/>
        <w:jc w:val="both"/>
        <w:rPr>
          <w:rFonts w:ascii="Arial" w:hAnsi="Arial" w:cs="Arial"/>
          <w:bCs/>
          <w:sz w:val="20"/>
          <w:lang w:val="es-ES_tradnl"/>
        </w:rPr>
      </w:pPr>
      <w:r w:rsidRPr="00624F1C">
        <w:rPr>
          <w:rFonts w:ascii="Arial" w:hAnsi="Arial" w:cs="Arial"/>
          <w:sz w:val="20"/>
          <w:lang w:val="es-ES_tradnl"/>
        </w:rPr>
        <w:t xml:space="preserve">La política de gestión de los expedientes y archivos se aplicará mediante el desarrollo de procedimientos simplificados para todos los sectores.  Los servicios de conferencias procurarán sacar el máximo provecho de los recursos disponibles;  contratar a personal temporero de agencias, cuando sea necesario, y fomentar la aplicación de las herramientas y sistemas en el ámbito de las tecnologías de la información.  Estas medidas contribuirán además a gestionar los incrementos inesperados del nivel de demanda de uso de la nueva sala de conferencias.  Se mejorará el sistema de inscripción por Internet y </w:t>
      </w:r>
      <w:r w:rsidRPr="00624F1C">
        <w:rPr>
          <w:rFonts w:ascii="Arial" w:hAnsi="Arial" w:cs="Arial"/>
          <w:sz w:val="20"/>
          <w:lang w:val="es-ES_tradnl"/>
        </w:rPr>
        <w:lastRenderedPageBreak/>
        <w:t xml:space="preserve">se invertirán esfuerzos para agilizar la distribución electrónica de documentos.  Al tiempo que se mantendrá la eficiencia en las </w:t>
      </w:r>
      <w:r>
        <w:rPr>
          <w:rFonts w:ascii="Arial" w:hAnsi="Arial" w:cs="Arial"/>
          <w:sz w:val="20"/>
          <w:lang w:val="es-ES_tradnl"/>
        </w:rPr>
        <w:t>operaciones de la imprenta</w:t>
      </w:r>
      <w:r w:rsidRPr="00624F1C">
        <w:rPr>
          <w:rFonts w:ascii="Arial" w:hAnsi="Arial" w:cs="Arial"/>
          <w:sz w:val="20"/>
          <w:lang w:val="es-ES_tradnl"/>
        </w:rPr>
        <w:t>, el servicio tratará de reducir el consumo de papel mediante la introducción de sistemas de impresión por encargo.</w:t>
      </w:r>
      <w:r>
        <w:rPr>
          <w:rFonts w:ascii="Arial" w:hAnsi="Arial" w:cs="Arial"/>
          <w:sz w:val="20"/>
          <w:lang w:val="es-ES_tradnl"/>
        </w:rPr>
        <w:t xml:space="preserve">  También se contemplarán otras oportunidades para generar eficacia en relación con los costos en el ámbito del Grupo de Colaboración Internacional de Ginebra. </w:t>
      </w:r>
      <w:r w:rsidRPr="00624F1C">
        <w:rPr>
          <w:rFonts w:ascii="Arial" w:hAnsi="Arial" w:cs="Arial"/>
          <w:sz w:val="20"/>
          <w:lang w:val="es-ES_tradnl"/>
        </w:rPr>
        <w:t xml:space="preserve">  Los servicios de correspondencia seguirán siendo rápidos y </w:t>
      </w:r>
      <w:proofErr w:type="spellStart"/>
      <w:r w:rsidRPr="00624F1C">
        <w:rPr>
          <w:rFonts w:ascii="Arial" w:hAnsi="Arial" w:cs="Arial"/>
          <w:sz w:val="20"/>
          <w:lang w:val="es-ES_tradnl"/>
        </w:rPr>
        <w:t>costoeficientes</w:t>
      </w:r>
      <w:proofErr w:type="spellEnd"/>
      <w:r w:rsidRPr="00624F1C">
        <w:rPr>
          <w:rFonts w:ascii="Arial" w:hAnsi="Arial" w:cs="Arial"/>
          <w:sz w:val="20"/>
          <w:lang w:val="es-ES_tradnl"/>
        </w:rPr>
        <w:t>, en el empeño constante de ob</w:t>
      </w:r>
      <w:r>
        <w:rPr>
          <w:rFonts w:ascii="Arial" w:hAnsi="Arial" w:cs="Arial"/>
          <w:sz w:val="20"/>
          <w:lang w:val="es-ES_tradnl"/>
        </w:rPr>
        <w:t>tener tarifas competitivas de los despachantes de correo</w:t>
      </w:r>
      <w:r w:rsidRPr="00624F1C">
        <w:rPr>
          <w:rFonts w:ascii="Arial" w:hAnsi="Arial" w:cs="Arial"/>
          <w:sz w:val="20"/>
          <w:lang w:val="es-ES_tradnl"/>
        </w:rPr>
        <w:t xml:space="preserve"> más importantes.</w:t>
      </w:r>
    </w:p>
    <w:p w:rsidR="00236E18" w:rsidRPr="00BB3049" w:rsidRDefault="00236E18" w:rsidP="00236E18">
      <w:pPr>
        <w:rPr>
          <w:szCs w:val="22"/>
        </w:rPr>
      </w:pPr>
    </w:p>
    <w:p w:rsidR="00236E18" w:rsidRPr="00BB3049" w:rsidRDefault="00236E18" w:rsidP="00236E18">
      <w:pPr>
        <w:rPr>
          <w:szCs w:val="22"/>
        </w:rPr>
      </w:pPr>
      <w:r w:rsidRPr="00BB3049">
        <w:rPr>
          <w:szCs w:val="22"/>
        </w:rPr>
        <w:t>PRINCIPALES RIESGOS Y ESTRATEGIAS DE MITIGACIÓN</w:t>
      </w:r>
    </w:p>
    <w:p w:rsidR="00236E18" w:rsidRPr="00BB3049" w:rsidRDefault="00236E18" w:rsidP="00236E18">
      <w:pPr>
        <w:rPr>
          <w:sz w:val="20"/>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236E18" w:rsidRPr="00BB3049" w:rsidTr="00294272">
        <w:trPr>
          <w:trHeight w:val="577"/>
        </w:trPr>
        <w:tc>
          <w:tcPr>
            <w:tcW w:w="4111" w:type="dxa"/>
            <w:tcBorders>
              <w:top w:val="single" w:sz="4" w:space="0" w:color="auto"/>
              <w:bottom w:val="single" w:sz="4" w:space="0" w:color="auto"/>
            </w:tcBorders>
            <w:shd w:val="clear" w:color="auto" w:fill="C6D9F1"/>
            <w:vAlign w:val="center"/>
          </w:tcPr>
          <w:p w:rsidR="00236E18" w:rsidRPr="00BB3049" w:rsidRDefault="00236E18" w:rsidP="00294272">
            <w:pPr>
              <w:jc w:val="center"/>
              <w:rPr>
                <w:b/>
                <w:bCs/>
                <w:sz w:val="18"/>
                <w:szCs w:val="18"/>
              </w:rPr>
            </w:pPr>
            <w:r w:rsidRPr="00BB3049">
              <w:rPr>
                <w:b/>
                <w:bCs/>
                <w:sz w:val="18"/>
                <w:szCs w:val="18"/>
              </w:rPr>
              <w:t>Riesgo</w:t>
            </w:r>
          </w:p>
        </w:tc>
        <w:tc>
          <w:tcPr>
            <w:tcW w:w="5103" w:type="dxa"/>
            <w:tcBorders>
              <w:top w:val="single" w:sz="4" w:space="0" w:color="auto"/>
              <w:bottom w:val="single" w:sz="4" w:space="0" w:color="auto"/>
            </w:tcBorders>
            <w:shd w:val="clear" w:color="auto" w:fill="C6D9F1"/>
            <w:vAlign w:val="center"/>
          </w:tcPr>
          <w:p w:rsidR="00236E18" w:rsidRPr="00BB3049" w:rsidRDefault="00236E18" w:rsidP="00294272">
            <w:pPr>
              <w:jc w:val="center"/>
              <w:rPr>
                <w:b/>
                <w:bCs/>
                <w:sz w:val="18"/>
                <w:szCs w:val="18"/>
              </w:rPr>
            </w:pPr>
            <w:r w:rsidRPr="00BB3049">
              <w:rPr>
                <w:b/>
                <w:bCs/>
                <w:sz w:val="18"/>
                <w:szCs w:val="18"/>
              </w:rPr>
              <w:t>Mitigación</w:t>
            </w:r>
          </w:p>
        </w:tc>
      </w:tr>
      <w:tr w:rsidR="00236E18" w:rsidRPr="00BB3049" w:rsidTr="00294272">
        <w:trPr>
          <w:trHeight w:val="928"/>
        </w:trPr>
        <w:tc>
          <w:tcPr>
            <w:tcW w:w="4111" w:type="dxa"/>
            <w:tcBorders>
              <w:top w:val="single" w:sz="4" w:space="0" w:color="auto"/>
            </w:tcBorders>
            <w:shd w:val="clear" w:color="auto" w:fill="auto"/>
            <w:tcMar>
              <w:top w:w="113" w:type="dxa"/>
              <w:bottom w:w="113" w:type="dxa"/>
            </w:tcMar>
          </w:tcPr>
          <w:p w:rsidR="00236E18" w:rsidRPr="00BB3049" w:rsidRDefault="00236E18" w:rsidP="00294272">
            <w:pPr>
              <w:rPr>
                <w:sz w:val="16"/>
                <w:szCs w:val="16"/>
              </w:rPr>
            </w:pPr>
            <w:r w:rsidRPr="00BB3049">
              <w:rPr>
                <w:sz w:val="16"/>
                <w:szCs w:val="16"/>
              </w:rPr>
              <w:t>Aplicación deficiente de la Política Lingüística debido al creciente número de peticiones de traducción y a que no se respetan los límites prescritos, al volumen de traducción que aumenta significativamente, todo lo cual da lugar a desequilibrios presupuestarios.</w:t>
            </w:r>
          </w:p>
        </w:tc>
        <w:tc>
          <w:tcPr>
            <w:tcW w:w="5103" w:type="dxa"/>
            <w:tcBorders>
              <w:top w:val="single" w:sz="4" w:space="0" w:color="auto"/>
            </w:tcBorders>
            <w:shd w:val="clear" w:color="auto" w:fill="auto"/>
            <w:tcMar>
              <w:top w:w="113" w:type="dxa"/>
              <w:bottom w:w="113" w:type="dxa"/>
            </w:tcMar>
          </w:tcPr>
          <w:p w:rsidR="00236E18" w:rsidRPr="00BB3049" w:rsidRDefault="00236E18" w:rsidP="00294272">
            <w:pPr>
              <w:rPr>
                <w:sz w:val="16"/>
                <w:szCs w:val="16"/>
              </w:rPr>
            </w:pPr>
            <w:r w:rsidRPr="00BB3049">
              <w:rPr>
                <w:sz w:val="16"/>
                <w:szCs w:val="16"/>
              </w:rPr>
              <w:t xml:space="preserve">Supervisar el número y el tamaño de los documentos.  Aplicar estrictamente medidas de racionalización y de control.  Alentar a los sectores interesados a evitar textos repetitivos en los documentos.  Seguir adoptando opciones de dotación de recursos </w:t>
            </w:r>
            <w:proofErr w:type="spellStart"/>
            <w:r w:rsidRPr="00BB3049">
              <w:rPr>
                <w:sz w:val="16"/>
                <w:szCs w:val="16"/>
              </w:rPr>
              <w:t>costoeficaces</w:t>
            </w:r>
            <w:proofErr w:type="spellEnd"/>
            <w:r w:rsidRPr="00BB3049">
              <w:rPr>
                <w:sz w:val="16"/>
                <w:szCs w:val="16"/>
              </w:rPr>
              <w:t xml:space="preserve">. </w:t>
            </w:r>
          </w:p>
        </w:tc>
      </w:tr>
    </w:tbl>
    <w:p w:rsidR="00236E18" w:rsidRPr="00BB3049" w:rsidRDefault="00236E18" w:rsidP="00236E18">
      <w:pPr>
        <w:rPr>
          <w:sz w:val="20"/>
        </w:rPr>
      </w:pPr>
    </w:p>
    <w:p w:rsidR="00236E18" w:rsidRPr="00BB3049" w:rsidRDefault="00236E18" w:rsidP="00236E18">
      <w:pPr>
        <w:rPr>
          <w:i/>
          <w:iCs/>
          <w:sz w:val="20"/>
        </w:rPr>
      </w:pPr>
    </w:p>
    <w:p w:rsidR="00236E18" w:rsidRPr="00BB3049" w:rsidRDefault="00236E18" w:rsidP="00236E18">
      <w:pPr>
        <w:rPr>
          <w:szCs w:val="22"/>
        </w:rPr>
      </w:pPr>
      <w:r w:rsidRPr="00BB3049">
        <w:rPr>
          <w:szCs w:val="22"/>
        </w:rPr>
        <w:t>MARCO DE RESULTADOS</w:t>
      </w:r>
    </w:p>
    <w:p w:rsidR="00236E18" w:rsidRPr="00BB3049" w:rsidRDefault="00236E18" w:rsidP="00236E18">
      <w:pPr>
        <w:rPr>
          <w:szCs w:val="22"/>
        </w:rPr>
      </w:pPr>
    </w:p>
    <w:tbl>
      <w:tblPr>
        <w:tblW w:w="9371" w:type="dxa"/>
        <w:tblInd w:w="93" w:type="dxa"/>
        <w:tblLook w:val="04A0" w:firstRow="1" w:lastRow="0" w:firstColumn="1" w:lastColumn="0" w:noHBand="0" w:noVBand="1"/>
      </w:tblPr>
      <w:tblGrid>
        <w:gridCol w:w="2140"/>
        <w:gridCol w:w="2560"/>
        <w:gridCol w:w="2120"/>
        <w:gridCol w:w="2551"/>
      </w:tblGrid>
      <w:tr w:rsidR="00236E18" w:rsidRPr="00BB3049" w:rsidTr="00294272">
        <w:trPr>
          <w:trHeight w:val="545"/>
        </w:trPr>
        <w:tc>
          <w:tcPr>
            <w:tcW w:w="2140" w:type="dxa"/>
            <w:tcBorders>
              <w:top w:val="single" w:sz="4" w:space="0" w:color="auto"/>
              <w:left w:val="single" w:sz="4" w:space="0" w:color="auto"/>
              <w:bottom w:val="single" w:sz="4" w:space="0" w:color="auto"/>
              <w:right w:val="nil"/>
            </w:tcBorders>
            <w:shd w:val="clear" w:color="auto" w:fill="C6D9F1"/>
            <w:vAlign w:val="center"/>
            <w:hideMark/>
          </w:tcPr>
          <w:p w:rsidR="00236E18" w:rsidRPr="00BB3049" w:rsidRDefault="00236E18" w:rsidP="00294272">
            <w:pPr>
              <w:jc w:val="center"/>
              <w:rPr>
                <w:b/>
                <w:bCs/>
                <w:sz w:val="18"/>
                <w:szCs w:val="18"/>
              </w:rPr>
            </w:pPr>
            <w:r w:rsidRPr="00BB3049">
              <w:rPr>
                <w:b/>
                <w:bCs/>
                <w:sz w:val="18"/>
                <w:szCs w:val="18"/>
              </w:rPr>
              <w:t xml:space="preserve">Resultados previstos </w:t>
            </w:r>
          </w:p>
        </w:tc>
        <w:tc>
          <w:tcPr>
            <w:tcW w:w="2560" w:type="dxa"/>
            <w:tcBorders>
              <w:top w:val="single" w:sz="4" w:space="0" w:color="auto"/>
              <w:left w:val="nil"/>
              <w:bottom w:val="single" w:sz="4" w:space="0" w:color="auto"/>
              <w:right w:val="nil"/>
            </w:tcBorders>
            <w:shd w:val="clear" w:color="auto" w:fill="C6D9F1"/>
            <w:vAlign w:val="center"/>
            <w:hideMark/>
          </w:tcPr>
          <w:p w:rsidR="00236E18" w:rsidRPr="00BB3049" w:rsidRDefault="00236E18" w:rsidP="00294272">
            <w:pPr>
              <w:jc w:val="center"/>
              <w:rPr>
                <w:b/>
                <w:bCs/>
                <w:sz w:val="18"/>
                <w:szCs w:val="18"/>
              </w:rPr>
            </w:pPr>
            <w:r w:rsidRPr="00BB3049">
              <w:rPr>
                <w:b/>
                <w:bCs/>
                <w:sz w:val="18"/>
                <w:szCs w:val="18"/>
              </w:rPr>
              <w:t>Indicadores de rendimiento</w:t>
            </w:r>
          </w:p>
        </w:tc>
        <w:tc>
          <w:tcPr>
            <w:tcW w:w="2120" w:type="dxa"/>
            <w:tcBorders>
              <w:top w:val="single" w:sz="4" w:space="0" w:color="auto"/>
              <w:left w:val="nil"/>
              <w:bottom w:val="single" w:sz="4" w:space="0" w:color="auto"/>
              <w:right w:val="nil"/>
            </w:tcBorders>
            <w:shd w:val="clear" w:color="auto" w:fill="C6D9F1"/>
            <w:vAlign w:val="center"/>
            <w:hideMark/>
          </w:tcPr>
          <w:p w:rsidR="00236E18" w:rsidRPr="00BB3049" w:rsidRDefault="00236E18" w:rsidP="00294272">
            <w:pPr>
              <w:jc w:val="center"/>
              <w:rPr>
                <w:b/>
                <w:bCs/>
                <w:sz w:val="18"/>
                <w:szCs w:val="18"/>
              </w:rPr>
            </w:pPr>
            <w:r w:rsidRPr="00BB3049">
              <w:rPr>
                <w:b/>
                <w:bCs/>
                <w:sz w:val="18"/>
                <w:szCs w:val="18"/>
              </w:rPr>
              <w:t>Referencia</w:t>
            </w:r>
          </w:p>
        </w:tc>
        <w:tc>
          <w:tcPr>
            <w:tcW w:w="2551" w:type="dxa"/>
            <w:tcBorders>
              <w:top w:val="single" w:sz="4" w:space="0" w:color="auto"/>
              <w:left w:val="nil"/>
              <w:bottom w:val="single" w:sz="4" w:space="0" w:color="auto"/>
              <w:right w:val="single" w:sz="4" w:space="0" w:color="auto"/>
            </w:tcBorders>
            <w:shd w:val="clear" w:color="auto" w:fill="C6D9F1"/>
            <w:vAlign w:val="center"/>
            <w:hideMark/>
          </w:tcPr>
          <w:p w:rsidR="00236E18" w:rsidRPr="00BB3049" w:rsidRDefault="00236E18" w:rsidP="00294272">
            <w:pPr>
              <w:jc w:val="center"/>
              <w:rPr>
                <w:b/>
                <w:bCs/>
                <w:sz w:val="18"/>
                <w:szCs w:val="18"/>
              </w:rPr>
            </w:pPr>
            <w:r w:rsidRPr="00BB3049">
              <w:rPr>
                <w:b/>
                <w:bCs/>
                <w:sz w:val="18"/>
                <w:szCs w:val="18"/>
              </w:rPr>
              <w:t>Objetivos</w:t>
            </w:r>
          </w:p>
        </w:tc>
      </w:tr>
      <w:tr w:rsidR="00236E18" w:rsidRPr="00BB3049" w:rsidTr="00294272">
        <w:trPr>
          <w:trHeight w:val="1106"/>
        </w:trPr>
        <w:tc>
          <w:tcPr>
            <w:tcW w:w="2140" w:type="dxa"/>
            <w:vMerge w:val="restart"/>
            <w:tcBorders>
              <w:top w:val="nil"/>
              <w:left w:val="single" w:sz="4" w:space="0" w:color="auto"/>
              <w:bottom w:val="single" w:sz="4" w:space="0" w:color="000000"/>
              <w:right w:val="nil"/>
            </w:tcBorders>
            <w:shd w:val="clear" w:color="000000" w:fill="FFFFFF"/>
            <w:hideMark/>
          </w:tcPr>
          <w:p w:rsidR="00236E18" w:rsidRPr="00BB3049" w:rsidRDefault="00236E18" w:rsidP="00294272">
            <w:pPr>
              <w:rPr>
                <w:sz w:val="16"/>
                <w:szCs w:val="16"/>
              </w:rPr>
            </w:pPr>
            <w:r w:rsidRPr="00BB3049">
              <w:rPr>
                <w:sz w:val="16"/>
                <w:szCs w:val="16"/>
              </w:rPr>
              <w:br/>
              <w:t>IX.1</w:t>
            </w:r>
            <w:r>
              <w:rPr>
                <w:sz w:val="16"/>
                <w:szCs w:val="16"/>
              </w:rPr>
              <w:t xml:space="preserve">  </w:t>
            </w:r>
            <w:r w:rsidRPr="000C09D2">
              <w:rPr>
                <w:sz w:val="16"/>
                <w:szCs w:val="16"/>
                <w:lang w:val="es-ES_tradnl"/>
              </w:rPr>
              <w:t>Servicios de apoyo eficaces, eficientes, de calidad y orientados al cliente, tanto a los usuarios internos como a las partes interesadas externas</w:t>
            </w:r>
          </w:p>
        </w:tc>
        <w:tc>
          <w:tcPr>
            <w:tcW w:w="2560" w:type="dxa"/>
            <w:tcBorders>
              <w:top w:val="nil"/>
              <w:left w:val="nil"/>
              <w:bottom w:val="nil"/>
              <w:right w:val="nil"/>
            </w:tcBorders>
            <w:shd w:val="clear" w:color="000000" w:fill="FFFFFF"/>
            <w:hideMark/>
          </w:tcPr>
          <w:p w:rsidR="00236E18" w:rsidRPr="00BB3049" w:rsidRDefault="00236E18" w:rsidP="00294272">
            <w:pPr>
              <w:ind w:left="35" w:firstLine="1"/>
              <w:rPr>
                <w:sz w:val="16"/>
                <w:szCs w:val="16"/>
              </w:rPr>
            </w:pPr>
            <w:r w:rsidRPr="00BB3049">
              <w:rPr>
                <w:sz w:val="16"/>
                <w:szCs w:val="16"/>
              </w:rPr>
              <w:br/>
              <w:t>Porcentaje de usuarios internos y externos satisfechos con los Servicios de Conferencias de la OMPI.</w:t>
            </w:r>
            <w:r w:rsidRPr="00BB3049">
              <w:rPr>
                <w:sz w:val="16"/>
                <w:szCs w:val="16"/>
              </w:rPr>
              <w:br/>
            </w:r>
          </w:p>
        </w:tc>
        <w:tc>
          <w:tcPr>
            <w:tcW w:w="2120" w:type="dxa"/>
            <w:tcBorders>
              <w:top w:val="nil"/>
              <w:left w:val="nil"/>
              <w:bottom w:val="nil"/>
              <w:right w:val="nil"/>
            </w:tcBorders>
            <w:shd w:val="clear" w:color="000000" w:fill="FFFFFF"/>
            <w:hideMark/>
          </w:tcPr>
          <w:p w:rsidR="00236E18" w:rsidRPr="00BB3049" w:rsidRDefault="00236E18" w:rsidP="00294272">
            <w:pPr>
              <w:ind w:left="27" w:firstLineChars="6" w:firstLine="10"/>
              <w:rPr>
                <w:sz w:val="16"/>
                <w:szCs w:val="16"/>
              </w:rPr>
            </w:pPr>
            <w:r w:rsidRPr="00BB3049">
              <w:rPr>
                <w:sz w:val="16"/>
                <w:szCs w:val="16"/>
              </w:rPr>
              <w:br/>
              <w:t>97% de los participantes satisfechos con los servicios (a fines de 2014).</w:t>
            </w:r>
          </w:p>
        </w:tc>
        <w:tc>
          <w:tcPr>
            <w:tcW w:w="2551" w:type="dxa"/>
            <w:tcBorders>
              <w:top w:val="nil"/>
              <w:left w:val="nil"/>
              <w:bottom w:val="nil"/>
              <w:right w:val="single" w:sz="4" w:space="0" w:color="auto"/>
            </w:tcBorders>
            <w:shd w:val="clear" w:color="000000" w:fill="FFFFFF"/>
            <w:hideMark/>
          </w:tcPr>
          <w:p w:rsidR="00236E18" w:rsidRPr="00BB3049" w:rsidRDefault="00236E18" w:rsidP="00294272">
            <w:pPr>
              <w:ind w:leftChars="15" w:left="33"/>
              <w:rPr>
                <w:sz w:val="16"/>
                <w:szCs w:val="16"/>
              </w:rPr>
            </w:pPr>
            <w:r w:rsidRPr="00BB3049">
              <w:rPr>
                <w:sz w:val="16"/>
                <w:szCs w:val="16"/>
              </w:rPr>
              <w:br/>
              <w:t>Mantener la tarifa al final de 2014.</w:t>
            </w:r>
          </w:p>
        </w:tc>
      </w:tr>
      <w:tr w:rsidR="00236E18" w:rsidRPr="00BB3049" w:rsidTr="00294272">
        <w:trPr>
          <w:trHeight w:val="1547"/>
        </w:trPr>
        <w:tc>
          <w:tcPr>
            <w:tcW w:w="2140" w:type="dxa"/>
            <w:vMerge/>
            <w:tcBorders>
              <w:top w:val="nil"/>
              <w:left w:val="single" w:sz="4" w:space="0" w:color="auto"/>
              <w:bottom w:val="single" w:sz="4" w:space="0" w:color="000000"/>
              <w:right w:val="nil"/>
            </w:tcBorders>
            <w:vAlign w:val="center"/>
            <w:hideMark/>
          </w:tcPr>
          <w:p w:rsidR="00236E18" w:rsidRPr="00BB3049" w:rsidRDefault="00236E18" w:rsidP="00294272">
            <w:pPr>
              <w:rPr>
                <w:sz w:val="16"/>
                <w:szCs w:val="16"/>
              </w:rPr>
            </w:pPr>
          </w:p>
        </w:tc>
        <w:tc>
          <w:tcPr>
            <w:tcW w:w="2560" w:type="dxa"/>
            <w:tcBorders>
              <w:top w:val="nil"/>
              <w:left w:val="nil"/>
              <w:bottom w:val="nil"/>
              <w:right w:val="nil"/>
            </w:tcBorders>
            <w:shd w:val="clear" w:color="000000" w:fill="FFFFFF"/>
            <w:hideMark/>
          </w:tcPr>
          <w:p w:rsidR="00236E18" w:rsidRPr="00BB3049" w:rsidRDefault="00236E18" w:rsidP="00294272">
            <w:pPr>
              <w:ind w:left="35" w:firstLine="1"/>
              <w:rPr>
                <w:sz w:val="16"/>
                <w:szCs w:val="16"/>
              </w:rPr>
            </w:pPr>
            <w:r w:rsidRPr="00BB3049">
              <w:rPr>
                <w:sz w:val="16"/>
                <w:szCs w:val="16"/>
              </w:rPr>
              <w:t>Aplicación eficaz de la Política Lingüística de la OMPI.</w:t>
            </w:r>
          </w:p>
        </w:tc>
        <w:tc>
          <w:tcPr>
            <w:tcW w:w="2120" w:type="dxa"/>
            <w:tcBorders>
              <w:top w:val="nil"/>
              <w:left w:val="nil"/>
              <w:bottom w:val="nil"/>
              <w:right w:val="nil"/>
            </w:tcBorders>
            <w:shd w:val="clear" w:color="000000" w:fill="FFFFFF"/>
            <w:hideMark/>
          </w:tcPr>
          <w:p w:rsidR="00236E18" w:rsidRPr="00BB3049" w:rsidRDefault="00236E18" w:rsidP="00294272">
            <w:pPr>
              <w:ind w:left="27" w:firstLineChars="6" w:firstLine="10"/>
              <w:rPr>
                <w:sz w:val="16"/>
                <w:szCs w:val="16"/>
              </w:rPr>
            </w:pPr>
            <w:r w:rsidRPr="00BB3049">
              <w:rPr>
                <w:sz w:val="16"/>
                <w:szCs w:val="16"/>
              </w:rPr>
              <w:t>Cobertura de idiomas ampliada a los documentos de todos los comités/órganos principales y a algunos grupos de trabajo.</w:t>
            </w:r>
          </w:p>
        </w:tc>
        <w:tc>
          <w:tcPr>
            <w:tcW w:w="2551" w:type="dxa"/>
            <w:tcBorders>
              <w:top w:val="nil"/>
              <w:left w:val="nil"/>
              <w:bottom w:val="nil"/>
              <w:right w:val="single" w:sz="4" w:space="0" w:color="auto"/>
            </w:tcBorders>
            <w:shd w:val="clear" w:color="000000" w:fill="FFFFFF"/>
            <w:hideMark/>
          </w:tcPr>
          <w:p w:rsidR="00236E18" w:rsidRPr="00BB3049" w:rsidRDefault="00236E18" w:rsidP="00294272">
            <w:pPr>
              <w:ind w:leftChars="15" w:left="33"/>
              <w:rPr>
                <w:sz w:val="16"/>
                <w:szCs w:val="16"/>
              </w:rPr>
            </w:pPr>
            <w:r w:rsidRPr="00BB3049">
              <w:rPr>
                <w:sz w:val="16"/>
                <w:szCs w:val="16"/>
              </w:rPr>
              <w:t>Cobertura de idiomas ampliada a los documentos de todos los comités/órganos principales/grupos de trabajo manteniendo la longitud de los documentos conforme a las disposiciones de la Política Lingüística.</w:t>
            </w:r>
          </w:p>
        </w:tc>
      </w:tr>
      <w:tr w:rsidR="00236E18" w:rsidRPr="00BB3049" w:rsidTr="00294272">
        <w:trPr>
          <w:trHeight w:val="549"/>
        </w:trPr>
        <w:tc>
          <w:tcPr>
            <w:tcW w:w="2140" w:type="dxa"/>
            <w:vMerge/>
            <w:tcBorders>
              <w:top w:val="nil"/>
              <w:left w:val="single" w:sz="4" w:space="0" w:color="auto"/>
              <w:bottom w:val="single" w:sz="4" w:space="0" w:color="000000"/>
              <w:right w:val="nil"/>
            </w:tcBorders>
            <w:vAlign w:val="center"/>
            <w:hideMark/>
          </w:tcPr>
          <w:p w:rsidR="00236E18" w:rsidRPr="00BB3049" w:rsidRDefault="00236E18" w:rsidP="00294272">
            <w:pPr>
              <w:rPr>
                <w:sz w:val="16"/>
                <w:szCs w:val="16"/>
              </w:rPr>
            </w:pPr>
          </w:p>
        </w:tc>
        <w:tc>
          <w:tcPr>
            <w:tcW w:w="2560" w:type="dxa"/>
            <w:tcBorders>
              <w:top w:val="nil"/>
              <w:left w:val="nil"/>
              <w:bottom w:val="nil"/>
              <w:right w:val="nil"/>
            </w:tcBorders>
            <w:shd w:val="clear" w:color="000000" w:fill="FFFFFF"/>
            <w:hideMark/>
          </w:tcPr>
          <w:p w:rsidR="00236E18" w:rsidRPr="00BB3049" w:rsidRDefault="00236E18" w:rsidP="00294272">
            <w:pPr>
              <w:ind w:left="35" w:firstLine="1"/>
              <w:rPr>
                <w:sz w:val="16"/>
                <w:szCs w:val="16"/>
              </w:rPr>
            </w:pPr>
            <w:r w:rsidRPr="00BB3049">
              <w:rPr>
                <w:sz w:val="16"/>
                <w:szCs w:val="16"/>
              </w:rPr>
              <w:t>Disminución de los costos de impresión (por página).</w:t>
            </w:r>
          </w:p>
        </w:tc>
        <w:tc>
          <w:tcPr>
            <w:tcW w:w="2120" w:type="dxa"/>
            <w:tcBorders>
              <w:top w:val="nil"/>
              <w:left w:val="nil"/>
              <w:bottom w:val="nil"/>
              <w:right w:val="nil"/>
            </w:tcBorders>
            <w:shd w:val="clear" w:color="000000" w:fill="FFFFFF"/>
            <w:hideMark/>
          </w:tcPr>
          <w:p w:rsidR="00236E18" w:rsidRPr="00BB3049" w:rsidRDefault="00236E18" w:rsidP="00294272">
            <w:pPr>
              <w:ind w:left="27" w:firstLineChars="6" w:firstLine="10"/>
              <w:rPr>
                <w:sz w:val="16"/>
                <w:szCs w:val="16"/>
              </w:rPr>
            </w:pPr>
            <w:r w:rsidRPr="00BB3049">
              <w:rPr>
                <w:sz w:val="16"/>
                <w:szCs w:val="16"/>
              </w:rPr>
              <w:t xml:space="preserve">0,14 </w:t>
            </w:r>
            <w:r>
              <w:rPr>
                <w:sz w:val="16"/>
                <w:szCs w:val="16"/>
              </w:rPr>
              <w:t>francos suizos</w:t>
            </w:r>
            <w:r w:rsidRPr="00BB3049">
              <w:rPr>
                <w:sz w:val="16"/>
                <w:szCs w:val="16"/>
              </w:rPr>
              <w:t xml:space="preserve"> por página.</w:t>
            </w:r>
          </w:p>
        </w:tc>
        <w:tc>
          <w:tcPr>
            <w:tcW w:w="2551" w:type="dxa"/>
            <w:tcBorders>
              <w:top w:val="nil"/>
              <w:left w:val="nil"/>
              <w:bottom w:val="nil"/>
              <w:right w:val="single" w:sz="4" w:space="0" w:color="auto"/>
            </w:tcBorders>
            <w:shd w:val="clear" w:color="000000" w:fill="FFFFFF"/>
            <w:hideMark/>
          </w:tcPr>
          <w:p w:rsidR="00236E18" w:rsidRPr="00BB3049" w:rsidRDefault="00236E18" w:rsidP="00294272">
            <w:pPr>
              <w:ind w:leftChars="15" w:left="33"/>
              <w:rPr>
                <w:sz w:val="16"/>
                <w:szCs w:val="16"/>
              </w:rPr>
            </w:pPr>
            <w:r w:rsidRPr="00BB3049">
              <w:rPr>
                <w:sz w:val="16"/>
                <w:szCs w:val="16"/>
              </w:rPr>
              <w:t>Mantener la tarifa.</w:t>
            </w:r>
          </w:p>
        </w:tc>
      </w:tr>
      <w:tr w:rsidR="00236E18" w:rsidRPr="00BB3049" w:rsidTr="00294272">
        <w:trPr>
          <w:trHeight w:val="865"/>
        </w:trPr>
        <w:tc>
          <w:tcPr>
            <w:tcW w:w="2140" w:type="dxa"/>
            <w:vMerge/>
            <w:tcBorders>
              <w:top w:val="nil"/>
              <w:left w:val="single" w:sz="4" w:space="0" w:color="auto"/>
              <w:bottom w:val="single" w:sz="4" w:space="0" w:color="000000"/>
              <w:right w:val="nil"/>
            </w:tcBorders>
            <w:vAlign w:val="center"/>
            <w:hideMark/>
          </w:tcPr>
          <w:p w:rsidR="00236E18" w:rsidRPr="00BB3049" w:rsidRDefault="00236E18" w:rsidP="00294272">
            <w:pPr>
              <w:rPr>
                <w:sz w:val="16"/>
                <w:szCs w:val="16"/>
              </w:rPr>
            </w:pPr>
          </w:p>
        </w:tc>
        <w:tc>
          <w:tcPr>
            <w:tcW w:w="2560" w:type="dxa"/>
            <w:tcBorders>
              <w:top w:val="nil"/>
              <w:left w:val="nil"/>
              <w:bottom w:val="nil"/>
              <w:right w:val="nil"/>
            </w:tcBorders>
            <w:shd w:val="clear" w:color="000000" w:fill="FFFFFF"/>
            <w:hideMark/>
          </w:tcPr>
          <w:p w:rsidR="00236E18" w:rsidRPr="00BB3049" w:rsidRDefault="00236E18" w:rsidP="00294272">
            <w:pPr>
              <w:ind w:left="35" w:firstLine="1"/>
              <w:rPr>
                <w:sz w:val="16"/>
                <w:szCs w:val="16"/>
              </w:rPr>
            </w:pPr>
            <w:r w:rsidRPr="00BB3049">
              <w:rPr>
                <w:sz w:val="16"/>
                <w:szCs w:val="16"/>
              </w:rPr>
              <w:t>Publicación a tiempo de los documentos para los comités y grupos de  trabajo.</w:t>
            </w:r>
          </w:p>
        </w:tc>
        <w:tc>
          <w:tcPr>
            <w:tcW w:w="2120" w:type="dxa"/>
            <w:tcBorders>
              <w:top w:val="nil"/>
              <w:left w:val="nil"/>
              <w:bottom w:val="nil"/>
              <w:right w:val="nil"/>
            </w:tcBorders>
            <w:shd w:val="clear" w:color="000000" w:fill="FFFFFF"/>
            <w:hideMark/>
          </w:tcPr>
          <w:p w:rsidR="00236E18" w:rsidRPr="00BB3049" w:rsidRDefault="00236E18" w:rsidP="00294272">
            <w:pPr>
              <w:ind w:left="27" w:firstLineChars="6" w:firstLine="10"/>
              <w:rPr>
                <w:sz w:val="16"/>
                <w:szCs w:val="16"/>
              </w:rPr>
            </w:pPr>
            <w:r w:rsidRPr="00BB3049">
              <w:rPr>
                <w:sz w:val="16"/>
                <w:szCs w:val="16"/>
              </w:rPr>
              <w:t>21% de los documentos publicados en todos los idiomas dos meses antes del evento.</w:t>
            </w:r>
          </w:p>
        </w:tc>
        <w:tc>
          <w:tcPr>
            <w:tcW w:w="2551" w:type="dxa"/>
            <w:tcBorders>
              <w:top w:val="nil"/>
              <w:left w:val="nil"/>
              <w:bottom w:val="nil"/>
              <w:right w:val="single" w:sz="4" w:space="0" w:color="auto"/>
            </w:tcBorders>
            <w:shd w:val="clear" w:color="000000" w:fill="FFFFFF"/>
            <w:hideMark/>
          </w:tcPr>
          <w:p w:rsidR="00236E18" w:rsidRPr="00BB3049" w:rsidRDefault="00236E18" w:rsidP="00294272">
            <w:pPr>
              <w:ind w:leftChars="15" w:left="33"/>
              <w:rPr>
                <w:sz w:val="16"/>
                <w:szCs w:val="16"/>
              </w:rPr>
            </w:pPr>
            <w:r w:rsidRPr="00BB3049">
              <w:rPr>
                <w:sz w:val="16"/>
                <w:szCs w:val="16"/>
              </w:rPr>
              <w:t>65% de los documentos publicados en todos los idiomas dos meses antes del evento.</w:t>
            </w:r>
          </w:p>
        </w:tc>
      </w:tr>
      <w:tr w:rsidR="00236E18" w:rsidRPr="00BB3049" w:rsidTr="00294272">
        <w:trPr>
          <w:trHeight w:val="430"/>
        </w:trPr>
        <w:tc>
          <w:tcPr>
            <w:tcW w:w="2140" w:type="dxa"/>
            <w:vMerge/>
            <w:tcBorders>
              <w:top w:val="nil"/>
              <w:left w:val="single" w:sz="4" w:space="0" w:color="auto"/>
              <w:bottom w:val="single" w:sz="4" w:space="0" w:color="000000"/>
              <w:right w:val="nil"/>
            </w:tcBorders>
            <w:vAlign w:val="center"/>
            <w:hideMark/>
          </w:tcPr>
          <w:p w:rsidR="00236E18" w:rsidRPr="00BB3049" w:rsidRDefault="00236E18" w:rsidP="00294272">
            <w:pPr>
              <w:rPr>
                <w:sz w:val="16"/>
                <w:szCs w:val="16"/>
              </w:rPr>
            </w:pPr>
          </w:p>
        </w:tc>
        <w:tc>
          <w:tcPr>
            <w:tcW w:w="2560" w:type="dxa"/>
            <w:tcBorders>
              <w:top w:val="nil"/>
              <w:left w:val="nil"/>
              <w:bottom w:val="single" w:sz="4" w:space="0" w:color="auto"/>
              <w:right w:val="nil"/>
            </w:tcBorders>
            <w:shd w:val="clear" w:color="000000" w:fill="FFFFFF"/>
            <w:hideMark/>
          </w:tcPr>
          <w:p w:rsidR="00236E18" w:rsidRPr="00BB3049" w:rsidRDefault="00236E18" w:rsidP="00294272">
            <w:pPr>
              <w:ind w:left="35" w:firstLine="1"/>
              <w:rPr>
                <w:sz w:val="16"/>
                <w:szCs w:val="16"/>
              </w:rPr>
            </w:pPr>
            <w:r w:rsidRPr="00BB3049">
              <w:rPr>
                <w:sz w:val="16"/>
                <w:szCs w:val="16"/>
              </w:rPr>
              <w:t>Costo por palabra traducida.</w:t>
            </w:r>
          </w:p>
        </w:tc>
        <w:tc>
          <w:tcPr>
            <w:tcW w:w="2120" w:type="dxa"/>
            <w:tcBorders>
              <w:top w:val="nil"/>
              <w:left w:val="nil"/>
              <w:bottom w:val="single" w:sz="4" w:space="0" w:color="auto"/>
              <w:right w:val="nil"/>
            </w:tcBorders>
            <w:shd w:val="clear" w:color="000000" w:fill="FFFFFF"/>
            <w:hideMark/>
          </w:tcPr>
          <w:p w:rsidR="00236E18" w:rsidRPr="00BB3049" w:rsidRDefault="00236E18" w:rsidP="00294272">
            <w:pPr>
              <w:ind w:left="27" w:firstLineChars="6" w:firstLine="10"/>
              <w:rPr>
                <w:sz w:val="16"/>
                <w:szCs w:val="16"/>
              </w:rPr>
            </w:pPr>
            <w:r w:rsidRPr="00BB3049">
              <w:rPr>
                <w:sz w:val="16"/>
                <w:szCs w:val="16"/>
              </w:rPr>
              <w:t xml:space="preserve">0,59 </w:t>
            </w:r>
            <w:r>
              <w:rPr>
                <w:sz w:val="16"/>
                <w:szCs w:val="16"/>
              </w:rPr>
              <w:t>francos suizos</w:t>
            </w:r>
            <w:r w:rsidRPr="00BB3049">
              <w:rPr>
                <w:sz w:val="16"/>
                <w:szCs w:val="16"/>
              </w:rPr>
              <w:t xml:space="preserve"> por palabra.</w:t>
            </w:r>
          </w:p>
        </w:tc>
        <w:tc>
          <w:tcPr>
            <w:tcW w:w="2551" w:type="dxa"/>
            <w:tcBorders>
              <w:top w:val="nil"/>
              <w:left w:val="nil"/>
              <w:bottom w:val="single" w:sz="4" w:space="0" w:color="auto"/>
              <w:right w:val="single" w:sz="4" w:space="0" w:color="auto"/>
            </w:tcBorders>
            <w:shd w:val="clear" w:color="000000" w:fill="FFFFFF"/>
            <w:hideMark/>
          </w:tcPr>
          <w:p w:rsidR="00236E18" w:rsidRPr="00BB3049" w:rsidRDefault="00236E18" w:rsidP="00294272">
            <w:pPr>
              <w:ind w:leftChars="15" w:left="33"/>
              <w:rPr>
                <w:sz w:val="16"/>
                <w:szCs w:val="16"/>
              </w:rPr>
            </w:pPr>
            <w:r w:rsidRPr="00BB3049">
              <w:rPr>
                <w:sz w:val="16"/>
                <w:szCs w:val="16"/>
              </w:rPr>
              <w:t>Mantener el costo.</w:t>
            </w:r>
          </w:p>
        </w:tc>
      </w:tr>
    </w:tbl>
    <w:p w:rsidR="00236E18" w:rsidRPr="00BB3049" w:rsidRDefault="00236E18" w:rsidP="00236E18">
      <w:pPr>
        <w:rPr>
          <w:szCs w:val="22"/>
        </w:rPr>
      </w:pPr>
    </w:p>
    <w:p w:rsidR="00236E18" w:rsidRPr="00BB3049" w:rsidRDefault="00236E18" w:rsidP="00236E18">
      <w:pPr>
        <w:rPr>
          <w:szCs w:val="22"/>
        </w:rPr>
      </w:pPr>
    </w:p>
    <w:p w:rsidR="00236E18" w:rsidRPr="006B63C7" w:rsidRDefault="00236E18" w:rsidP="00236E18">
      <w:r w:rsidRPr="006B63C7">
        <w:t>RECURSOS PARA EL PROGRAMA 27</w:t>
      </w:r>
    </w:p>
    <w:p w:rsidR="00236E18" w:rsidRPr="006B63C7" w:rsidRDefault="00236E18" w:rsidP="00236E18">
      <w:pPr>
        <w:pStyle w:val="ListParagraph"/>
        <w:tabs>
          <w:tab w:val="left" w:pos="709"/>
        </w:tabs>
        <w:autoSpaceDE w:val="0"/>
        <w:autoSpaceDN w:val="0"/>
        <w:adjustRightInd w:val="0"/>
        <w:ind w:left="0"/>
        <w:jc w:val="both"/>
        <w:rPr>
          <w:rFonts w:ascii="Arial" w:hAnsi="Arial" w:cs="Arial"/>
          <w:color w:val="000000"/>
          <w:sz w:val="20"/>
          <w:szCs w:val="20"/>
        </w:rPr>
      </w:pPr>
    </w:p>
    <w:p w:rsidR="00236E18" w:rsidRPr="006B63C7" w:rsidRDefault="00236E18" w:rsidP="00236E18">
      <w:pPr>
        <w:pStyle w:val="ListParagraph"/>
        <w:numPr>
          <w:ilvl w:val="0"/>
          <w:numId w:val="43"/>
        </w:numPr>
        <w:tabs>
          <w:tab w:val="left" w:pos="709"/>
        </w:tabs>
        <w:autoSpaceDE w:val="0"/>
        <w:autoSpaceDN w:val="0"/>
        <w:adjustRightInd w:val="0"/>
        <w:ind w:left="0" w:firstLine="0"/>
        <w:jc w:val="both"/>
        <w:rPr>
          <w:rFonts w:ascii="Arial" w:hAnsi="Arial" w:cs="Arial"/>
          <w:color w:val="000000"/>
          <w:sz w:val="20"/>
          <w:szCs w:val="20"/>
          <w:lang w:val="es-ES"/>
        </w:rPr>
      </w:pPr>
      <w:r w:rsidRPr="006B63C7">
        <w:rPr>
          <w:rFonts w:ascii="Arial" w:hAnsi="Arial" w:cs="Arial"/>
          <w:sz w:val="20"/>
          <w:szCs w:val="20"/>
          <w:lang w:val="es-ES"/>
        </w:rPr>
        <w:t>La reducción en el marco del resultado previsto IX.1 se debe principalmente a la disminución en los recursos destinados a traducción de 0,5 millones de francos suizos como consecuencia de una contención de los costos de traducción conforme a las pautas de gasto en 2014/15.  En el presupuesto de 2016/17 se ha establecido un ahorro de 0,55 millones de francos suizos correspondientes a</w:t>
      </w:r>
      <w:r>
        <w:rPr>
          <w:rFonts w:ascii="Arial" w:hAnsi="Arial" w:cs="Arial"/>
          <w:sz w:val="20"/>
          <w:szCs w:val="20"/>
          <w:lang w:val="es-ES"/>
        </w:rPr>
        <w:t xml:space="preserve"> servicios de impresión.</w:t>
      </w:r>
    </w:p>
    <w:p w:rsidR="00236E18" w:rsidRPr="006B63C7" w:rsidRDefault="00236E18" w:rsidP="00236E18">
      <w:pPr>
        <w:rPr>
          <w:highlight w:val="lightGray"/>
        </w:rPr>
      </w:pPr>
    </w:p>
    <w:p w:rsidR="00236E18" w:rsidRPr="006B63C7" w:rsidRDefault="00236E18" w:rsidP="00236E18">
      <w:pPr>
        <w:rPr>
          <w:b/>
          <w:sz w:val="20"/>
          <w:szCs w:val="24"/>
          <w:highlight w:val="lightGray"/>
        </w:rPr>
      </w:pPr>
      <w:r w:rsidRPr="006B63C7">
        <w:rPr>
          <w:b/>
          <w:sz w:val="20"/>
          <w:szCs w:val="24"/>
          <w:highlight w:val="lightGray"/>
        </w:rPr>
        <w:br w:type="page"/>
      </w:r>
    </w:p>
    <w:p w:rsidR="00236E18" w:rsidRPr="00B6701D" w:rsidRDefault="00236E18" w:rsidP="00236E18">
      <w:pPr>
        <w:tabs>
          <w:tab w:val="left" w:pos="1427"/>
        </w:tabs>
        <w:jc w:val="center"/>
        <w:rPr>
          <w:sz w:val="20"/>
        </w:rPr>
      </w:pPr>
      <w:r w:rsidRPr="00B6701D">
        <w:rPr>
          <w:b/>
          <w:sz w:val="20"/>
          <w:szCs w:val="24"/>
        </w:rPr>
        <w:lastRenderedPageBreak/>
        <w:t>Programa 27</w:t>
      </w:r>
      <w:proofErr w:type="gramStart"/>
      <w:r w:rsidRPr="00B6701D">
        <w:rPr>
          <w:b/>
          <w:sz w:val="20"/>
          <w:szCs w:val="24"/>
        </w:rPr>
        <w:t>:  Recursos</w:t>
      </w:r>
      <w:proofErr w:type="gramEnd"/>
      <w:r w:rsidRPr="00B6701D">
        <w:rPr>
          <w:b/>
          <w:sz w:val="20"/>
          <w:szCs w:val="24"/>
        </w:rPr>
        <w:t xml:space="preserve"> por resultado</w:t>
      </w:r>
    </w:p>
    <w:p w:rsidR="00236E18" w:rsidRPr="00B6701D" w:rsidRDefault="00236E18" w:rsidP="00236E18">
      <w:pPr>
        <w:tabs>
          <w:tab w:val="left" w:pos="1427"/>
        </w:tabs>
        <w:spacing w:after="120"/>
        <w:jc w:val="center"/>
        <w:rPr>
          <w:i/>
          <w:sz w:val="20"/>
          <w:szCs w:val="24"/>
        </w:rPr>
      </w:pPr>
      <w:r w:rsidRPr="00B6701D">
        <w:rPr>
          <w:i/>
          <w:sz w:val="20"/>
          <w:szCs w:val="24"/>
        </w:rPr>
        <w:t>(</w:t>
      </w:r>
      <w:proofErr w:type="gramStart"/>
      <w:r w:rsidRPr="00B6701D">
        <w:rPr>
          <w:i/>
          <w:sz w:val="20"/>
          <w:szCs w:val="24"/>
        </w:rPr>
        <w:t>en</w:t>
      </w:r>
      <w:proofErr w:type="gramEnd"/>
      <w:r w:rsidRPr="00B6701D">
        <w:rPr>
          <w:i/>
          <w:sz w:val="20"/>
          <w:szCs w:val="24"/>
        </w:rPr>
        <w:t xml:space="preserve"> miles de francos suizos)</w:t>
      </w:r>
    </w:p>
    <w:p w:rsidR="00236E18" w:rsidRPr="00BB3049" w:rsidRDefault="00236E18" w:rsidP="00236E18">
      <w:pPr>
        <w:tabs>
          <w:tab w:val="left" w:pos="1427"/>
        </w:tabs>
        <w:jc w:val="center"/>
        <w:rPr>
          <w:i/>
          <w:sz w:val="20"/>
          <w:szCs w:val="24"/>
          <w:highlight w:val="lightGray"/>
        </w:rPr>
      </w:pPr>
    </w:p>
    <w:p w:rsidR="00236E18" w:rsidRPr="00BB3049" w:rsidRDefault="00236E18" w:rsidP="00236E18">
      <w:pPr>
        <w:tabs>
          <w:tab w:val="left" w:pos="1427"/>
        </w:tabs>
        <w:jc w:val="center"/>
        <w:rPr>
          <w:i/>
          <w:sz w:val="20"/>
          <w:szCs w:val="24"/>
          <w:highlight w:val="lightGray"/>
        </w:rPr>
      </w:pPr>
      <w:r w:rsidRPr="000C09D2">
        <w:rPr>
          <w:noProof/>
          <w:lang w:val="en-US" w:eastAsia="en-US"/>
        </w:rPr>
        <w:drawing>
          <wp:inline distT="0" distB="0" distL="0" distR="0" wp14:anchorId="267A31C6" wp14:editId="38D43386">
            <wp:extent cx="5756910" cy="1534795"/>
            <wp:effectExtent l="0" t="0" r="0"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756910" cy="1534795"/>
                    </a:xfrm>
                    <a:prstGeom prst="rect">
                      <a:avLst/>
                    </a:prstGeom>
                    <a:noFill/>
                    <a:ln>
                      <a:noFill/>
                    </a:ln>
                  </pic:spPr>
                </pic:pic>
              </a:graphicData>
            </a:graphic>
          </wp:inline>
        </w:drawing>
      </w:r>
    </w:p>
    <w:p w:rsidR="00236E18" w:rsidRPr="00BB3049" w:rsidRDefault="00236E18" w:rsidP="00236E18">
      <w:pPr>
        <w:tabs>
          <w:tab w:val="left" w:pos="1427"/>
        </w:tabs>
        <w:rPr>
          <w:i/>
          <w:sz w:val="20"/>
          <w:szCs w:val="24"/>
          <w:highlight w:val="lightGray"/>
        </w:rPr>
      </w:pPr>
    </w:p>
    <w:p w:rsidR="00236E18" w:rsidRPr="00BB3049" w:rsidRDefault="00236E18" w:rsidP="00236E18">
      <w:pPr>
        <w:keepNext/>
        <w:keepLines/>
        <w:tabs>
          <w:tab w:val="left" w:pos="1427"/>
        </w:tabs>
        <w:jc w:val="center"/>
        <w:rPr>
          <w:b/>
          <w:sz w:val="20"/>
          <w:szCs w:val="24"/>
          <w:highlight w:val="lightGray"/>
        </w:rPr>
      </w:pPr>
    </w:p>
    <w:p w:rsidR="00236E18" w:rsidRPr="00D30DC7" w:rsidRDefault="00236E18" w:rsidP="00236E18">
      <w:pPr>
        <w:keepNext/>
        <w:keepLines/>
        <w:tabs>
          <w:tab w:val="left" w:pos="1427"/>
        </w:tabs>
        <w:jc w:val="center"/>
        <w:rPr>
          <w:sz w:val="20"/>
        </w:rPr>
      </w:pPr>
      <w:r w:rsidRPr="00D30DC7">
        <w:rPr>
          <w:b/>
          <w:sz w:val="20"/>
          <w:szCs w:val="24"/>
        </w:rPr>
        <w:t>Programa 27</w:t>
      </w:r>
      <w:proofErr w:type="gramStart"/>
      <w:r w:rsidRPr="00D30DC7">
        <w:rPr>
          <w:b/>
          <w:sz w:val="20"/>
          <w:szCs w:val="24"/>
        </w:rPr>
        <w:t>:  Recursos</w:t>
      </w:r>
      <w:proofErr w:type="gramEnd"/>
      <w:r w:rsidRPr="00D30DC7">
        <w:rPr>
          <w:b/>
          <w:sz w:val="20"/>
          <w:szCs w:val="24"/>
        </w:rPr>
        <w:t xml:space="preserve"> por objeto de gasto</w:t>
      </w:r>
    </w:p>
    <w:p w:rsidR="00236E18" w:rsidRPr="00D30DC7" w:rsidRDefault="00236E18" w:rsidP="00236E18">
      <w:pPr>
        <w:keepNext/>
        <w:keepLines/>
        <w:tabs>
          <w:tab w:val="left" w:pos="1427"/>
        </w:tabs>
        <w:spacing w:after="120"/>
        <w:jc w:val="center"/>
        <w:rPr>
          <w:i/>
          <w:sz w:val="20"/>
          <w:szCs w:val="24"/>
        </w:rPr>
      </w:pPr>
      <w:r w:rsidRPr="00D30DC7">
        <w:rPr>
          <w:i/>
          <w:sz w:val="20"/>
          <w:szCs w:val="24"/>
        </w:rPr>
        <w:t>(</w:t>
      </w:r>
      <w:proofErr w:type="gramStart"/>
      <w:r w:rsidRPr="00D30DC7">
        <w:rPr>
          <w:i/>
          <w:sz w:val="20"/>
          <w:szCs w:val="24"/>
        </w:rPr>
        <w:t>en</w:t>
      </w:r>
      <w:proofErr w:type="gramEnd"/>
      <w:r w:rsidRPr="00D30DC7">
        <w:rPr>
          <w:i/>
          <w:sz w:val="20"/>
          <w:szCs w:val="24"/>
        </w:rPr>
        <w:t xml:space="preserve"> miles de francos suizos)</w:t>
      </w:r>
    </w:p>
    <w:p w:rsidR="00236E18" w:rsidRPr="00BB3049" w:rsidRDefault="00236E18" w:rsidP="00236E18">
      <w:pPr>
        <w:keepNext/>
        <w:keepLines/>
        <w:tabs>
          <w:tab w:val="left" w:pos="1427"/>
        </w:tabs>
        <w:jc w:val="center"/>
        <w:rPr>
          <w:i/>
          <w:sz w:val="20"/>
          <w:szCs w:val="24"/>
          <w:highlight w:val="lightGray"/>
        </w:rPr>
      </w:pPr>
    </w:p>
    <w:p w:rsidR="00236E18" w:rsidRPr="00BB3049" w:rsidRDefault="00236E18" w:rsidP="00236E18">
      <w:pPr>
        <w:keepNext/>
        <w:keepLines/>
        <w:tabs>
          <w:tab w:val="left" w:pos="1427"/>
        </w:tabs>
        <w:jc w:val="center"/>
        <w:rPr>
          <w:szCs w:val="22"/>
        </w:rPr>
      </w:pPr>
      <w:r>
        <w:rPr>
          <w:noProof/>
          <w:lang w:val="en-US" w:eastAsia="en-US"/>
        </w:rPr>
        <w:drawing>
          <wp:inline distT="0" distB="0" distL="0" distR="0" wp14:anchorId="33DD15A2" wp14:editId="4393B8A0">
            <wp:extent cx="5863323" cy="6029325"/>
            <wp:effectExtent l="0" t="0" r="4445" b="0"/>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866286" cy="6032371"/>
                    </a:xfrm>
                    <a:prstGeom prst="rect">
                      <a:avLst/>
                    </a:prstGeom>
                    <a:noFill/>
                    <a:ln>
                      <a:noFill/>
                    </a:ln>
                  </pic:spPr>
                </pic:pic>
              </a:graphicData>
            </a:graphic>
          </wp:inline>
        </w:drawing>
      </w:r>
    </w:p>
    <w:p w:rsidR="00236E18" w:rsidRDefault="00236E18" w:rsidP="00236E18">
      <w:pPr>
        <w:rPr>
          <w:szCs w:val="22"/>
        </w:rPr>
      </w:pPr>
      <w:r>
        <w:rPr>
          <w:szCs w:val="22"/>
        </w:rPr>
        <w:br w:type="page"/>
      </w:r>
    </w:p>
    <w:p w:rsidR="00236E18" w:rsidRPr="00C1052E" w:rsidRDefault="00236E18" w:rsidP="00236E18">
      <w:pPr>
        <w:pStyle w:val="StyleStyleHeading3ComplexItalicLatin12pt"/>
        <w:rPr>
          <w:lang w:val="es-ES"/>
        </w:rPr>
      </w:pPr>
      <w:bookmarkStart w:id="129" w:name="_Toc418586789"/>
      <w:bookmarkStart w:id="130" w:name="_Toc431573577"/>
      <w:bookmarkStart w:id="131" w:name="_Toc431573978"/>
      <w:r w:rsidRPr="00C1052E">
        <w:rPr>
          <w:caps w:val="0"/>
          <w:lang w:val="es-ES"/>
        </w:rPr>
        <w:lastRenderedPageBreak/>
        <w:t>PROGRAMA 28</w:t>
      </w:r>
      <w:r w:rsidRPr="00C1052E">
        <w:rPr>
          <w:caps w:val="0"/>
          <w:lang w:val="es-ES"/>
        </w:rPr>
        <w:tab/>
        <w:t xml:space="preserve">ASEGURAMIENTO DE LA INFORMACIÓN, </w:t>
      </w:r>
      <w:bookmarkEnd w:id="129"/>
      <w:r w:rsidRPr="00C1052E">
        <w:rPr>
          <w:caps w:val="0"/>
          <w:lang w:val="es-ES"/>
        </w:rPr>
        <w:t>SEGURIDAD Y VIGILANCIA</w:t>
      </w:r>
      <w:bookmarkEnd w:id="130"/>
      <w:bookmarkEnd w:id="131"/>
    </w:p>
    <w:p w:rsidR="00236E18" w:rsidRPr="00CC6334" w:rsidRDefault="00236E18" w:rsidP="00236E18">
      <w:pPr>
        <w:jc w:val="both"/>
        <w:rPr>
          <w:bCs/>
          <w:szCs w:val="22"/>
        </w:rPr>
      </w:pPr>
    </w:p>
    <w:p w:rsidR="00236E18" w:rsidRPr="00CC6334" w:rsidRDefault="00236E18" w:rsidP="00236E18">
      <w:pPr>
        <w:jc w:val="both"/>
        <w:rPr>
          <w:bCs/>
          <w:szCs w:val="22"/>
        </w:rPr>
      </w:pPr>
    </w:p>
    <w:p w:rsidR="00236E18" w:rsidRPr="00CC6334" w:rsidRDefault="00236E18" w:rsidP="00236E18">
      <w:r w:rsidRPr="00CC6334">
        <w:t>CONTEXTO DE PLANIFICACIÓN</w:t>
      </w:r>
    </w:p>
    <w:p w:rsidR="00236E18" w:rsidRPr="00CC6334" w:rsidRDefault="00236E18" w:rsidP="00236E18">
      <w:pPr>
        <w:jc w:val="both"/>
        <w:rPr>
          <w:szCs w:val="22"/>
        </w:rPr>
      </w:pPr>
    </w:p>
    <w:p w:rsidR="00236E18" w:rsidRPr="00CC6334" w:rsidRDefault="00236E18" w:rsidP="00236E18">
      <w:pPr>
        <w:pStyle w:val="ListParagraph"/>
        <w:numPr>
          <w:ilvl w:val="0"/>
          <w:numId w:val="44"/>
        </w:numPr>
        <w:tabs>
          <w:tab w:val="left" w:pos="709"/>
        </w:tabs>
        <w:ind w:left="0" w:firstLine="0"/>
        <w:jc w:val="both"/>
        <w:rPr>
          <w:rFonts w:ascii="Arial" w:hAnsi="Arial" w:cs="Arial"/>
          <w:sz w:val="20"/>
          <w:lang w:val="es-ES"/>
        </w:rPr>
      </w:pPr>
      <w:r w:rsidRPr="00CC6334">
        <w:rPr>
          <w:rFonts w:ascii="Arial" w:hAnsi="Arial" w:cs="Arial"/>
          <w:sz w:val="20"/>
          <w:lang w:val="es-ES"/>
        </w:rPr>
        <w:t>Ante la OMPI se presenta una creciente amenaza por parte de adversarios que tienen diversas motivaciones para sustraer información confidencial de P.I. y usurpar la identidad de las personas, además de perturbar las actividades de la OMPI y obtener informaciones de mercado, de política y de competencia.  Esto constituye una amenaza al prestigio y a la importancia de la OMPI en cuanto que proveedor de servicios de confianza para sus Estados miembros y clientes.</w:t>
      </w:r>
    </w:p>
    <w:p w:rsidR="00236E18" w:rsidRPr="00CC6334" w:rsidRDefault="00236E18" w:rsidP="00236E18">
      <w:pPr>
        <w:tabs>
          <w:tab w:val="left" w:pos="709"/>
        </w:tabs>
        <w:jc w:val="both"/>
        <w:rPr>
          <w:sz w:val="20"/>
        </w:rPr>
      </w:pPr>
    </w:p>
    <w:p w:rsidR="00236E18" w:rsidRPr="00CC6334" w:rsidRDefault="00236E18" w:rsidP="00236E18">
      <w:pPr>
        <w:pStyle w:val="ListParagraph"/>
        <w:numPr>
          <w:ilvl w:val="0"/>
          <w:numId w:val="44"/>
        </w:numPr>
        <w:tabs>
          <w:tab w:val="left" w:pos="709"/>
        </w:tabs>
        <w:ind w:left="0" w:firstLine="0"/>
        <w:jc w:val="both"/>
        <w:rPr>
          <w:rFonts w:ascii="Arial" w:hAnsi="Arial" w:cs="Arial"/>
          <w:sz w:val="20"/>
          <w:lang w:val="es-ES"/>
        </w:rPr>
      </w:pPr>
      <w:r w:rsidRPr="00CC6334">
        <w:rPr>
          <w:rFonts w:ascii="Arial" w:hAnsi="Arial" w:cs="Arial"/>
          <w:sz w:val="20"/>
          <w:lang w:val="es-ES"/>
        </w:rPr>
        <w:t>La capacidad de la OMPI para hacer frente a estas amenazas en constante cambio, proteger su propia P.I. y la de sus clientes y gestionar de manera coherente los riesgos relativos a la información, en el marco del apetito de riesgo de la Organización, depende en gran medida de su capacidad para impulsar y ejecutar una estrategia ágil y sólida de gobernanza de la seguridad de la información, de gestión de riesgos y de observancia ininterrumpida.</w:t>
      </w:r>
    </w:p>
    <w:p w:rsidR="00236E18" w:rsidRPr="00CC6334" w:rsidRDefault="00236E18" w:rsidP="00236E18">
      <w:pPr>
        <w:pStyle w:val="ListParagraph"/>
        <w:ind w:left="0"/>
        <w:jc w:val="both"/>
        <w:rPr>
          <w:rFonts w:ascii="Arial" w:hAnsi="Arial" w:cs="Arial"/>
          <w:sz w:val="20"/>
          <w:szCs w:val="20"/>
          <w:lang w:val="es-ES"/>
        </w:rPr>
      </w:pPr>
    </w:p>
    <w:p w:rsidR="00236E18" w:rsidRPr="000160D1" w:rsidRDefault="00236E18" w:rsidP="00236E18">
      <w:pPr>
        <w:pStyle w:val="ListParagraph"/>
        <w:numPr>
          <w:ilvl w:val="0"/>
          <w:numId w:val="44"/>
        </w:numPr>
        <w:tabs>
          <w:tab w:val="left" w:pos="709"/>
        </w:tabs>
        <w:ind w:left="0" w:firstLine="0"/>
        <w:jc w:val="both"/>
        <w:rPr>
          <w:rFonts w:ascii="Arial" w:hAnsi="Arial" w:cs="Arial"/>
          <w:sz w:val="20"/>
          <w:lang w:val="es-ES"/>
        </w:rPr>
      </w:pPr>
      <w:r w:rsidRPr="000160D1">
        <w:rPr>
          <w:rFonts w:ascii="Arial" w:hAnsi="Arial" w:cs="Arial"/>
          <w:sz w:val="20"/>
          <w:lang w:val="es-ES"/>
        </w:rPr>
        <w:t>En lo que respecta a la seguridad física y la vigilancia, la OMPI sigue siendo objeto de amenazas procedentes de cualquier parte del mundo, reales o supuestas, dirigidas contra el Sistema de las NN.UU.  Por ello, en el marco de este programa se seguirá velando por la seguridad y la vigilancia del personal</w:t>
      </w:r>
      <w:r>
        <w:rPr>
          <w:rFonts w:ascii="Arial" w:hAnsi="Arial" w:cs="Arial"/>
          <w:sz w:val="20"/>
          <w:lang w:val="es-ES"/>
        </w:rPr>
        <w:t xml:space="preserve">, los delegados, los visitantes y los activos </w:t>
      </w:r>
      <w:r w:rsidRPr="000160D1">
        <w:rPr>
          <w:rFonts w:ascii="Arial" w:hAnsi="Arial" w:cs="Arial"/>
          <w:sz w:val="20"/>
          <w:lang w:val="es-ES"/>
        </w:rPr>
        <w:t>de la OMPI</w:t>
      </w:r>
      <w:r>
        <w:rPr>
          <w:rFonts w:ascii="Arial" w:hAnsi="Arial" w:cs="Arial"/>
          <w:sz w:val="20"/>
          <w:lang w:val="es-ES"/>
        </w:rPr>
        <w:t>, tanto en la sede como en las oficinas en el exterior</w:t>
      </w:r>
      <w:r w:rsidRPr="000160D1">
        <w:rPr>
          <w:rFonts w:ascii="Arial" w:hAnsi="Arial" w:cs="Arial"/>
          <w:sz w:val="20"/>
          <w:lang w:val="es-ES"/>
        </w:rPr>
        <w:t>.  Una vez finalizado</w:t>
      </w:r>
      <w:r>
        <w:rPr>
          <w:rFonts w:ascii="Arial" w:hAnsi="Arial" w:cs="Arial"/>
          <w:sz w:val="20"/>
          <w:lang w:val="es-ES"/>
        </w:rPr>
        <w:t>, en 2015,</w:t>
      </w:r>
      <w:r w:rsidRPr="000160D1">
        <w:rPr>
          <w:rFonts w:ascii="Arial" w:hAnsi="Arial" w:cs="Arial"/>
          <w:sz w:val="20"/>
          <w:lang w:val="es-ES"/>
        </w:rPr>
        <w:t xml:space="preserve"> el proyecto</w:t>
      </w:r>
      <w:r>
        <w:rPr>
          <w:rFonts w:ascii="Arial" w:hAnsi="Arial" w:cs="Arial"/>
          <w:sz w:val="20"/>
          <w:lang w:val="es-ES"/>
        </w:rPr>
        <w:t xml:space="preserve"> de adaptación del perímetro</w:t>
      </w:r>
      <w:r w:rsidRPr="000160D1">
        <w:rPr>
          <w:rFonts w:ascii="Arial" w:hAnsi="Arial" w:cs="Arial"/>
          <w:sz w:val="20"/>
          <w:lang w:val="es-ES"/>
        </w:rPr>
        <w:t xml:space="preserve"> a las normas mínimas operativas de seguridad para las sedes de las NN.UU., en cuyo marco se </w:t>
      </w:r>
      <w:r>
        <w:rPr>
          <w:rFonts w:ascii="Arial" w:hAnsi="Arial" w:cs="Arial"/>
          <w:sz w:val="20"/>
          <w:lang w:val="es-ES"/>
        </w:rPr>
        <w:t xml:space="preserve">han </w:t>
      </w:r>
      <w:r w:rsidRPr="000160D1">
        <w:rPr>
          <w:rFonts w:ascii="Arial" w:hAnsi="Arial" w:cs="Arial"/>
          <w:sz w:val="20"/>
          <w:lang w:val="es-ES"/>
        </w:rPr>
        <w:t>actualiza</w:t>
      </w:r>
      <w:r>
        <w:rPr>
          <w:rFonts w:ascii="Arial" w:hAnsi="Arial" w:cs="Arial"/>
          <w:sz w:val="20"/>
          <w:lang w:val="es-ES"/>
        </w:rPr>
        <w:t>do</w:t>
      </w:r>
      <w:r w:rsidRPr="000160D1">
        <w:rPr>
          <w:rFonts w:ascii="Arial" w:hAnsi="Arial" w:cs="Arial"/>
          <w:sz w:val="20"/>
          <w:lang w:val="es-ES"/>
        </w:rPr>
        <w:t xml:space="preserve"> las medidas de seguridad y vigilancia para satisfacer las normas mínimas del Departamento de Seguridad de las Naciones Unidas, la OMPI tendrá que seguir ejecutando y manteniendo las normas de seguridad</w:t>
      </w:r>
      <w:r>
        <w:rPr>
          <w:rFonts w:ascii="Arial" w:hAnsi="Arial" w:cs="Arial"/>
          <w:sz w:val="20"/>
          <w:lang w:val="es-ES"/>
        </w:rPr>
        <w:t xml:space="preserve"> de reciente ejecución</w:t>
      </w:r>
      <w:r w:rsidRPr="000160D1">
        <w:rPr>
          <w:rFonts w:ascii="Arial" w:hAnsi="Arial" w:cs="Arial"/>
          <w:sz w:val="20"/>
          <w:lang w:val="es-ES"/>
        </w:rPr>
        <w:t xml:space="preserve">.  Los servicios de seguridad y vigilancia de la OMPI </w:t>
      </w:r>
      <w:r>
        <w:rPr>
          <w:rFonts w:ascii="Arial" w:hAnsi="Arial" w:cs="Arial"/>
          <w:sz w:val="20"/>
          <w:lang w:val="es-ES"/>
        </w:rPr>
        <w:t xml:space="preserve">continuarán </w:t>
      </w:r>
      <w:r w:rsidRPr="000160D1">
        <w:rPr>
          <w:rFonts w:ascii="Arial" w:hAnsi="Arial" w:cs="Arial"/>
          <w:sz w:val="20"/>
          <w:lang w:val="es-ES"/>
        </w:rPr>
        <w:t>velan</w:t>
      </w:r>
      <w:r>
        <w:rPr>
          <w:rFonts w:ascii="Arial" w:hAnsi="Arial" w:cs="Arial"/>
          <w:sz w:val="20"/>
          <w:lang w:val="es-ES"/>
        </w:rPr>
        <w:t>do</w:t>
      </w:r>
      <w:r w:rsidRPr="000160D1">
        <w:rPr>
          <w:rFonts w:ascii="Arial" w:hAnsi="Arial" w:cs="Arial"/>
          <w:sz w:val="20"/>
          <w:lang w:val="es-ES"/>
        </w:rPr>
        <w:t xml:space="preserve"> por el estricto cumplimiento de las normas y directrices del sistema de gestión de la seguridad de las NN.UU.</w:t>
      </w:r>
    </w:p>
    <w:p w:rsidR="00236E18" w:rsidRPr="00CC6334" w:rsidRDefault="00236E18" w:rsidP="00236E18">
      <w:pPr>
        <w:pStyle w:val="ListParagraph"/>
        <w:ind w:left="0"/>
        <w:jc w:val="both"/>
        <w:rPr>
          <w:rFonts w:ascii="Arial" w:hAnsi="Arial" w:cs="Arial"/>
          <w:sz w:val="20"/>
          <w:szCs w:val="20"/>
          <w:lang w:val="es-ES"/>
        </w:rPr>
      </w:pPr>
    </w:p>
    <w:p w:rsidR="00236E18" w:rsidRPr="00CC6334" w:rsidRDefault="00236E18" w:rsidP="00236E18">
      <w:pPr>
        <w:pStyle w:val="ListParagraph"/>
        <w:ind w:left="0"/>
        <w:jc w:val="both"/>
        <w:rPr>
          <w:rFonts w:ascii="Arial" w:hAnsi="Arial" w:cs="Arial"/>
          <w:sz w:val="20"/>
          <w:szCs w:val="20"/>
          <w:lang w:val="es-ES"/>
        </w:rPr>
      </w:pPr>
    </w:p>
    <w:p w:rsidR="00236E18" w:rsidRPr="00CC6334" w:rsidRDefault="00236E18" w:rsidP="00236E18">
      <w:r w:rsidRPr="00CC6334">
        <w:t>ESTRATEGIAS DE EJECUCIÓN</w:t>
      </w:r>
    </w:p>
    <w:p w:rsidR="00236E18" w:rsidRPr="00CC6334" w:rsidRDefault="00236E18" w:rsidP="00236E18">
      <w:pPr>
        <w:jc w:val="both"/>
        <w:rPr>
          <w:sz w:val="20"/>
        </w:rPr>
      </w:pPr>
    </w:p>
    <w:p w:rsidR="00236E18" w:rsidRPr="000160D1" w:rsidRDefault="00236E18" w:rsidP="00236E18">
      <w:pPr>
        <w:pStyle w:val="ListParagraph"/>
        <w:numPr>
          <w:ilvl w:val="0"/>
          <w:numId w:val="44"/>
        </w:numPr>
        <w:tabs>
          <w:tab w:val="left" w:pos="709"/>
        </w:tabs>
        <w:ind w:left="0" w:firstLine="0"/>
        <w:jc w:val="both"/>
        <w:rPr>
          <w:rFonts w:ascii="Arial" w:hAnsi="Arial" w:cs="Arial"/>
          <w:sz w:val="20"/>
          <w:lang w:val="es-ES"/>
        </w:rPr>
      </w:pPr>
      <w:r w:rsidRPr="000160D1">
        <w:rPr>
          <w:rFonts w:ascii="Arial" w:hAnsi="Arial" w:cs="Arial"/>
          <w:sz w:val="20"/>
          <w:lang w:val="es-ES"/>
        </w:rPr>
        <w:t xml:space="preserve">Este programa integra ahora el aseguramiento de la información, la seguridad física y la vigilancia, lo que permite a la OMPI disponer de una visión global de la seguridad </w:t>
      </w:r>
      <w:r>
        <w:rPr>
          <w:rFonts w:ascii="Arial" w:hAnsi="Arial" w:cs="Arial"/>
          <w:sz w:val="20"/>
          <w:lang w:val="es-ES"/>
        </w:rPr>
        <w:t xml:space="preserve">y vigilancia </w:t>
      </w:r>
      <w:r w:rsidRPr="000160D1">
        <w:rPr>
          <w:rFonts w:ascii="Arial" w:hAnsi="Arial" w:cs="Arial"/>
          <w:sz w:val="20"/>
          <w:lang w:val="es-ES"/>
        </w:rPr>
        <w:t>y gestionar los riesgos operacionales de manera global.  Permite además la convergencia en diversos ámbitos, por ejemplo, intercambiar información sobre amenazas físicas y en Internet, dar una respuesta coordinada en caso de incidentes y garantizar la capacidad de reacción de los sistemas de seguridad física y vigilancia.</w:t>
      </w:r>
    </w:p>
    <w:p w:rsidR="00236E18" w:rsidRPr="00BB3049" w:rsidRDefault="00236E18" w:rsidP="00236E18">
      <w:pPr>
        <w:jc w:val="both"/>
        <w:rPr>
          <w:sz w:val="20"/>
          <w:highlight w:val="lightGray"/>
        </w:rPr>
      </w:pPr>
    </w:p>
    <w:p w:rsidR="00236E18" w:rsidRPr="000160D1" w:rsidRDefault="00236E18" w:rsidP="00236E18">
      <w:pPr>
        <w:pStyle w:val="ListParagraph"/>
        <w:numPr>
          <w:ilvl w:val="0"/>
          <w:numId w:val="44"/>
        </w:numPr>
        <w:tabs>
          <w:tab w:val="left" w:pos="709"/>
        </w:tabs>
        <w:ind w:left="0" w:firstLine="0"/>
        <w:jc w:val="both"/>
        <w:rPr>
          <w:rFonts w:ascii="Arial" w:hAnsi="Arial" w:cs="Arial"/>
          <w:sz w:val="20"/>
          <w:szCs w:val="20"/>
          <w:lang w:val="es-ES"/>
        </w:rPr>
      </w:pPr>
      <w:r w:rsidRPr="000160D1">
        <w:rPr>
          <w:rFonts w:ascii="Arial" w:hAnsi="Arial" w:cs="Arial"/>
          <w:sz w:val="20"/>
          <w:lang w:val="es-ES"/>
        </w:rPr>
        <w:t>Es i</w:t>
      </w:r>
      <w:r>
        <w:rPr>
          <w:rFonts w:ascii="Arial" w:hAnsi="Arial" w:cs="Arial"/>
          <w:sz w:val="20"/>
          <w:lang w:val="es-ES"/>
        </w:rPr>
        <w:t>mperativo</w:t>
      </w:r>
      <w:r w:rsidRPr="000160D1">
        <w:rPr>
          <w:rFonts w:ascii="Arial" w:hAnsi="Arial" w:cs="Arial"/>
          <w:sz w:val="20"/>
          <w:lang w:val="es-ES"/>
        </w:rPr>
        <w:t xml:space="preserve"> que la OMPI no solo refuerce sus capacidades de aseguramiento de la información, sino que aspire también a aplicar una estrategia efectiva, fiable y sostenible a ese respecto que permita a la Organización mantener su liderazgo en la prestación de soluciones de P.I. seguras y de calidad a sus </w:t>
      </w:r>
      <w:r>
        <w:rPr>
          <w:rFonts w:ascii="Arial" w:hAnsi="Arial" w:cs="Arial"/>
          <w:sz w:val="20"/>
          <w:lang w:val="es-ES"/>
        </w:rPr>
        <w:t xml:space="preserve">Estados miembros y </w:t>
      </w:r>
      <w:r w:rsidRPr="000160D1">
        <w:rPr>
          <w:rFonts w:ascii="Arial" w:hAnsi="Arial" w:cs="Arial"/>
          <w:sz w:val="20"/>
          <w:lang w:val="es-ES"/>
        </w:rPr>
        <w:t>clientes, con un grado de confianza muy elevado.</w:t>
      </w:r>
    </w:p>
    <w:p w:rsidR="00236E18" w:rsidRPr="00CC6334" w:rsidRDefault="00236E18" w:rsidP="00236E18">
      <w:pPr>
        <w:pStyle w:val="ListParagraph"/>
        <w:ind w:left="0"/>
        <w:jc w:val="both"/>
        <w:rPr>
          <w:rFonts w:ascii="Arial" w:hAnsi="Arial" w:cs="Arial"/>
          <w:sz w:val="20"/>
          <w:szCs w:val="20"/>
          <w:lang w:val="es-ES"/>
        </w:rPr>
      </w:pPr>
    </w:p>
    <w:p w:rsidR="00236E18" w:rsidRPr="00CC6334" w:rsidRDefault="00236E18" w:rsidP="00236E18">
      <w:pPr>
        <w:pStyle w:val="ListParagraph"/>
        <w:numPr>
          <w:ilvl w:val="0"/>
          <w:numId w:val="44"/>
        </w:numPr>
        <w:tabs>
          <w:tab w:val="left" w:pos="709"/>
        </w:tabs>
        <w:ind w:left="0" w:firstLine="0"/>
        <w:jc w:val="both"/>
        <w:rPr>
          <w:rFonts w:ascii="Arial" w:hAnsi="Arial" w:cs="Arial"/>
          <w:sz w:val="20"/>
          <w:lang w:val="es-ES"/>
        </w:rPr>
      </w:pPr>
      <w:r w:rsidRPr="00CC6334">
        <w:rPr>
          <w:rFonts w:ascii="Arial" w:hAnsi="Arial" w:cs="Arial"/>
          <w:sz w:val="20"/>
          <w:lang w:val="es-ES"/>
        </w:rPr>
        <w:t>Con este fin, en 2016/17 empezarán a aplicarse las siguientes estrategias de aseguramiento de la información:</w:t>
      </w:r>
    </w:p>
    <w:p w:rsidR="00236E18" w:rsidRPr="00CC6334" w:rsidRDefault="00236E18" w:rsidP="00236E18">
      <w:pPr>
        <w:tabs>
          <w:tab w:val="left" w:pos="1134"/>
        </w:tabs>
        <w:ind w:left="567"/>
        <w:jc w:val="both"/>
        <w:rPr>
          <w:sz w:val="20"/>
        </w:rPr>
      </w:pPr>
    </w:p>
    <w:p w:rsidR="00236E18" w:rsidRPr="00CC6334" w:rsidRDefault="00236E18" w:rsidP="00236E18">
      <w:pPr>
        <w:numPr>
          <w:ilvl w:val="1"/>
          <w:numId w:val="37"/>
        </w:numPr>
        <w:tabs>
          <w:tab w:val="clear" w:pos="1250"/>
          <w:tab w:val="left" w:pos="1134"/>
        </w:tabs>
        <w:ind w:left="567"/>
        <w:jc w:val="both"/>
        <w:rPr>
          <w:sz w:val="20"/>
        </w:rPr>
      </w:pPr>
      <w:r w:rsidRPr="00CC6334">
        <w:rPr>
          <w:i/>
          <w:sz w:val="20"/>
        </w:rPr>
        <w:t>Desarrollar una cultura orientada a la seguridad</w:t>
      </w:r>
      <w:proofErr w:type="gramStart"/>
      <w:r w:rsidRPr="00CC6334">
        <w:rPr>
          <w:i/>
          <w:sz w:val="20"/>
        </w:rPr>
        <w:t>:  S</w:t>
      </w:r>
      <w:r w:rsidRPr="00CC6334">
        <w:rPr>
          <w:sz w:val="20"/>
        </w:rPr>
        <w:t>e</w:t>
      </w:r>
      <w:proofErr w:type="gramEnd"/>
      <w:r w:rsidRPr="00CC6334">
        <w:rPr>
          <w:sz w:val="20"/>
        </w:rPr>
        <w:t xml:space="preserve"> fortalecerá la gobernanza actual del aseguramiento de la información para garantizar una mayor responsabilidad.  Se mejorará la sensibilización y la formación en materia de seguridad y se analizarán parámetros útiles para la evaluación del aseguramiento de la información, que se utilizarán para fundamentar las decisiones sobre la gestión de riesgos de seguridad y para demostrar el rendimiento de la inversión en aseguramiento de la información.</w:t>
      </w:r>
    </w:p>
    <w:p w:rsidR="00236E18" w:rsidRPr="00CC6334" w:rsidRDefault="00236E18" w:rsidP="00236E18">
      <w:pPr>
        <w:tabs>
          <w:tab w:val="num" w:pos="360"/>
          <w:tab w:val="left" w:pos="1134"/>
        </w:tabs>
        <w:ind w:left="567"/>
        <w:jc w:val="both"/>
        <w:rPr>
          <w:sz w:val="20"/>
        </w:rPr>
      </w:pPr>
    </w:p>
    <w:p w:rsidR="00236E18" w:rsidRPr="00CC6334" w:rsidRDefault="00236E18" w:rsidP="00236E18">
      <w:pPr>
        <w:numPr>
          <w:ilvl w:val="1"/>
          <w:numId w:val="37"/>
        </w:numPr>
        <w:tabs>
          <w:tab w:val="clear" w:pos="1250"/>
          <w:tab w:val="num" w:pos="360"/>
          <w:tab w:val="left" w:pos="1134"/>
          <w:tab w:val="num" w:pos="1170"/>
        </w:tabs>
        <w:ind w:left="567"/>
        <w:jc w:val="both"/>
        <w:rPr>
          <w:sz w:val="20"/>
        </w:rPr>
      </w:pPr>
      <w:r w:rsidRPr="00CC6334">
        <w:rPr>
          <w:i/>
          <w:sz w:val="20"/>
        </w:rPr>
        <w:t>Adoptar un enfoque de gestión de riesgos de carácter institucional</w:t>
      </w:r>
      <w:proofErr w:type="gramStart"/>
      <w:r w:rsidRPr="00CC6334">
        <w:rPr>
          <w:i/>
          <w:sz w:val="20"/>
        </w:rPr>
        <w:t xml:space="preserve">:  </w:t>
      </w:r>
      <w:r w:rsidRPr="00CC6334">
        <w:rPr>
          <w:sz w:val="20"/>
        </w:rPr>
        <w:t>Se</w:t>
      </w:r>
      <w:proofErr w:type="gramEnd"/>
      <w:r w:rsidRPr="00CC6334">
        <w:rPr>
          <w:sz w:val="20"/>
        </w:rPr>
        <w:t xml:space="preserve"> impulsará la adopción de una visión institucional de los riesgos de la información mediante la integración y la convergencia de distintos procesos de gestión de riesgos de la información en distintos ámbitos de actividad, y los elementos de tales riesgos se incorporarán en el sistema de gestión del riesgo institucional.</w:t>
      </w:r>
    </w:p>
    <w:p w:rsidR="00236E18" w:rsidRPr="00CC6334" w:rsidRDefault="00236E18" w:rsidP="00236E18">
      <w:pPr>
        <w:tabs>
          <w:tab w:val="num" w:pos="738"/>
          <w:tab w:val="left" w:pos="1134"/>
        </w:tabs>
        <w:ind w:left="567"/>
        <w:jc w:val="both"/>
        <w:rPr>
          <w:sz w:val="20"/>
        </w:rPr>
      </w:pPr>
    </w:p>
    <w:p w:rsidR="00236E18" w:rsidRPr="000160D1" w:rsidRDefault="00236E18" w:rsidP="00236E18">
      <w:pPr>
        <w:numPr>
          <w:ilvl w:val="1"/>
          <w:numId w:val="37"/>
        </w:numPr>
        <w:tabs>
          <w:tab w:val="clear" w:pos="1250"/>
          <w:tab w:val="num" w:pos="360"/>
          <w:tab w:val="num" w:pos="738"/>
          <w:tab w:val="left" w:pos="1134"/>
        </w:tabs>
        <w:ind w:left="567"/>
        <w:jc w:val="both"/>
        <w:rPr>
          <w:sz w:val="20"/>
        </w:rPr>
      </w:pPr>
      <w:r w:rsidRPr="000160D1">
        <w:rPr>
          <w:i/>
          <w:sz w:val="20"/>
        </w:rPr>
        <w:t xml:space="preserve">Limitar la exposición al riesgo y garantizar la observancia continuada:  </w:t>
      </w:r>
      <w:r w:rsidRPr="000160D1">
        <w:rPr>
          <w:sz w:val="20"/>
        </w:rPr>
        <w:t xml:space="preserve">El fomento continuo de la capacidad para detectar por anticipado amenazas contra los activos de información de la OMPI, así como sus vulnerabilidades, permitirá implementar las medidas de subsanación </w:t>
      </w:r>
      <w:r w:rsidRPr="000160D1">
        <w:rPr>
          <w:sz w:val="20"/>
        </w:rPr>
        <w:lastRenderedPageBreak/>
        <w:t>prioritarias para proteger los ámbitos de actividad de la OMPI que presentan mayores riesgos.  Se aplicará un programa de observancia continua para asegurar el cumplimiento de las políticas</w:t>
      </w:r>
      <w:r>
        <w:rPr>
          <w:sz w:val="20"/>
        </w:rPr>
        <w:t>,</w:t>
      </w:r>
      <w:r w:rsidRPr="000160D1">
        <w:rPr>
          <w:sz w:val="20"/>
        </w:rPr>
        <w:t xml:space="preserve"> los mandatos </w:t>
      </w:r>
      <w:r>
        <w:rPr>
          <w:sz w:val="20"/>
        </w:rPr>
        <w:t xml:space="preserve">y normas técnicas </w:t>
      </w:r>
      <w:r w:rsidRPr="000160D1">
        <w:rPr>
          <w:sz w:val="20"/>
        </w:rPr>
        <w:t>en materia de aseguramiento de la información</w:t>
      </w:r>
      <w:r>
        <w:rPr>
          <w:sz w:val="20"/>
        </w:rPr>
        <w:t xml:space="preserve"> (</w:t>
      </w:r>
      <w:r w:rsidRPr="000160D1">
        <w:rPr>
          <w:sz w:val="20"/>
        </w:rPr>
        <w:t>como la norma ISO 27001</w:t>
      </w:r>
      <w:r>
        <w:rPr>
          <w:sz w:val="20"/>
        </w:rPr>
        <w:t>)</w:t>
      </w:r>
      <w:r w:rsidRPr="000160D1">
        <w:rPr>
          <w:sz w:val="20"/>
        </w:rPr>
        <w:t>, lo que ofrecerá mayores garantías en lo que respecta a la eficacia de los controles internos en la protección de los activos de información de la OMPI.</w:t>
      </w:r>
    </w:p>
    <w:p w:rsidR="00236E18" w:rsidRPr="000160D1" w:rsidRDefault="00236E18" w:rsidP="00236E18">
      <w:pPr>
        <w:tabs>
          <w:tab w:val="num" w:pos="738"/>
          <w:tab w:val="left" w:pos="1134"/>
        </w:tabs>
        <w:ind w:left="567"/>
        <w:jc w:val="both"/>
        <w:rPr>
          <w:sz w:val="20"/>
        </w:rPr>
      </w:pPr>
    </w:p>
    <w:p w:rsidR="00236E18" w:rsidRPr="000160D1" w:rsidRDefault="00236E18" w:rsidP="00236E18">
      <w:pPr>
        <w:numPr>
          <w:ilvl w:val="1"/>
          <w:numId w:val="37"/>
        </w:numPr>
        <w:tabs>
          <w:tab w:val="clear" w:pos="1250"/>
          <w:tab w:val="num" w:pos="360"/>
          <w:tab w:val="num" w:pos="738"/>
          <w:tab w:val="left" w:pos="1134"/>
        </w:tabs>
        <w:ind w:left="567"/>
        <w:jc w:val="both"/>
        <w:rPr>
          <w:i/>
          <w:iCs/>
          <w:sz w:val="20"/>
        </w:rPr>
      </w:pPr>
      <w:r w:rsidRPr="000160D1">
        <w:rPr>
          <w:i/>
          <w:iCs/>
          <w:sz w:val="20"/>
        </w:rPr>
        <w:t>Proteger los activos de la OMPI de información confidencial</w:t>
      </w:r>
      <w:proofErr w:type="gramStart"/>
      <w:r w:rsidRPr="000160D1">
        <w:rPr>
          <w:i/>
          <w:iCs/>
          <w:sz w:val="20"/>
        </w:rPr>
        <w:t xml:space="preserve">:  </w:t>
      </w:r>
      <w:r w:rsidRPr="000160D1">
        <w:rPr>
          <w:iCs/>
          <w:sz w:val="20"/>
        </w:rPr>
        <w:t>se</w:t>
      </w:r>
      <w:proofErr w:type="gramEnd"/>
      <w:r w:rsidRPr="000160D1">
        <w:rPr>
          <w:iCs/>
          <w:sz w:val="20"/>
        </w:rPr>
        <w:t xml:space="preserve"> aplicará una política de clasificación y gestión de la información para garantizar una </w:t>
      </w:r>
      <w:r>
        <w:rPr>
          <w:iCs/>
          <w:sz w:val="20"/>
        </w:rPr>
        <w:t xml:space="preserve">protección, </w:t>
      </w:r>
      <w:proofErr w:type="spellStart"/>
      <w:r>
        <w:rPr>
          <w:iCs/>
          <w:sz w:val="20"/>
        </w:rPr>
        <w:t>costoeficaz</w:t>
      </w:r>
      <w:proofErr w:type="spellEnd"/>
      <w:r w:rsidRPr="000160D1">
        <w:rPr>
          <w:iCs/>
          <w:sz w:val="20"/>
        </w:rPr>
        <w:t xml:space="preserve"> y basada en los riesgos, de los activos de información confidencial de la OMPI.  A partir de esta política, se aplicarán mecanismos de protección (control de procesos y de sistemas técnicos), </w:t>
      </w:r>
      <w:r>
        <w:rPr>
          <w:iCs/>
          <w:sz w:val="20"/>
        </w:rPr>
        <w:t>para fomentar el poder de recuperación</w:t>
      </w:r>
      <w:r w:rsidRPr="000160D1">
        <w:rPr>
          <w:iCs/>
          <w:sz w:val="20"/>
        </w:rPr>
        <w:t xml:space="preserve"> de los sistemas del PCT y otros importantes sistemas operacionales.</w:t>
      </w:r>
    </w:p>
    <w:p w:rsidR="00236E18" w:rsidRPr="00CC6334" w:rsidRDefault="00236E18" w:rsidP="00236E18">
      <w:pPr>
        <w:tabs>
          <w:tab w:val="num" w:pos="738"/>
          <w:tab w:val="left" w:pos="1134"/>
        </w:tabs>
        <w:ind w:left="567"/>
        <w:jc w:val="both"/>
        <w:rPr>
          <w:i/>
          <w:iCs/>
          <w:sz w:val="20"/>
        </w:rPr>
      </w:pPr>
    </w:p>
    <w:p w:rsidR="00236E18" w:rsidRPr="00CC6334" w:rsidRDefault="00236E18" w:rsidP="00236E18">
      <w:pPr>
        <w:numPr>
          <w:ilvl w:val="1"/>
          <w:numId w:val="37"/>
        </w:numPr>
        <w:tabs>
          <w:tab w:val="clear" w:pos="1250"/>
          <w:tab w:val="num" w:pos="360"/>
          <w:tab w:val="left" w:pos="1134"/>
          <w:tab w:val="num" w:pos="1170"/>
        </w:tabs>
        <w:ind w:left="567"/>
        <w:jc w:val="both"/>
        <w:rPr>
          <w:i/>
          <w:iCs/>
          <w:sz w:val="20"/>
        </w:rPr>
      </w:pPr>
      <w:r w:rsidRPr="00CC6334">
        <w:rPr>
          <w:i/>
          <w:iCs/>
          <w:sz w:val="20"/>
        </w:rPr>
        <w:t>Fomentar el conocimiento del entorno y la capacidad de respuesta</w:t>
      </w:r>
      <w:proofErr w:type="gramStart"/>
      <w:r w:rsidRPr="00CC6334">
        <w:rPr>
          <w:i/>
          <w:iCs/>
          <w:sz w:val="20"/>
        </w:rPr>
        <w:t xml:space="preserve">:  </w:t>
      </w:r>
      <w:r w:rsidRPr="00CC6334">
        <w:rPr>
          <w:iCs/>
          <w:sz w:val="20"/>
        </w:rPr>
        <w:t>Se</w:t>
      </w:r>
      <w:proofErr w:type="gramEnd"/>
      <w:r w:rsidRPr="00CC6334">
        <w:rPr>
          <w:iCs/>
          <w:sz w:val="20"/>
        </w:rPr>
        <w:t xml:space="preserve"> </w:t>
      </w:r>
      <w:r>
        <w:rPr>
          <w:iCs/>
          <w:sz w:val="20"/>
        </w:rPr>
        <w:t xml:space="preserve">introducirán mejoras en la labor </w:t>
      </w:r>
      <w:r w:rsidRPr="00CC6334">
        <w:rPr>
          <w:iCs/>
          <w:sz w:val="20"/>
        </w:rPr>
        <w:t xml:space="preserve">de la OMPI </w:t>
      </w:r>
      <w:r>
        <w:rPr>
          <w:iCs/>
          <w:sz w:val="20"/>
        </w:rPr>
        <w:t>de</w:t>
      </w:r>
      <w:r w:rsidRPr="00CC6334">
        <w:rPr>
          <w:iCs/>
          <w:sz w:val="20"/>
        </w:rPr>
        <w:t xml:space="preserve"> seguridad en Internet y se </w:t>
      </w:r>
      <w:r>
        <w:rPr>
          <w:iCs/>
          <w:sz w:val="20"/>
        </w:rPr>
        <w:t>expandirá</w:t>
      </w:r>
      <w:r w:rsidRPr="00CC6334">
        <w:rPr>
          <w:iCs/>
          <w:sz w:val="20"/>
        </w:rPr>
        <w:t xml:space="preserve"> el conocimiento de información sobre amenazas internas y externas, tanto cibernéticas como físicas,</w:t>
      </w:r>
      <w:r>
        <w:rPr>
          <w:iCs/>
          <w:sz w:val="20"/>
        </w:rPr>
        <w:t xml:space="preserve"> respecto de las cuales se deban tomar medidas </w:t>
      </w:r>
      <w:r w:rsidRPr="00CC6334">
        <w:rPr>
          <w:iCs/>
          <w:sz w:val="20"/>
        </w:rPr>
        <w:t xml:space="preserve">a fin de determinar previsoramente los indicadores de </w:t>
      </w:r>
      <w:r>
        <w:rPr>
          <w:iCs/>
          <w:sz w:val="20"/>
        </w:rPr>
        <w:t xml:space="preserve">potenciales </w:t>
      </w:r>
      <w:r w:rsidRPr="00CC6334">
        <w:rPr>
          <w:iCs/>
          <w:sz w:val="20"/>
        </w:rPr>
        <w:t>violaciones de la seguridad.  También se introducirán importantes mejoras en la capacidad de respuesta de la OMPI a los incidentes que afecten a la seguridad de la información a fin de asegurar que se contengan con rapidez y que apenas perturben las operaciones.</w:t>
      </w:r>
    </w:p>
    <w:p w:rsidR="00236E18" w:rsidRPr="00CC6334" w:rsidRDefault="00236E18" w:rsidP="00236E18">
      <w:pPr>
        <w:tabs>
          <w:tab w:val="left" w:pos="1134"/>
        </w:tabs>
        <w:ind w:left="567"/>
        <w:jc w:val="both"/>
        <w:rPr>
          <w:i/>
          <w:iCs/>
          <w:sz w:val="20"/>
        </w:rPr>
      </w:pPr>
    </w:p>
    <w:p w:rsidR="00236E18" w:rsidRPr="00CC6334" w:rsidRDefault="00236E18" w:rsidP="00236E18">
      <w:pPr>
        <w:pStyle w:val="ListParagraph"/>
        <w:numPr>
          <w:ilvl w:val="0"/>
          <w:numId w:val="44"/>
        </w:numPr>
        <w:tabs>
          <w:tab w:val="left" w:pos="709"/>
        </w:tabs>
        <w:ind w:left="0" w:firstLine="0"/>
        <w:jc w:val="both"/>
        <w:rPr>
          <w:rFonts w:ascii="Arial" w:hAnsi="Arial" w:cs="Arial"/>
          <w:sz w:val="20"/>
          <w:szCs w:val="20"/>
          <w:lang w:val="es-ES"/>
        </w:rPr>
      </w:pPr>
      <w:r w:rsidRPr="00CC6334">
        <w:rPr>
          <w:rFonts w:ascii="Arial" w:hAnsi="Arial" w:cs="Arial"/>
          <w:sz w:val="20"/>
          <w:szCs w:val="20"/>
          <w:lang w:val="es-ES"/>
        </w:rPr>
        <w:t>Se seguirán introduciendo mejoras en la seguridad y la vigilancia mediante una gestión dinámica de los riesgos y la continua supervisión de las amenazas en este ámbito.  También se acometerán mejoras en las políticas y los procedimientos de seguridad y vigilancia y en las actividades de sensibilización y de formación de guardas de seguridad, y se fortalecerá la supervisión del desempeño de los proveedores.  Por otra parte, la seguridad y vigilancia se integrarán plenamente en los procesos de gestión de crisis y en la gestión de la continuidad de las operaciones.</w:t>
      </w:r>
    </w:p>
    <w:p w:rsidR="00236E18" w:rsidRPr="00CC6334" w:rsidRDefault="00236E18" w:rsidP="00236E18">
      <w:pPr>
        <w:pStyle w:val="ListParagraph"/>
        <w:ind w:left="0"/>
        <w:jc w:val="both"/>
        <w:rPr>
          <w:rFonts w:ascii="Arial" w:hAnsi="Arial" w:cs="Arial"/>
          <w:sz w:val="20"/>
          <w:szCs w:val="20"/>
          <w:lang w:val="es-ES"/>
        </w:rPr>
      </w:pPr>
    </w:p>
    <w:p w:rsidR="00236E18" w:rsidRPr="00CC6334" w:rsidRDefault="00236E18" w:rsidP="00236E18">
      <w:pPr>
        <w:pStyle w:val="ListParagraph"/>
        <w:numPr>
          <w:ilvl w:val="0"/>
          <w:numId w:val="44"/>
        </w:numPr>
        <w:tabs>
          <w:tab w:val="left" w:pos="709"/>
        </w:tabs>
        <w:ind w:left="0" w:firstLine="0"/>
        <w:jc w:val="both"/>
        <w:rPr>
          <w:rFonts w:ascii="Arial" w:hAnsi="Arial" w:cs="Arial"/>
          <w:sz w:val="20"/>
          <w:lang w:val="es-ES"/>
        </w:rPr>
      </w:pPr>
      <w:r w:rsidRPr="00CC6334">
        <w:rPr>
          <w:rFonts w:ascii="Arial" w:hAnsi="Arial" w:cs="Arial"/>
          <w:sz w:val="20"/>
          <w:lang w:val="es-ES"/>
        </w:rPr>
        <w:t>Se seguirá prestando atención a la sensibilización entre el personal de la OMPI acerca de las medidas de seguridad física y vigilancia.  Con la introducción de nuevos sistemas de seguridad física y vigilancia, se logrará una mayor integración entre estos sistemas y se retirarán gradualmente los sistemas que se vayan quedando obsoletos.</w:t>
      </w:r>
    </w:p>
    <w:p w:rsidR="00236E18" w:rsidRPr="00CC6334" w:rsidRDefault="00236E18" w:rsidP="00236E18">
      <w:pPr>
        <w:pStyle w:val="ListParagraph"/>
        <w:autoSpaceDE w:val="0"/>
        <w:autoSpaceDN w:val="0"/>
        <w:adjustRightInd w:val="0"/>
        <w:ind w:left="0"/>
        <w:jc w:val="both"/>
        <w:rPr>
          <w:rFonts w:ascii="Arial" w:hAnsi="Arial" w:cs="Arial"/>
          <w:sz w:val="20"/>
          <w:lang w:val="es-ES"/>
        </w:rPr>
      </w:pPr>
    </w:p>
    <w:p w:rsidR="00236E18" w:rsidRPr="00CC6334" w:rsidRDefault="00236E18" w:rsidP="00236E18">
      <w:pPr>
        <w:pStyle w:val="ListParagraph"/>
        <w:autoSpaceDE w:val="0"/>
        <w:autoSpaceDN w:val="0"/>
        <w:adjustRightInd w:val="0"/>
        <w:ind w:left="0"/>
        <w:jc w:val="both"/>
        <w:rPr>
          <w:rFonts w:ascii="Arial" w:hAnsi="Arial" w:cs="Arial"/>
          <w:sz w:val="20"/>
          <w:lang w:val="es-ES"/>
        </w:rPr>
      </w:pPr>
    </w:p>
    <w:p w:rsidR="00236E18" w:rsidRPr="00CC6334" w:rsidRDefault="00236E18" w:rsidP="00236E18">
      <w:r w:rsidRPr="00CC6334">
        <w:t>PRINCIPALES RIESGOS Y ESTRATEGIAS DE MITIGACIÓN</w:t>
      </w:r>
    </w:p>
    <w:p w:rsidR="00236E18" w:rsidRPr="00CC6334" w:rsidRDefault="00236E18" w:rsidP="00236E18">
      <w:pPr>
        <w:rPr>
          <w:sz w:val="20"/>
        </w:rPr>
      </w:pPr>
    </w:p>
    <w:tbl>
      <w:tblPr>
        <w:tblW w:w="9214" w:type="dxa"/>
        <w:tblInd w:w="108" w:type="dxa"/>
        <w:tblCellMar>
          <w:left w:w="0" w:type="dxa"/>
          <w:right w:w="0" w:type="dxa"/>
        </w:tblCellMar>
        <w:tblLook w:val="04A0" w:firstRow="1" w:lastRow="0" w:firstColumn="1" w:lastColumn="0" w:noHBand="0" w:noVBand="1"/>
      </w:tblPr>
      <w:tblGrid>
        <w:gridCol w:w="4111"/>
        <w:gridCol w:w="5103"/>
      </w:tblGrid>
      <w:tr w:rsidR="00236E18" w:rsidRPr="00CC6334" w:rsidTr="00294272">
        <w:trPr>
          <w:trHeight w:val="577"/>
        </w:trPr>
        <w:tc>
          <w:tcPr>
            <w:tcW w:w="4111" w:type="dxa"/>
            <w:tcBorders>
              <w:top w:val="single" w:sz="8" w:space="0" w:color="auto"/>
              <w:left w:val="single" w:sz="8" w:space="0" w:color="auto"/>
              <w:bottom w:val="single" w:sz="8" w:space="0" w:color="auto"/>
              <w:right w:val="nil"/>
            </w:tcBorders>
            <w:shd w:val="clear" w:color="auto" w:fill="C6D9F1" w:themeFill="text2" w:themeFillTint="33"/>
            <w:tcMar>
              <w:top w:w="0" w:type="dxa"/>
              <w:left w:w="108" w:type="dxa"/>
              <w:bottom w:w="0" w:type="dxa"/>
              <w:right w:w="108" w:type="dxa"/>
            </w:tcMar>
            <w:vAlign w:val="center"/>
            <w:hideMark/>
          </w:tcPr>
          <w:p w:rsidR="00236E18" w:rsidRPr="00CC6334" w:rsidRDefault="00236E18" w:rsidP="00294272">
            <w:pPr>
              <w:jc w:val="center"/>
              <w:rPr>
                <w:rFonts w:eastAsiaTheme="minorHAnsi"/>
                <w:b/>
                <w:bCs/>
                <w:sz w:val="18"/>
                <w:szCs w:val="18"/>
              </w:rPr>
            </w:pPr>
            <w:r w:rsidRPr="00CC6334">
              <w:rPr>
                <w:rFonts w:eastAsiaTheme="minorHAnsi"/>
                <w:b/>
                <w:bCs/>
                <w:sz w:val="18"/>
                <w:szCs w:val="18"/>
              </w:rPr>
              <w:t>Riesgo</w:t>
            </w:r>
          </w:p>
        </w:tc>
        <w:tc>
          <w:tcPr>
            <w:tcW w:w="5103" w:type="dxa"/>
            <w:tcBorders>
              <w:top w:val="single" w:sz="8" w:space="0" w:color="auto"/>
              <w:left w:val="nil"/>
              <w:bottom w:val="single" w:sz="8" w:space="0" w:color="auto"/>
              <w:right w:val="single" w:sz="8" w:space="0" w:color="auto"/>
            </w:tcBorders>
            <w:shd w:val="clear" w:color="auto" w:fill="C6D9F1" w:themeFill="text2" w:themeFillTint="33"/>
            <w:tcMar>
              <w:top w:w="0" w:type="dxa"/>
              <w:left w:w="108" w:type="dxa"/>
              <w:bottom w:w="0" w:type="dxa"/>
              <w:right w:w="108" w:type="dxa"/>
            </w:tcMar>
            <w:vAlign w:val="center"/>
            <w:hideMark/>
          </w:tcPr>
          <w:p w:rsidR="00236E18" w:rsidRPr="00CC6334" w:rsidRDefault="00236E18" w:rsidP="00294272">
            <w:pPr>
              <w:jc w:val="center"/>
              <w:rPr>
                <w:rFonts w:eastAsiaTheme="minorHAnsi"/>
                <w:b/>
                <w:bCs/>
                <w:sz w:val="18"/>
                <w:szCs w:val="18"/>
              </w:rPr>
            </w:pPr>
            <w:r w:rsidRPr="00CC6334">
              <w:rPr>
                <w:b/>
                <w:bCs/>
                <w:sz w:val="18"/>
                <w:szCs w:val="18"/>
              </w:rPr>
              <w:t>Mitigación</w:t>
            </w:r>
          </w:p>
        </w:tc>
      </w:tr>
      <w:tr w:rsidR="00236E18" w:rsidRPr="00CC6334" w:rsidTr="00294272">
        <w:trPr>
          <w:trHeight w:val="925"/>
        </w:trPr>
        <w:tc>
          <w:tcPr>
            <w:tcW w:w="4111" w:type="dxa"/>
            <w:tcBorders>
              <w:top w:val="nil"/>
              <w:left w:val="single" w:sz="8" w:space="0" w:color="auto"/>
              <w:right w:val="nil"/>
            </w:tcBorders>
            <w:tcMar>
              <w:top w:w="113" w:type="dxa"/>
              <w:left w:w="108" w:type="dxa"/>
              <w:bottom w:w="113" w:type="dxa"/>
              <w:right w:w="108" w:type="dxa"/>
            </w:tcMar>
            <w:hideMark/>
          </w:tcPr>
          <w:p w:rsidR="00236E18" w:rsidRPr="00CC6334" w:rsidRDefault="00236E18" w:rsidP="00294272">
            <w:pPr>
              <w:rPr>
                <w:sz w:val="16"/>
                <w:szCs w:val="16"/>
              </w:rPr>
            </w:pPr>
            <w:r w:rsidRPr="00CC6334">
              <w:rPr>
                <w:sz w:val="16"/>
                <w:szCs w:val="16"/>
              </w:rPr>
              <w:t>Al igual que otras organizaciones, la OMPI está expuesta al riesgo de ataques en Internet y al de la violación voluntaria o accidental de los datos almacenados y, en consecuencia, a la divulgación no autorizada o a la utilización indebida de información confidencial, o a la perturbación de las actividades de la Organización.  Este hecho puede afectar negativamente al prestigio de la OMPI en cuanto que asesor de confianza y proveedor de servicios a sus clientes y Estados miembros.</w:t>
            </w:r>
          </w:p>
        </w:tc>
        <w:tc>
          <w:tcPr>
            <w:tcW w:w="5103" w:type="dxa"/>
            <w:tcBorders>
              <w:top w:val="nil"/>
              <w:left w:val="nil"/>
              <w:right w:val="single" w:sz="8" w:space="0" w:color="auto"/>
            </w:tcBorders>
            <w:tcMar>
              <w:top w:w="113" w:type="dxa"/>
              <w:left w:w="108" w:type="dxa"/>
              <w:bottom w:w="113" w:type="dxa"/>
              <w:right w:w="108" w:type="dxa"/>
            </w:tcMar>
            <w:hideMark/>
          </w:tcPr>
          <w:p w:rsidR="00236E18" w:rsidRPr="00CC6334" w:rsidRDefault="00236E18" w:rsidP="00294272">
            <w:pPr>
              <w:rPr>
                <w:rFonts w:eastAsiaTheme="minorHAnsi"/>
                <w:sz w:val="16"/>
                <w:szCs w:val="16"/>
              </w:rPr>
            </w:pPr>
            <w:r w:rsidRPr="00CC6334">
              <w:rPr>
                <w:sz w:val="16"/>
                <w:szCs w:val="16"/>
              </w:rPr>
              <w:t xml:space="preserve">La aplicación gradual de una estrategia de aseguramiento de la información adaptada a cada caso permitirá a la OMPI seguir </w:t>
            </w:r>
            <w:r>
              <w:rPr>
                <w:sz w:val="16"/>
                <w:szCs w:val="16"/>
              </w:rPr>
              <w:t>reforzando</w:t>
            </w:r>
            <w:r w:rsidRPr="00CC6334">
              <w:rPr>
                <w:sz w:val="16"/>
                <w:szCs w:val="16"/>
              </w:rPr>
              <w:t xml:space="preserve"> </w:t>
            </w:r>
            <w:r>
              <w:rPr>
                <w:sz w:val="16"/>
                <w:szCs w:val="16"/>
              </w:rPr>
              <w:t>tanto sus</w:t>
            </w:r>
            <w:r w:rsidRPr="00CC6334">
              <w:rPr>
                <w:sz w:val="16"/>
                <w:szCs w:val="16"/>
              </w:rPr>
              <w:t xml:space="preserve"> dispositivos de seguridad de la información </w:t>
            </w:r>
            <w:r>
              <w:rPr>
                <w:sz w:val="16"/>
                <w:szCs w:val="16"/>
              </w:rPr>
              <w:t>como</w:t>
            </w:r>
            <w:r w:rsidRPr="00CC6334">
              <w:rPr>
                <w:sz w:val="16"/>
                <w:szCs w:val="16"/>
              </w:rPr>
              <w:t xml:space="preserve"> la </w:t>
            </w:r>
            <w:r>
              <w:rPr>
                <w:sz w:val="16"/>
                <w:szCs w:val="16"/>
              </w:rPr>
              <w:t>capacidad institucional de reacción</w:t>
            </w:r>
            <w:r w:rsidRPr="00CC6334">
              <w:rPr>
                <w:sz w:val="16"/>
                <w:szCs w:val="16"/>
              </w:rPr>
              <w:t xml:space="preserve"> </w:t>
            </w:r>
            <w:r>
              <w:rPr>
                <w:sz w:val="16"/>
                <w:szCs w:val="16"/>
              </w:rPr>
              <w:t>y recuperación</w:t>
            </w:r>
            <w:r w:rsidRPr="00CC6334">
              <w:rPr>
                <w:sz w:val="16"/>
                <w:szCs w:val="16"/>
              </w:rPr>
              <w:t xml:space="preserve"> en los ámbitos de la gobernanza de la seguridad de la información, las personas, los procesos y la tecnología.</w:t>
            </w:r>
          </w:p>
        </w:tc>
      </w:tr>
      <w:tr w:rsidR="00236E18" w:rsidRPr="00CC6334" w:rsidTr="00294272">
        <w:trPr>
          <w:trHeight w:val="925"/>
        </w:trPr>
        <w:tc>
          <w:tcPr>
            <w:tcW w:w="4111" w:type="dxa"/>
            <w:tcBorders>
              <w:top w:val="nil"/>
              <w:left w:val="single" w:sz="8" w:space="0" w:color="auto"/>
              <w:right w:val="nil"/>
            </w:tcBorders>
            <w:tcMar>
              <w:top w:w="113" w:type="dxa"/>
              <w:left w:w="108" w:type="dxa"/>
              <w:bottom w:w="113" w:type="dxa"/>
              <w:right w:w="108" w:type="dxa"/>
            </w:tcMar>
            <w:hideMark/>
          </w:tcPr>
          <w:p w:rsidR="00236E18" w:rsidRPr="00CC6334" w:rsidRDefault="00236E18" w:rsidP="00294272">
            <w:pPr>
              <w:rPr>
                <w:rFonts w:eastAsiaTheme="minorHAnsi"/>
                <w:bCs/>
                <w:sz w:val="16"/>
                <w:szCs w:val="16"/>
              </w:rPr>
            </w:pPr>
            <w:r w:rsidRPr="00CC6334">
              <w:rPr>
                <w:bCs/>
                <w:sz w:val="16"/>
                <w:szCs w:val="16"/>
              </w:rPr>
              <w:t xml:space="preserve">Riesgos asociados con desastres naturales o causados por el ser humano que afecten al personal de la OMPI, a sus visitantes y a su infraestructura (fuego, explosión, inundaciones, derrumbamientos y fallos técnicos de los sistemas).  Los fallos en la prevención, supervisión y respuesta a estos incidentes pueden causar daños personales, la muerte o afectar gravemente al funcionamiento de la OMPI. </w:t>
            </w:r>
          </w:p>
        </w:tc>
        <w:tc>
          <w:tcPr>
            <w:tcW w:w="5103" w:type="dxa"/>
            <w:tcBorders>
              <w:top w:val="nil"/>
              <w:left w:val="nil"/>
              <w:right w:val="single" w:sz="8" w:space="0" w:color="auto"/>
            </w:tcBorders>
            <w:tcMar>
              <w:top w:w="113" w:type="dxa"/>
              <w:left w:w="108" w:type="dxa"/>
              <w:bottom w:w="113" w:type="dxa"/>
              <w:right w:w="108" w:type="dxa"/>
            </w:tcMar>
            <w:hideMark/>
          </w:tcPr>
          <w:p w:rsidR="00236E18" w:rsidRPr="00CC6334" w:rsidRDefault="00236E18" w:rsidP="00294272">
            <w:pPr>
              <w:rPr>
                <w:rFonts w:eastAsiaTheme="minorHAnsi"/>
                <w:sz w:val="16"/>
                <w:szCs w:val="16"/>
              </w:rPr>
            </w:pPr>
            <w:r w:rsidRPr="00CC6334">
              <w:rPr>
                <w:sz w:val="16"/>
                <w:szCs w:val="16"/>
              </w:rPr>
              <w:t>Planes de emergencia/evacuación y mecanismos de respuesta efectivos para todos los edificios de la sede de la OMPI actualmente en ejecución, incluidas las capacidades de respuesta y coordinación en situaciones de emergencia.  Establecimiento, en 2013, del programa preventivo de inspección de los servicios de seguridad y vigilancia para supervisar y subsanar las deficiencias detectadas y bajo control.</w:t>
            </w:r>
          </w:p>
        </w:tc>
      </w:tr>
      <w:tr w:rsidR="00236E18" w:rsidRPr="00CC6334" w:rsidTr="00294272">
        <w:trPr>
          <w:trHeight w:val="1027"/>
        </w:trPr>
        <w:tc>
          <w:tcPr>
            <w:tcW w:w="4111" w:type="dxa"/>
            <w:tcBorders>
              <w:left w:val="single" w:sz="8" w:space="0" w:color="auto"/>
              <w:bottom w:val="single" w:sz="8" w:space="0" w:color="auto"/>
              <w:right w:val="nil"/>
            </w:tcBorders>
            <w:tcMar>
              <w:top w:w="113" w:type="dxa"/>
              <w:left w:w="108" w:type="dxa"/>
              <w:bottom w:w="113" w:type="dxa"/>
              <w:right w:w="108" w:type="dxa"/>
            </w:tcMar>
            <w:hideMark/>
          </w:tcPr>
          <w:p w:rsidR="00236E18" w:rsidRPr="00CC6334" w:rsidRDefault="00236E18" w:rsidP="00294272">
            <w:pPr>
              <w:rPr>
                <w:rFonts w:eastAsiaTheme="minorHAnsi"/>
                <w:bCs/>
                <w:sz w:val="16"/>
                <w:szCs w:val="16"/>
              </w:rPr>
            </w:pPr>
            <w:r w:rsidRPr="00CC6334">
              <w:rPr>
                <w:bCs/>
                <w:sz w:val="16"/>
                <w:szCs w:val="16"/>
              </w:rPr>
              <w:t>Actos criminales de carácter interno y externo que afecten a la Organización (robos, sabotajes, actos de terrorismo);  acciones malintencionadas que perturben el funcionamiento de la Organización o actos que perturben la labor de la Organización (manifestaciones/disturbios civiles/ grupos anti-globalización o anarquistas).</w:t>
            </w:r>
          </w:p>
        </w:tc>
        <w:tc>
          <w:tcPr>
            <w:tcW w:w="5103" w:type="dxa"/>
            <w:tcBorders>
              <w:left w:val="nil"/>
              <w:bottom w:val="single" w:sz="8" w:space="0" w:color="auto"/>
              <w:right w:val="single" w:sz="8" w:space="0" w:color="auto"/>
            </w:tcBorders>
            <w:tcMar>
              <w:top w:w="113" w:type="dxa"/>
              <w:left w:w="108" w:type="dxa"/>
              <w:bottom w:w="113" w:type="dxa"/>
              <w:right w:w="108" w:type="dxa"/>
            </w:tcMar>
            <w:hideMark/>
          </w:tcPr>
          <w:p w:rsidR="00236E18" w:rsidRPr="00CC6334" w:rsidRDefault="00236E18" w:rsidP="00294272">
            <w:pPr>
              <w:rPr>
                <w:rFonts w:eastAsiaTheme="minorHAnsi"/>
                <w:bCs/>
                <w:sz w:val="16"/>
                <w:szCs w:val="16"/>
              </w:rPr>
            </w:pPr>
            <w:r w:rsidRPr="00CC6334">
              <w:rPr>
                <w:bCs/>
                <w:sz w:val="16"/>
                <w:szCs w:val="16"/>
              </w:rPr>
              <w:t xml:space="preserve">Marco global de seguridad y vigilancia actualmente en vigor, protocolos de gestión de riesgos y círculos concéntricos de control de la seguridad física que incluyen medidas contra las intrusiones, cámaras CCTV y un moderno sistema de acceso a los edificios. </w:t>
            </w:r>
          </w:p>
        </w:tc>
      </w:tr>
    </w:tbl>
    <w:p w:rsidR="00236E18" w:rsidRPr="00CC6334" w:rsidRDefault="00236E18" w:rsidP="00236E18">
      <w:pPr>
        <w:autoSpaceDE w:val="0"/>
        <w:autoSpaceDN w:val="0"/>
        <w:adjustRightInd w:val="0"/>
        <w:jc w:val="both"/>
        <w:rPr>
          <w:sz w:val="20"/>
        </w:rPr>
      </w:pPr>
    </w:p>
    <w:p w:rsidR="00236E18" w:rsidRPr="00CC6334" w:rsidRDefault="00236E18" w:rsidP="00236E18">
      <w:pPr>
        <w:autoSpaceDE w:val="0"/>
        <w:autoSpaceDN w:val="0"/>
        <w:adjustRightInd w:val="0"/>
        <w:jc w:val="both"/>
        <w:rPr>
          <w:sz w:val="20"/>
        </w:rPr>
      </w:pPr>
    </w:p>
    <w:p w:rsidR="00236E18" w:rsidRPr="00CC6334" w:rsidRDefault="00236E18" w:rsidP="00236E18">
      <w:pPr>
        <w:autoSpaceDE w:val="0"/>
        <w:autoSpaceDN w:val="0"/>
        <w:adjustRightInd w:val="0"/>
        <w:jc w:val="both"/>
      </w:pPr>
      <w:r w:rsidRPr="00CC6334">
        <w:lastRenderedPageBreak/>
        <w:t>MARCO DE RESULTADOS</w:t>
      </w:r>
    </w:p>
    <w:p w:rsidR="00236E18" w:rsidRPr="00CC6334" w:rsidRDefault="00236E18" w:rsidP="00236E18">
      <w:pPr>
        <w:autoSpaceDE w:val="0"/>
        <w:autoSpaceDN w:val="0"/>
        <w:adjustRightInd w:val="0"/>
        <w:jc w:val="both"/>
      </w:pPr>
    </w:p>
    <w:tbl>
      <w:tblPr>
        <w:tblW w:w="9120" w:type="dxa"/>
        <w:tblInd w:w="93" w:type="dxa"/>
        <w:tblLook w:val="04A0" w:firstRow="1" w:lastRow="0" w:firstColumn="1" w:lastColumn="0" w:noHBand="0" w:noVBand="1"/>
      </w:tblPr>
      <w:tblGrid>
        <w:gridCol w:w="2060"/>
        <w:gridCol w:w="2520"/>
        <w:gridCol w:w="2280"/>
        <w:gridCol w:w="2260"/>
      </w:tblGrid>
      <w:tr w:rsidR="00236E18" w:rsidRPr="00CC6334" w:rsidTr="00294272">
        <w:trPr>
          <w:trHeight w:val="555"/>
          <w:tblHeader/>
        </w:trPr>
        <w:tc>
          <w:tcPr>
            <w:tcW w:w="2060" w:type="dxa"/>
            <w:tcBorders>
              <w:top w:val="single" w:sz="4" w:space="0" w:color="auto"/>
              <w:left w:val="single" w:sz="4" w:space="0" w:color="auto"/>
              <w:bottom w:val="single" w:sz="4" w:space="0" w:color="auto"/>
              <w:right w:val="nil"/>
            </w:tcBorders>
            <w:shd w:val="clear" w:color="000000" w:fill="C6D9F1" w:themeFill="text2" w:themeFillTint="33"/>
            <w:vAlign w:val="center"/>
            <w:hideMark/>
          </w:tcPr>
          <w:p w:rsidR="00236E18" w:rsidRPr="00CC6334" w:rsidRDefault="00236E18" w:rsidP="00294272">
            <w:pPr>
              <w:jc w:val="center"/>
              <w:rPr>
                <w:b/>
                <w:bCs/>
                <w:sz w:val="18"/>
                <w:szCs w:val="18"/>
              </w:rPr>
            </w:pPr>
            <w:r w:rsidRPr="00CC6334">
              <w:rPr>
                <w:b/>
                <w:bCs/>
                <w:sz w:val="18"/>
                <w:szCs w:val="18"/>
              </w:rPr>
              <w:t>Resultados previstos</w:t>
            </w:r>
          </w:p>
        </w:tc>
        <w:tc>
          <w:tcPr>
            <w:tcW w:w="2520" w:type="dxa"/>
            <w:tcBorders>
              <w:top w:val="single" w:sz="4" w:space="0" w:color="auto"/>
              <w:left w:val="nil"/>
              <w:bottom w:val="single" w:sz="4" w:space="0" w:color="auto"/>
              <w:right w:val="nil"/>
            </w:tcBorders>
            <w:shd w:val="clear" w:color="000000" w:fill="C6D9F1" w:themeFill="text2" w:themeFillTint="33"/>
            <w:vAlign w:val="center"/>
            <w:hideMark/>
          </w:tcPr>
          <w:p w:rsidR="00236E18" w:rsidRPr="00CC6334" w:rsidRDefault="00236E18" w:rsidP="00294272">
            <w:pPr>
              <w:jc w:val="center"/>
              <w:rPr>
                <w:b/>
                <w:bCs/>
                <w:sz w:val="18"/>
                <w:szCs w:val="18"/>
              </w:rPr>
            </w:pPr>
            <w:r w:rsidRPr="00CC6334">
              <w:rPr>
                <w:b/>
                <w:bCs/>
                <w:sz w:val="18"/>
                <w:szCs w:val="18"/>
              </w:rPr>
              <w:t>Indicadores de rendimiento</w:t>
            </w:r>
          </w:p>
        </w:tc>
        <w:tc>
          <w:tcPr>
            <w:tcW w:w="2280" w:type="dxa"/>
            <w:tcBorders>
              <w:top w:val="single" w:sz="4" w:space="0" w:color="auto"/>
              <w:left w:val="nil"/>
              <w:bottom w:val="single" w:sz="4" w:space="0" w:color="auto"/>
              <w:right w:val="nil"/>
            </w:tcBorders>
            <w:shd w:val="clear" w:color="000000" w:fill="C6D9F1" w:themeFill="text2" w:themeFillTint="33"/>
            <w:vAlign w:val="center"/>
            <w:hideMark/>
          </w:tcPr>
          <w:p w:rsidR="00236E18" w:rsidRPr="00CC6334" w:rsidRDefault="00236E18" w:rsidP="00294272">
            <w:pPr>
              <w:jc w:val="center"/>
              <w:rPr>
                <w:b/>
                <w:bCs/>
                <w:sz w:val="18"/>
                <w:szCs w:val="18"/>
              </w:rPr>
            </w:pPr>
            <w:r w:rsidRPr="00CC6334">
              <w:rPr>
                <w:b/>
                <w:bCs/>
                <w:sz w:val="18"/>
                <w:szCs w:val="18"/>
              </w:rPr>
              <w:t>Referencia</w:t>
            </w:r>
          </w:p>
        </w:tc>
        <w:tc>
          <w:tcPr>
            <w:tcW w:w="2260" w:type="dxa"/>
            <w:tcBorders>
              <w:top w:val="single" w:sz="4" w:space="0" w:color="auto"/>
              <w:left w:val="nil"/>
              <w:bottom w:val="single" w:sz="4" w:space="0" w:color="auto"/>
              <w:right w:val="single" w:sz="4" w:space="0" w:color="auto"/>
            </w:tcBorders>
            <w:shd w:val="clear" w:color="000000" w:fill="C6D9F1" w:themeFill="text2" w:themeFillTint="33"/>
            <w:vAlign w:val="center"/>
            <w:hideMark/>
          </w:tcPr>
          <w:p w:rsidR="00236E18" w:rsidRPr="00CC6334" w:rsidRDefault="00236E18" w:rsidP="00294272">
            <w:pPr>
              <w:jc w:val="center"/>
              <w:rPr>
                <w:b/>
                <w:bCs/>
                <w:sz w:val="18"/>
                <w:szCs w:val="18"/>
              </w:rPr>
            </w:pPr>
            <w:r w:rsidRPr="00CC6334">
              <w:rPr>
                <w:b/>
                <w:bCs/>
                <w:sz w:val="18"/>
                <w:szCs w:val="18"/>
              </w:rPr>
              <w:t>Objetivos</w:t>
            </w:r>
          </w:p>
        </w:tc>
      </w:tr>
      <w:tr w:rsidR="00236E18" w:rsidRPr="00CC6334" w:rsidTr="00294272">
        <w:trPr>
          <w:trHeight w:val="1795"/>
        </w:trPr>
        <w:tc>
          <w:tcPr>
            <w:tcW w:w="2060" w:type="dxa"/>
            <w:tcBorders>
              <w:top w:val="single" w:sz="4" w:space="0" w:color="auto"/>
              <w:left w:val="single" w:sz="4" w:space="0" w:color="auto"/>
              <w:right w:val="nil"/>
            </w:tcBorders>
            <w:shd w:val="clear" w:color="000000" w:fill="FFFFFF"/>
            <w:hideMark/>
          </w:tcPr>
          <w:p w:rsidR="00236E18" w:rsidRPr="000160D1" w:rsidRDefault="00236E18" w:rsidP="00294272">
            <w:pPr>
              <w:rPr>
                <w:sz w:val="16"/>
                <w:szCs w:val="16"/>
              </w:rPr>
            </w:pPr>
          </w:p>
          <w:p w:rsidR="00236E18" w:rsidRPr="000160D1" w:rsidRDefault="00236E18" w:rsidP="00294272">
            <w:pPr>
              <w:rPr>
                <w:sz w:val="16"/>
                <w:szCs w:val="16"/>
              </w:rPr>
            </w:pPr>
            <w:r w:rsidRPr="000160D1">
              <w:rPr>
                <w:sz w:val="16"/>
                <w:szCs w:val="16"/>
              </w:rPr>
              <w:t xml:space="preserve">IX.1  </w:t>
            </w:r>
            <w:r w:rsidRPr="000160D1">
              <w:rPr>
                <w:sz w:val="16"/>
                <w:szCs w:val="16"/>
                <w:lang w:val="es-ES_tradnl"/>
              </w:rPr>
              <w:t>Servicios de apoyo eficaces, eficientes, de calidad y orientados al cliente, tanto a los usuarios internos como a las partes interesadas externas</w:t>
            </w:r>
          </w:p>
        </w:tc>
        <w:tc>
          <w:tcPr>
            <w:tcW w:w="2520" w:type="dxa"/>
            <w:tcBorders>
              <w:top w:val="single" w:sz="4" w:space="0" w:color="auto"/>
              <w:left w:val="nil"/>
              <w:right w:val="nil"/>
            </w:tcBorders>
            <w:shd w:val="clear" w:color="000000" w:fill="FFFFFF"/>
            <w:hideMark/>
          </w:tcPr>
          <w:p w:rsidR="00236E18" w:rsidRPr="00CC6334" w:rsidRDefault="00236E18" w:rsidP="00294272">
            <w:pPr>
              <w:rPr>
                <w:sz w:val="16"/>
                <w:szCs w:val="16"/>
              </w:rPr>
            </w:pPr>
          </w:p>
          <w:p w:rsidR="00236E18" w:rsidRPr="00CC6334" w:rsidRDefault="00236E18" w:rsidP="00294272">
            <w:pPr>
              <w:rPr>
                <w:sz w:val="16"/>
                <w:szCs w:val="16"/>
              </w:rPr>
            </w:pPr>
            <w:r w:rsidRPr="00CC6334">
              <w:rPr>
                <w:sz w:val="16"/>
                <w:szCs w:val="16"/>
              </w:rPr>
              <w:t>Definición y fortalecimiento de la gobernanza en materia de aseguramiento de la información.</w:t>
            </w:r>
            <w:r w:rsidRPr="00CC6334">
              <w:rPr>
                <w:sz w:val="16"/>
                <w:szCs w:val="16"/>
              </w:rPr>
              <w:br/>
            </w:r>
            <w:r w:rsidRPr="00CC6334">
              <w:rPr>
                <w:sz w:val="16"/>
                <w:szCs w:val="16"/>
              </w:rPr>
              <w:br/>
            </w:r>
          </w:p>
          <w:p w:rsidR="00236E18" w:rsidRPr="00CC6334" w:rsidRDefault="00236E18" w:rsidP="00294272">
            <w:pPr>
              <w:rPr>
                <w:sz w:val="16"/>
                <w:szCs w:val="16"/>
              </w:rPr>
            </w:pPr>
          </w:p>
          <w:p w:rsidR="00236E18" w:rsidRPr="00CC6334" w:rsidRDefault="00236E18" w:rsidP="00294272">
            <w:pPr>
              <w:rPr>
                <w:sz w:val="16"/>
                <w:szCs w:val="16"/>
              </w:rPr>
            </w:pPr>
            <w:r w:rsidRPr="00CC6334">
              <w:rPr>
                <w:sz w:val="16"/>
                <w:szCs w:val="16"/>
              </w:rPr>
              <w:t>N</w:t>
            </w:r>
            <w:r>
              <w:rPr>
                <w:sz w:val="16"/>
                <w:szCs w:val="16"/>
              </w:rPr>
              <w:t>º</w:t>
            </w:r>
            <w:r w:rsidRPr="00CC6334">
              <w:rPr>
                <w:sz w:val="16"/>
                <w:szCs w:val="16"/>
              </w:rPr>
              <w:t xml:space="preserve"> de miembros del personal consciente de sus responsabilidades con respecto a la seguridad de la información, las políticas de seguridad y las prácticas más extendidas.</w:t>
            </w:r>
          </w:p>
        </w:tc>
        <w:tc>
          <w:tcPr>
            <w:tcW w:w="2280" w:type="dxa"/>
            <w:tcBorders>
              <w:top w:val="single" w:sz="4" w:space="0" w:color="auto"/>
              <w:left w:val="nil"/>
              <w:right w:val="nil"/>
            </w:tcBorders>
            <w:shd w:val="clear" w:color="000000" w:fill="FFFFFF"/>
            <w:hideMark/>
          </w:tcPr>
          <w:p w:rsidR="00236E18" w:rsidRPr="00CC6334" w:rsidRDefault="00236E18" w:rsidP="00294272">
            <w:pPr>
              <w:ind w:firstLineChars="19" w:firstLine="30"/>
              <w:rPr>
                <w:sz w:val="16"/>
                <w:szCs w:val="16"/>
              </w:rPr>
            </w:pPr>
          </w:p>
          <w:p w:rsidR="00236E18" w:rsidRPr="00CC6334" w:rsidRDefault="00236E18" w:rsidP="00294272">
            <w:pPr>
              <w:rPr>
                <w:sz w:val="16"/>
                <w:szCs w:val="16"/>
              </w:rPr>
            </w:pPr>
            <w:r w:rsidRPr="00CC6334">
              <w:rPr>
                <w:sz w:val="16"/>
                <w:szCs w:val="16"/>
              </w:rPr>
              <w:t>Gobernanza limitada del aseguramiento de la información.  Capacidad limitada para ejecutar una estrategia de aseguramiento de la información.</w:t>
            </w:r>
          </w:p>
          <w:p w:rsidR="00236E18" w:rsidRPr="00CC6334" w:rsidRDefault="00236E18" w:rsidP="00294272">
            <w:pPr>
              <w:ind w:firstLineChars="19" w:firstLine="30"/>
              <w:rPr>
                <w:sz w:val="16"/>
                <w:szCs w:val="16"/>
              </w:rPr>
            </w:pPr>
            <w:r w:rsidRPr="00CC6334">
              <w:rPr>
                <w:sz w:val="16"/>
                <w:szCs w:val="16"/>
              </w:rPr>
              <w:br/>
              <w:t>El </w:t>
            </w:r>
            <w:r>
              <w:rPr>
                <w:sz w:val="16"/>
                <w:szCs w:val="16"/>
              </w:rPr>
              <w:t>12</w:t>
            </w:r>
            <w:r w:rsidRPr="00CC6334">
              <w:rPr>
                <w:sz w:val="16"/>
                <w:szCs w:val="16"/>
              </w:rPr>
              <w:t>% de los miembros del personal ha sido víctima de campañas de usurpación de la identidad</w:t>
            </w:r>
            <w:r>
              <w:rPr>
                <w:sz w:val="16"/>
                <w:szCs w:val="16"/>
              </w:rPr>
              <w:t xml:space="preserve"> (promedio basado en 2 campañas de simulación realizadas en 2014 y el primer semestre de 2015)</w:t>
            </w:r>
            <w:r w:rsidRPr="00CC6334">
              <w:rPr>
                <w:sz w:val="16"/>
                <w:szCs w:val="16"/>
              </w:rPr>
              <w:t>.</w:t>
            </w:r>
            <w:r w:rsidRPr="00CC6334">
              <w:rPr>
                <w:sz w:val="16"/>
                <w:szCs w:val="16"/>
              </w:rPr>
              <w:br/>
            </w:r>
          </w:p>
        </w:tc>
        <w:tc>
          <w:tcPr>
            <w:tcW w:w="2260" w:type="dxa"/>
            <w:tcBorders>
              <w:top w:val="single" w:sz="4" w:space="0" w:color="auto"/>
              <w:left w:val="nil"/>
              <w:right w:val="single" w:sz="4" w:space="0" w:color="auto"/>
            </w:tcBorders>
            <w:shd w:val="clear" w:color="000000" w:fill="FFFFFF"/>
            <w:hideMark/>
          </w:tcPr>
          <w:p w:rsidR="00236E18" w:rsidRPr="00CC6334" w:rsidRDefault="00236E18" w:rsidP="00294272">
            <w:pPr>
              <w:ind w:firstLineChars="26" w:firstLine="42"/>
              <w:rPr>
                <w:sz w:val="16"/>
                <w:szCs w:val="16"/>
              </w:rPr>
            </w:pPr>
          </w:p>
          <w:p w:rsidR="00236E18" w:rsidRPr="00CC6334" w:rsidRDefault="00236E18" w:rsidP="00294272">
            <w:pPr>
              <w:rPr>
                <w:sz w:val="16"/>
                <w:szCs w:val="16"/>
              </w:rPr>
            </w:pPr>
            <w:r w:rsidRPr="00CC6334">
              <w:rPr>
                <w:sz w:val="16"/>
                <w:szCs w:val="16"/>
              </w:rPr>
              <w:t>Se aprueba la promulgación del marco de gobernanza del aseguramiento de la información.</w:t>
            </w:r>
            <w:r w:rsidRPr="00CC6334">
              <w:rPr>
                <w:sz w:val="16"/>
                <w:szCs w:val="16"/>
              </w:rPr>
              <w:br/>
            </w:r>
            <w:r w:rsidRPr="00CC6334">
              <w:rPr>
                <w:sz w:val="16"/>
                <w:szCs w:val="16"/>
              </w:rPr>
              <w:br/>
            </w:r>
            <w:r w:rsidRPr="00CC6334">
              <w:rPr>
                <w:sz w:val="16"/>
                <w:szCs w:val="16"/>
              </w:rPr>
              <w:br/>
            </w:r>
          </w:p>
          <w:p w:rsidR="00236E18" w:rsidRPr="00CC6334" w:rsidRDefault="00236E18" w:rsidP="00294272">
            <w:pPr>
              <w:rPr>
                <w:sz w:val="16"/>
                <w:szCs w:val="16"/>
              </w:rPr>
            </w:pPr>
            <w:r w:rsidRPr="00CC6334">
              <w:rPr>
                <w:sz w:val="16"/>
                <w:szCs w:val="16"/>
              </w:rPr>
              <w:t>Menos de un 5% de los miembros del personal ha sido víctima de campañas de usurpación de la identidad.</w:t>
            </w:r>
          </w:p>
        </w:tc>
      </w:tr>
      <w:tr w:rsidR="00236E18" w:rsidRPr="00CC6334" w:rsidTr="00294272">
        <w:trPr>
          <w:trHeight w:val="1558"/>
        </w:trPr>
        <w:tc>
          <w:tcPr>
            <w:tcW w:w="2060" w:type="dxa"/>
            <w:vMerge w:val="restart"/>
            <w:tcBorders>
              <w:left w:val="single" w:sz="4" w:space="0" w:color="auto"/>
              <w:bottom w:val="single" w:sz="4" w:space="0" w:color="000000"/>
              <w:right w:val="nil"/>
            </w:tcBorders>
            <w:shd w:val="clear" w:color="000000" w:fill="FFFFFF"/>
            <w:hideMark/>
          </w:tcPr>
          <w:p w:rsidR="00236E18" w:rsidRPr="000160D1" w:rsidRDefault="00236E18" w:rsidP="00294272">
            <w:pPr>
              <w:rPr>
                <w:sz w:val="16"/>
                <w:szCs w:val="16"/>
              </w:rPr>
            </w:pPr>
          </w:p>
          <w:p w:rsidR="00236E18" w:rsidRPr="000160D1" w:rsidRDefault="00236E18" w:rsidP="00294272">
            <w:pPr>
              <w:rPr>
                <w:sz w:val="16"/>
                <w:szCs w:val="16"/>
              </w:rPr>
            </w:pPr>
            <w:r w:rsidRPr="000160D1">
              <w:rPr>
                <w:sz w:val="16"/>
                <w:szCs w:val="16"/>
              </w:rPr>
              <w:t xml:space="preserve">IX.4  </w:t>
            </w:r>
            <w:r w:rsidRPr="000160D1">
              <w:rPr>
                <w:sz w:val="16"/>
                <w:szCs w:val="16"/>
                <w:lang w:val="es-ES_tradnl"/>
              </w:rPr>
              <w:t>Una Organización responsable con el medio ambiente y la sociedad en la que se garantiza la seguridad del personal de la OMPI, los delegados, los visitantes, la información y los activos físicos</w:t>
            </w:r>
          </w:p>
        </w:tc>
        <w:tc>
          <w:tcPr>
            <w:tcW w:w="2520" w:type="dxa"/>
            <w:tcBorders>
              <w:left w:val="nil"/>
              <w:bottom w:val="nil"/>
              <w:right w:val="nil"/>
            </w:tcBorders>
            <w:shd w:val="clear" w:color="000000" w:fill="FFFFFF"/>
            <w:hideMark/>
          </w:tcPr>
          <w:p w:rsidR="00236E18" w:rsidRPr="00CC6334" w:rsidRDefault="00236E18" w:rsidP="00294272">
            <w:pPr>
              <w:rPr>
                <w:sz w:val="16"/>
                <w:szCs w:val="16"/>
              </w:rPr>
            </w:pPr>
          </w:p>
          <w:p w:rsidR="00236E18" w:rsidRPr="00CC6334" w:rsidRDefault="00236E18" w:rsidP="00294272">
            <w:pPr>
              <w:rPr>
                <w:sz w:val="16"/>
                <w:szCs w:val="16"/>
              </w:rPr>
            </w:pPr>
            <w:r w:rsidRPr="00CC6334">
              <w:rPr>
                <w:sz w:val="16"/>
                <w:szCs w:val="16"/>
              </w:rPr>
              <w:t xml:space="preserve">Porcentaje de riesgos de la información, incluidos los riesgos con respecto a terceros, presentado y gestionado de manera coherente en el marco de la tolerancia de la OMPI a los riesgos. </w:t>
            </w:r>
          </w:p>
        </w:tc>
        <w:tc>
          <w:tcPr>
            <w:tcW w:w="2280" w:type="dxa"/>
            <w:tcBorders>
              <w:left w:val="nil"/>
              <w:bottom w:val="nil"/>
              <w:right w:val="nil"/>
            </w:tcBorders>
            <w:shd w:val="clear" w:color="000000" w:fill="FFFFFF"/>
            <w:hideMark/>
          </w:tcPr>
          <w:p w:rsidR="00236E18" w:rsidRPr="00CC6334" w:rsidRDefault="00236E18" w:rsidP="00294272">
            <w:pPr>
              <w:rPr>
                <w:sz w:val="16"/>
                <w:szCs w:val="16"/>
              </w:rPr>
            </w:pPr>
          </w:p>
          <w:p w:rsidR="00236E18" w:rsidRPr="00CC6334" w:rsidRDefault="00236E18" w:rsidP="00294272">
            <w:pPr>
              <w:rPr>
                <w:sz w:val="16"/>
                <w:szCs w:val="16"/>
              </w:rPr>
            </w:pPr>
            <w:r w:rsidRPr="00CC6334">
              <w:rPr>
                <w:sz w:val="16"/>
                <w:szCs w:val="16"/>
              </w:rPr>
              <w:t xml:space="preserve">Presentación de los riesgos de la información con criterio </w:t>
            </w:r>
            <w:r w:rsidRPr="00CC6334">
              <w:rPr>
                <w:i/>
                <w:sz w:val="16"/>
                <w:szCs w:val="16"/>
              </w:rPr>
              <w:t xml:space="preserve">ad hoc.  </w:t>
            </w:r>
            <w:r w:rsidRPr="00CC6334">
              <w:rPr>
                <w:sz w:val="16"/>
                <w:szCs w:val="16"/>
              </w:rPr>
              <w:t>Riesgos de la información con respecto a terceros no identificados ni gestionados de manera coherente.</w:t>
            </w:r>
          </w:p>
          <w:p w:rsidR="00236E18" w:rsidRPr="00CC6334" w:rsidRDefault="00236E18" w:rsidP="00294272">
            <w:pPr>
              <w:rPr>
                <w:sz w:val="16"/>
                <w:szCs w:val="16"/>
              </w:rPr>
            </w:pPr>
          </w:p>
        </w:tc>
        <w:tc>
          <w:tcPr>
            <w:tcW w:w="2260" w:type="dxa"/>
            <w:tcBorders>
              <w:left w:val="nil"/>
              <w:bottom w:val="nil"/>
              <w:right w:val="single" w:sz="4" w:space="0" w:color="auto"/>
            </w:tcBorders>
            <w:shd w:val="clear" w:color="000000" w:fill="FFFFFF"/>
            <w:hideMark/>
          </w:tcPr>
          <w:p w:rsidR="00236E18" w:rsidRPr="00CC6334" w:rsidRDefault="00236E18" w:rsidP="00294272">
            <w:pPr>
              <w:rPr>
                <w:sz w:val="16"/>
                <w:szCs w:val="16"/>
              </w:rPr>
            </w:pPr>
          </w:p>
          <w:p w:rsidR="00236E18" w:rsidRPr="00CC6334" w:rsidRDefault="00236E18" w:rsidP="00294272">
            <w:pPr>
              <w:rPr>
                <w:sz w:val="16"/>
                <w:szCs w:val="16"/>
              </w:rPr>
            </w:pPr>
            <w:r w:rsidRPr="00CC6334">
              <w:rPr>
                <w:sz w:val="16"/>
                <w:szCs w:val="16"/>
              </w:rPr>
              <w:t>Presentación trimestral de informes de riesgos</w:t>
            </w:r>
            <w:r>
              <w:rPr>
                <w:sz w:val="16"/>
                <w:szCs w:val="16"/>
              </w:rPr>
              <w:t xml:space="preserve"> a la información </w:t>
            </w:r>
            <w:r w:rsidRPr="00CC6334">
              <w:rPr>
                <w:sz w:val="16"/>
                <w:szCs w:val="16"/>
              </w:rPr>
              <w:t>institucional a</w:t>
            </w:r>
            <w:r>
              <w:rPr>
                <w:sz w:val="16"/>
                <w:szCs w:val="16"/>
              </w:rPr>
              <w:t>nte</w:t>
            </w:r>
            <w:r w:rsidRPr="00CC6334">
              <w:rPr>
                <w:sz w:val="16"/>
                <w:szCs w:val="16"/>
              </w:rPr>
              <w:t xml:space="preserve"> los órganos de gobernanza interna del aseguramiento de la información.</w:t>
            </w:r>
          </w:p>
          <w:p w:rsidR="00236E18" w:rsidRPr="00CC6334" w:rsidRDefault="00236E18" w:rsidP="00294272">
            <w:pPr>
              <w:rPr>
                <w:sz w:val="16"/>
                <w:szCs w:val="16"/>
              </w:rPr>
            </w:pPr>
          </w:p>
          <w:p w:rsidR="00236E18" w:rsidRPr="00CC6334" w:rsidRDefault="00236E18" w:rsidP="00294272">
            <w:pPr>
              <w:rPr>
                <w:sz w:val="16"/>
                <w:szCs w:val="16"/>
              </w:rPr>
            </w:pPr>
            <w:r w:rsidRPr="00CC6334">
              <w:rPr>
                <w:sz w:val="16"/>
                <w:szCs w:val="16"/>
              </w:rPr>
              <w:t>Gestión activa de los riesgos de la información con respecto a terceros (&lt;10% alto).</w:t>
            </w:r>
          </w:p>
          <w:p w:rsidR="00236E18" w:rsidRPr="00CC6334" w:rsidRDefault="00236E18" w:rsidP="00294272">
            <w:pPr>
              <w:rPr>
                <w:sz w:val="16"/>
                <w:szCs w:val="16"/>
              </w:rPr>
            </w:pPr>
          </w:p>
        </w:tc>
      </w:tr>
      <w:tr w:rsidR="00236E18" w:rsidRPr="00CC6334" w:rsidTr="00294272">
        <w:trPr>
          <w:trHeight w:val="1815"/>
        </w:trPr>
        <w:tc>
          <w:tcPr>
            <w:tcW w:w="2060" w:type="dxa"/>
            <w:vMerge/>
            <w:tcBorders>
              <w:top w:val="nil"/>
              <w:left w:val="single" w:sz="4" w:space="0" w:color="auto"/>
              <w:bottom w:val="single" w:sz="4" w:space="0" w:color="000000"/>
              <w:right w:val="nil"/>
            </w:tcBorders>
            <w:vAlign w:val="center"/>
            <w:hideMark/>
          </w:tcPr>
          <w:p w:rsidR="00236E18" w:rsidRPr="00CC6334" w:rsidRDefault="00236E18" w:rsidP="00294272">
            <w:pPr>
              <w:rPr>
                <w:sz w:val="16"/>
                <w:szCs w:val="16"/>
              </w:rPr>
            </w:pPr>
          </w:p>
        </w:tc>
        <w:tc>
          <w:tcPr>
            <w:tcW w:w="2520" w:type="dxa"/>
            <w:tcBorders>
              <w:top w:val="nil"/>
              <w:left w:val="nil"/>
              <w:bottom w:val="nil"/>
              <w:right w:val="nil"/>
            </w:tcBorders>
            <w:shd w:val="clear" w:color="000000" w:fill="FFFFFF"/>
            <w:hideMark/>
          </w:tcPr>
          <w:p w:rsidR="00236E18" w:rsidRPr="00CC6334" w:rsidRDefault="00236E18" w:rsidP="00294272">
            <w:pPr>
              <w:rPr>
                <w:sz w:val="16"/>
                <w:szCs w:val="16"/>
              </w:rPr>
            </w:pPr>
            <w:r w:rsidRPr="00CC6334">
              <w:rPr>
                <w:sz w:val="16"/>
                <w:szCs w:val="16"/>
              </w:rPr>
              <w:t>Identificación dinámica y subsanación puntual de las vulnerabilidades en el marco de los niveles de servicio acordados.</w:t>
            </w:r>
            <w:r w:rsidRPr="00CC6334">
              <w:rPr>
                <w:sz w:val="16"/>
                <w:szCs w:val="16"/>
              </w:rPr>
              <w:br/>
            </w:r>
          </w:p>
          <w:p w:rsidR="00236E18" w:rsidRPr="00CC6334" w:rsidRDefault="00236E18" w:rsidP="00294272">
            <w:pPr>
              <w:rPr>
                <w:sz w:val="16"/>
                <w:szCs w:val="16"/>
              </w:rPr>
            </w:pPr>
            <w:r w:rsidRPr="00CC6334">
              <w:rPr>
                <w:sz w:val="16"/>
                <w:szCs w:val="16"/>
              </w:rPr>
              <w:t>Incremento de la observancia de las políticas y las normas de aseguramiento de la información.</w:t>
            </w:r>
          </w:p>
          <w:p w:rsidR="00236E18" w:rsidRPr="00CC6334" w:rsidRDefault="00236E18" w:rsidP="00294272">
            <w:pPr>
              <w:rPr>
                <w:sz w:val="16"/>
                <w:szCs w:val="16"/>
              </w:rPr>
            </w:pPr>
          </w:p>
          <w:p w:rsidR="00236E18" w:rsidRPr="00CC6334" w:rsidRDefault="00236E18" w:rsidP="00294272">
            <w:pPr>
              <w:rPr>
                <w:sz w:val="16"/>
                <w:szCs w:val="16"/>
              </w:rPr>
            </w:pPr>
          </w:p>
        </w:tc>
        <w:tc>
          <w:tcPr>
            <w:tcW w:w="2280" w:type="dxa"/>
            <w:tcBorders>
              <w:top w:val="nil"/>
              <w:left w:val="nil"/>
              <w:bottom w:val="nil"/>
              <w:right w:val="nil"/>
            </w:tcBorders>
            <w:shd w:val="clear" w:color="000000" w:fill="FFFFFF"/>
            <w:hideMark/>
          </w:tcPr>
          <w:p w:rsidR="00236E18" w:rsidRPr="00CC6334" w:rsidRDefault="00236E18" w:rsidP="00294272">
            <w:pPr>
              <w:rPr>
                <w:sz w:val="16"/>
                <w:szCs w:val="16"/>
              </w:rPr>
            </w:pPr>
            <w:r w:rsidRPr="00CC6334">
              <w:rPr>
                <w:sz w:val="16"/>
                <w:szCs w:val="16"/>
              </w:rPr>
              <w:t>Identificación y subsanación en forma limitada de las vulnerabilidades relativas a la seguridad de la información.</w:t>
            </w:r>
            <w:r w:rsidRPr="00CC6334">
              <w:rPr>
                <w:sz w:val="16"/>
                <w:szCs w:val="16"/>
              </w:rPr>
              <w:br/>
              <w:t xml:space="preserve"> </w:t>
            </w:r>
            <w:r w:rsidRPr="00CC6334">
              <w:rPr>
                <w:sz w:val="16"/>
                <w:szCs w:val="16"/>
              </w:rPr>
              <w:br/>
              <w:t xml:space="preserve">El cumplimiento y obtención del certificado de las normas ISO 27001 se limita a los procedimientos del PCT. </w:t>
            </w:r>
          </w:p>
        </w:tc>
        <w:tc>
          <w:tcPr>
            <w:tcW w:w="2260" w:type="dxa"/>
            <w:tcBorders>
              <w:top w:val="nil"/>
              <w:left w:val="nil"/>
              <w:bottom w:val="nil"/>
              <w:right w:val="single" w:sz="4" w:space="0" w:color="auto"/>
            </w:tcBorders>
            <w:shd w:val="clear" w:color="000000" w:fill="FFFFFF"/>
            <w:hideMark/>
          </w:tcPr>
          <w:p w:rsidR="00236E18" w:rsidRPr="00CC6334" w:rsidRDefault="00236E18" w:rsidP="00294272">
            <w:pPr>
              <w:rPr>
                <w:sz w:val="16"/>
                <w:szCs w:val="16"/>
              </w:rPr>
            </w:pPr>
            <w:r w:rsidRPr="00CC6334">
              <w:rPr>
                <w:sz w:val="16"/>
                <w:szCs w:val="16"/>
              </w:rPr>
              <w:t>Identificación y subsanación de vulnerabilidades en un 90% de los activos de información confidencial.</w:t>
            </w:r>
          </w:p>
          <w:p w:rsidR="00236E18" w:rsidRPr="00CC6334" w:rsidRDefault="00236E18" w:rsidP="00294272">
            <w:pPr>
              <w:rPr>
                <w:sz w:val="16"/>
                <w:szCs w:val="16"/>
              </w:rPr>
            </w:pPr>
            <w:r w:rsidRPr="00CC6334">
              <w:rPr>
                <w:sz w:val="16"/>
                <w:szCs w:val="16"/>
              </w:rPr>
              <w:br/>
            </w:r>
          </w:p>
          <w:p w:rsidR="00236E18" w:rsidRPr="00CC6334" w:rsidRDefault="00236E18" w:rsidP="00294272">
            <w:pPr>
              <w:rPr>
                <w:sz w:val="16"/>
                <w:szCs w:val="16"/>
              </w:rPr>
            </w:pPr>
            <w:r w:rsidRPr="00CC6334">
              <w:rPr>
                <w:sz w:val="16"/>
                <w:szCs w:val="16"/>
              </w:rPr>
              <w:t xml:space="preserve">El cumplimiento y la obtención del certificado de las normas ISO 27001 se hacen extensivos a los procedimientos del Sistema de Madrid, </w:t>
            </w:r>
            <w:r>
              <w:rPr>
                <w:sz w:val="16"/>
                <w:szCs w:val="16"/>
              </w:rPr>
              <w:t>La Haya</w:t>
            </w:r>
            <w:r w:rsidRPr="00CC6334">
              <w:rPr>
                <w:sz w:val="16"/>
                <w:szCs w:val="16"/>
              </w:rPr>
              <w:t xml:space="preserve"> y los RR.HH.</w:t>
            </w:r>
          </w:p>
          <w:p w:rsidR="00236E18" w:rsidRPr="00CC6334" w:rsidRDefault="00236E18" w:rsidP="00294272">
            <w:pPr>
              <w:rPr>
                <w:sz w:val="16"/>
                <w:szCs w:val="16"/>
              </w:rPr>
            </w:pPr>
          </w:p>
        </w:tc>
      </w:tr>
      <w:tr w:rsidR="00236E18" w:rsidRPr="00CC6334" w:rsidTr="00294272">
        <w:trPr>
          <w:trHeight w:val="1841"/>
        </w:trPr>
        <w:tc>
          <w:tcPr>
            <w:tcW w:w="2060" w:type="dxa"/>
            <w:vMerge/>
            <w:tcBorders>
              <w:top w:val="nil"/>
              <w:left w:val="single" w:sz="4" w:space="0" w:color="auto"/>
              <w:bottom w:val="single" w:sz="4" w:space="0" w:color="auto"/>
              <w:right w:val="nil"/>
            </w:tcBorders>
            <w:vAlign w:val="center"/>
            <w:hideMark/>
          </w:tcPr>
          <w:p w:rsidR="00236E18" w:rsidRPr="00CC6334" w:rsidRDefault="00236E18" w:rsidP="00294272">
            <w:pPr>
              <w:rPr>
                <w:sz w:val="16"/>
                <w:szCs w:val="16"/>
              </w:rPr>
            </w:pPr>
          </w:p>
        </w:tc>
        <w:tc>
          <w:tcPr>
            <w:tcW w:w="2520" w:type="dxa"/>
            <w:tcBorders>
              <w:top w:val="nil"/>
              <w:left w:val="nil"/>
              <w:right w:val="nil"/>
            </w:tcBorders>
            <w:shd w:val="clear" w:color="000000" w:fill="FFFFFF"/>
            <w:hideMark/>
          </w:tcPr>
          <w:p w:rsidR="00236E18" w:rsidRPr="00CC6334" w:rsidRDefault="00236E18" w:rsidP="00294272">
            <w:pPr>
              <w:rPr>
                <w:sz w:val="16"/>
                <w:szCs w:val="16"/>
              </w:rPr>
            </w:pPr>
            <w:r w:rsidRPr="00CC6334">
              <w:rPr>
                <w:sz w:val="16"/>
                <w:szCs w:val="16"/>
              </w:rPr>
              <w:t>Amplia adopción de la política de clasificación y gestión de la información para asegurar la confidencialidad de la información.</w:t>
            </w:r>
            <w:r w:rsidRPr="00CC6334">
              <w:rPr>
                <w:sz w:val="16"/>
                <w:szCs w:val="16"/>
              </w:rPr>
              <w:br/>
              <w:t xml:space="preserve"> </w:t>
            </w:r>
            <w:r w:rsidRPr="00CC6334">
              <w:rPr>
                <w:sz w:val="16"/>
                <w:szCs w:val="16"/>
              </w:rPr>
              <w:br/>
              <w:t>Se reduce la necesidad de duplicación de las capacidades técnicas de seguridad de la información mediante la aplicación de modelos reutilizables de arquitectura de la seguridad.</w:t>
            </w:r>
            <w:r>
              <w:rPr>
                <w:sz w:val="16"/>
                <w:szCs w:val="16"/>
              </w:rPr>
              <w:br/>
            </w:r>
          </w:p>
        </w:tc>
        <w:tc>
          <w:tcPr>
            <w:tcW w:w="2280" w:type="dxa"/>
            <w:tcBorders>
              <w:top w:val="nil"/>
              <w:left w:val="nil"/>
              <w:right w:val="nil"/>
            </w:tcBorders>
            <w:shd w:val="clear" w:color="000000" w:fill="FFFFFF"/>
            <w:hideMark/>
          </w:tcPr>
          <w:p w:rsidR="00236E18" w:rsidRPr="00CC6334" w:rsidRDefault="00236E18" w:rsidP="00294272">
            <w:pPr>
              <w:rPr>
                <w:sz w:val="16"/>
                <w:szCs w:val="16"/>
              </w:rPr>
            </w:pPr>
            <w:r w:rsidRPr="00CC6334">
              <w:rPr>
                <w:sz w:val="16"/>
                <w:szCs w:val="16"/>
              </w:rPr>
              <w:t>Adopción limitada de la política de gestión y clasificación de la información.</w:t>
            </w:r>
            <w:r w:rsidRPr="00CC6334">
              <w:rPr>
                <w:sz w:val="16"/>
                <w:szCs w:val="16"/>
              </w:rPr>
              <w:br/>
            </w:r>
            <w:r w:rsidRPr="00CC6334">
              <w:rPr>
                <w:sz w:val="16"/>
                <w:szCs w:val="16"/>
              </w:rPr>
              <w:br/>
            </w:r>
            <w:r w:rsidRPr="00CC6334">
              <w:rPr>
                <w:sz w:val="16"/>
                <w:szCs w:val="16"/>
              </w:rPr>
              <w:br/>
              <w:t>Aplicación desigual y limitada de las capacidades de seguridad, lo que reduce la flexibilidad y las posibilidades de reutilizar las capacidades.</w:t>
            </w:r>
          </w:p>
        </w:tc>
        <w:tc>
          <w:tcPr>
            <w:tcW w:w="2260" w:type="dxa"/>
            <w:tcBorders>
              <w:top w:val="nil"/>
              <w:left w:val="nil"/>
              <w:right w:val="single" w:sz="4" w:space="0" w:color="auto"/>
            </w:tcBorders>
            <w:shd w:val="clear" w:color="000000" w:fill="FFFFFF"/>
            <w:hideMark/>
          </w:tcPr>
          <w:p w:rsidR="00236E18" w:rsidRPr="00CC6334" w:rsidRDefault="00236E18" w:rsidP="00294272">
            <w:pPr>
              <w:rPr>
                <w:sz w:val="16"/>
                <w:szCs w:val="16"/>
              </w:rPr>
            </w:pPr>
            <w:r w:rsidRPr="00CC6334">
              <w:rPr>
                <w:sz w:val="16"/>
                <w:szCs w:val="16"/>
              </w:rPr>
              <w:t>Aumenta en un 40% el nivel de adopción de la política de gestión y clasificación de la información.</w:t>
            </w:r>
            <w:r w:rsidRPr="00CC6334">
              <w:rPr>
                <w:sz w:val="16"/>
                <w:szCs w:val="16"/>
              </w:rPr>
              <w:br/>
            </w:r>
            <w:r w:rsidRPr="00CC6334">
              <w:rPr>
                <w:sz w:val="16"/>
                <w:szCs w:val="16"/>
              </w:rPr>
              <w:br/>
              <w:t>Se implanta una nueva arquitectura de referencia de la seguridad para aumentar en un 30% la flexibilidad y la reutilización de las capacidades de seguridad.</w:t>
            </w:r>
          </w:p>
        </w:tc>
      </w:tr>
      <w:tr w:rsidR="00236E18" w:rsidRPr="00CC6334" w:rsidTr="00294272">
        <w:trPr>
          <w:trHeight w:val="1272"/>
        </w:trPr>
        <w:tc>
          <w:tcPr>
            <w:tcW w:w="2060" w:type="dxa"/>
            <w:vMerge/>
            <w:tcBorders>
              <w:top w:val="single" w:sz="4" w:space="0" w:color="auto"/>
              <w:left w:val="single" w:sz="4" w:space="0" w:color="auto"/>
              <w:bottom w:val="single" w:sz="4" w:space="0" w:color="000000"/>
              <w:right w:val="nil"/>
            </w:tcBorders>
            <w:vAlign w:val="center"/>
            <w:hideMark/>
          </w:tcPr>
          <w:p w:rsidR="00236E18" w:rsidRPr="00CC6334" w:rsidRDefault="00236E18" w:rsidP="00294272">
            <w:pPr>
              <w:rPr>
                <w:sz w:val="16"/>
                <w:szCs w:val="16"/>
              </w:rPr>
            </w:pPr>
          </w:p>
        </w:tc>
        <w:tc>
          <w:tcPr>
            <w:tcW w:w="2520" w:type="dxa"/>
            <w:tcBorders>
              <w:left w:val="nil"/>
              <w:bottom w:val="single" w:sz="4" w:space="0" w:color="auto"/>
              <w:right w:val="nil"/>
            </w:tcBorders>
            <w:shd w:val="clear" w:color="000000" w:fill="FFFFFF"/>
            <w:hideMark/>
          </w:tcPr>
          <w:p w:rsidR="00236E18" w:rsidRPr="00CC6334" w:rsidRDefault="00236E18" w:rsidP="00294272">
            <w:pPr>
              <w:rPr>
                <w:sz w:val="16"/>
                <w:szCs w:val="16"/>
              </w:rPr>
            </w:pPr>
            <w:r w:rsidRPr="00CC6334">
              <w:rPr>
                <w:sz w:val="16"/>
                <w:szCs w:val="16"/>
              </w:rPr>
              <w:t>Mayor capacidad para detectar amenazas contra la seguridad de la información y dar respuesta a las mismas con mucha mayor rapidez, garantizando la mínima perturbación de las operaciones.</w:t>
            </w:r>
            <w:r>
              <w:rPr>
                <w:sz w:val="16"/>
                <w:szCs w:val="16"/>
              </w:rPr>
              <w:br/>
            </w:r>
          </w:p>
        </w:tc>
        <w:tc>
          <w:tcPr>
            <w:tcW w:w="2280" w:type="dxa"/>
            <w:tcBorders>
              <w:left w:val="nil"/>
              <w:bottom w:val="single" w:sz="4" w:space="0" w:color="auto"/>
              <w:right w:val="nil"/>
            </w:tcBorders>
            <w:shd w:val="clear" w:color="000000" w:fill="FFFFFF"/>
            <w:hideMark/>
          </w:tcPr>
          <w:p w:rsidR="00236E18" w:rsidRPr="00CC6334" w:rsidRDefault="00236E18" w:rsidP="00294272">
            <w:pPr>
              <w:rPr>
                <w:sz w:val="16"/>
                <w:szCs w:val="16"/>
              </w:rPr>
            </w:pPr>
            <w:r w:rsidRPr="00CC6334">
              <w:rPr>
                <w:sz w:val="16"/>
                <w:szCs w:val="16"/>
              </w:rPr>
              <w:t>Existencia de operaciones básicas de seguridad, estudios de amenazas en Internet y capacida</w:t>
            </w:r>
            <w:r>
              <w:rPr>
                <w:sz w:val="16"/>
                <w:szCs w:val="16"/>
              </w:rPr>
              <w:t>d de respuesta a los incidentes</w:t>
            </w:r>
          </w:p>
        </w:tc>
        <w:tc>
          <w:tcPr>
            <w:tcW w:w="2260" w:type="dxa"/>
            <w:tcBorders>
              <w:left w:val="nil"/>
              <w:bottom w:val="single" w:sz="4" w:space="0" w:color="auto"/>
              <w:right w:val="single" w:sz="4" w:space="0" w:color="auto"/>
            </w:tcBorders>
            <w:shd w:val="clear" w:color="000000" w:fill="FFFFFF"/>
            <w:hideMark/>
          </w:tcPr>
          <w:p w:rsidR="00236E18" w:rsidRPr="00CC6334" w:rsidRDefault="00236E18" w:rsidP="00294272">
            <w:pPr>
              <w:rPr>
                <w:sz w:val="16"/>
                <w:szCs w:val="16"/>
              </w:rPr>
            </w:pPr>
            <w:r w:rsidRPr="00CC6334">
              <w:rPr>
                <w:sz w:val="16"/>
                <w:szCs w:val="16"/>
              </w:rPr>
              <w:t>Creación de un centro de seguridad en Internet mediante el cual se incremente en un 30% la capacidad de supervisar, detectar y dar respuesta a los incidentes</w:t>
            </w:r>
            <w:r>
              <w:rPr>
                <w:sz w:val="16"/>
                <w:szCs w:val="16"/>
              </w:rPr>
              <w:t xml:space="preserve"> de seguridad de la información</w:t>
            </w:r>
          </w:p>
        </w:tc>
      </w:tr>
      <w:tr w:rsidR="00236E18" w:rsidRPr="00CC6334" w:rsidTr="00294272">
        <w:trPr>
          <w:trHeight w:val="895"/>
        </w:trPr>
        <w:tc>
          <w:tcPr>
            <w:tcW w:w="2060" w:type="dxa"/>
            <w:vMerge/>
            <w:tcBorders>
              <w:top w:val="nil"/>
              <w:left w:val="single" w:sz="4" w:space="0" w:color="auto"/>
              <w:bottom w:val="single" w:sz="4" w:space="0" w:color="auto"/>
              <w:right w:val="nil"/>
            </w:tcBorders>
            <w:vAlign w:val="center"/>
            <w:hideMark/>
          </w:tcPr>
          <w:p w:rsidR="00236E18" w:rsidRPr="00CC6334" w:rsidRDefault="00236E18" w:rsidP="00294272">
            <w:pPr>
              <w:rPr>
                <w:sz w:val="16"/>
                <w:szCs w:val="16"/>
              </w:rPr>
            </w:pPr>
          </w:p>
        </w:tc>
        <w:tc>
          <w:tcPr>
            <w:tcW w:w="2520" w:type="dxa"/>
            <w:tcBorders>
              <w:top w:val="single" w:sz="4" w:space="0" w:color="auto"/>
              <w:left w:val="nil"/>
              <w:bottom w:val="single" w:sz="4" w:space="0" w:color="auto"/>
              <w:right w:val="nil"/>
            </w:tcBorders>
            <w:shd w:val="clear" w:color="000000" w:fill="FFFFFF"/>
            <w:hideMark/>
          </w:tcPr>
          <w:p w:rsidR="00236E18" w:rsidRPr="002D0E6B" w:rsidRDefault="00236E18" w:rsidP="00294272">
            <w:pPr>
              <w:rPr>
                <w:sz w:val="16"/>
                <w:szCs w:val="16"/>
              </w:rPr>
            </w:pPr>
            <w:r w:rsidRPr="002D0E6B">
              <w:rPr>
                <w:sz w:val="16"/>
                <w:szCs w:val="16"/>
              </w:rPr>
              <w:t>Porcentaje de miembros del personal de la OMPI, delegados y visitantes que comunican lesiones o incidentes relacionados con el trabajo</w:t>
            </w:r>
          </w:p>
        </w:tc>
        <w:tc>
          <w:tcPr>
            <w:tcW w:w="2280" w:type="dxa"/>
            <w:tcBorders>
              <w:top w:val="single" w:sz="4" w:space="0" w:color="auto"/>
              <w:left w:val="nil"/>
              <w:bottom w:val="single" w:sz="4" w:space="0" w:color="auto"/>
              <w:right w:val="nil"/>
            </w:tcBorders>
            <w:shd w:val="clear" w:color="000000" w:fill="FFFFFF"/>
            <w:hideMark/>
          </w:tcPr>
          <w:p w:rsidR="00236E18" w:rsidRPr="00CC6334" w:rsidRDefault="00236E18" w:rsidP="00294272">
            <w:pPr>
              <w:rPr>
                <w:sz w:val="16"/>
                <w:szCs w:val="16"/>
              </w:rPr>
            </w:pPr>
            <w:r w:rsidRPr="00CC6334">
              <w:rPr>
                <w:sz w:val="16"/>
                <w:szCs w:val="16"/>
              </w:rPr>
              <w:t>El 2% o un porcentaje menor del total de sectores interesados/clientes notifica lesiones o incidentes relacionados con el entorno laboral.</w:t>
            </w:r>
          </w:p>
        </w:tc>
        <w:tc>
          <w:tcPr>
            <w:tcW w:w="2260" w:type="dxa"/>
            <w:tcBorders>
              <w:top w:val="single" w:sz="4" w:space="0" w:color="auto"/>
              <w:left w:val="nil"/>
              <w:bottom w:val="single" w:sz="4" w:space="0" w:color="auto"/>
              <w:right w:val="single" w:sz="4" w:space="0" w:color="auto"/>
            </w:tcBorders>
            <w:shd w:val="clear" w:color="000000" w:fill="FFFFFF"/>
            <w:hideMark/>
          </w:tcPr>
          <w:p w:rsidR="00236E18" w:rsidRPr="00CC6334" w:rsidRDefault="00236E18" w:rsidP="00294272">
            <w:pPr>
              <w:rPr>
                <w:sz w:val="16"/>
                <w:szCs w:val="16"/>
              </w:rPr>
            </w:pPr>
            <w:r w:rsidRPr="00CC6334">
              <w:rPr>
                <w:sz w:val="16"/>
                <w:szCs w:val="16"/>
              </w:rPr>
              <w:t>2% o menos.</w:t>
            </w:r>
          </w:p>
        </w:tc>
      </w:tr>
      <w:tr w:rsidR="00236E18" w:rsidRPr="00CC6334" w:rsidTr="00294272">
        <w:trPr>
          <w:trHeight w:val="1327"/>
        </w:trPr>
        <w:tc>
          <w:tcPr>
            <w:tcW w:w="2060" w:type="dxa"/>
            <w:vMerge/>
            <w:tcBorders>
              <w:top w:val="single" w:sz="4" w:space="0" w:color="auto"/>
              <w:left w:val="single" w:sz="4" w:space="0" w:color="auto"/>
              <w:bottom w:val="single" w:sz="4" w:space="0" w:color="000000"/>
              <w:right w:val="nil"/>
            </w:tcBorders>
            <w:vAlign w:val="center"/>
            <w:hideMark/>
          </w:tcPr>
          <w:p w:rsidR="00236E18" w:rsidRPr="00CC6334" w:rsidRDefault="00236E18" w:rsidP="00294272">
            <w:pPr>
              <w:rPr>
                <w:sz w:val="16"/>
                <w:szCs w:val="16"/>
              </w:rPr>
            </w:pPr>
          </w:p>
        </w:tc>
        <w:tc>
          <w:tcPr>
            <w:tcW w:w="2520" w:type="dxa"/>
            <w:tcBorders>
              <w:top w:val="single" w:sz="4" w:space="0" w:color="auto"/>
              <w:left w:val="nil"/>
              <w:bottom w:val="single" w:sz="4" w:space="0" w:color="auto"/>
              <w:right w:val="nil"/>
            </w:tcBorders>
            <w:shd w:val="clear" w:color="000000" w:fill="FFFFFF"/>
            <w:hideMark/>
          </w:tcPr>
          <w:p w:rsidR="00236E18" w:rsidRPr="00CC6334" w:rsidRDefault="00236E18" w:rsidP="00294272">
            <w:pPr>
              <w:rPr>
                <w:sz w:val="16"/>
                <w:szCs w:val="16"/>
              </w:rPr>
            </w:pPr>
            <w:r>
              <w:rPr>
                <w:sz w:val="16"/>
                <w:szCs w:val="16"/>
              </w:rPr>
              <w:br/>
            </w:r>
            <w:r w:rsidRPr="00CC6334">
              <w:rPr>
                <w:sz w:val="16"/>
                <w:szCs w:val="16"/>
              </w:rPr>
              <w:t>Porcentaje de peticiones de asistencia relativa a la seguridad atendidas puntualmente en las conferencias o actividades organizadas en Ginebra o en otros lugares.</w:t>
            </w:r>
          </w:p>
        </w:tc>
        <w:tc>
          <w:tcPr>
            <w:tcW w:w="2280" w:type="dxa"/>
            <w:tcBorders>
              <w:top w:val="single" w:sz="4" w:space="0" w:color="auto"/>
              <w:left w:val="nil"/>
              <w:bottom w:val="single" w:sz="4" w:space="0" w:color="auto"/>
              <w:right w:val="nil"/>
            </w:tcBorders>
            <w:shd w:val="clear" w:color="000000" w:fill="FFFFFF"/>
            <w:hideMark/>
          </w:tcPr>
          <w:p w:rsidR="00236E18" w:rsidRDefault="00236E18" w:rsidP="00294272">
            <w:pPr>
              <w:rPr>
                <w:sz w:val="16"/>
                <w:szCs w:val="16"/>
              </w:rPr>
            </w:pPr>
            <w:r>
              <w:rPr>
                <w:sz w:val="16"/>
                <w:szCs w:val="16"/>
              </w:rPr>
              <w:br/>
            </w:r>
            <w:r w:rsidRPr="00CC6334">
              <w:rPr>
                <w:sz w:val="16"/>
                <w:szCs w:val="16"/>
              </w:rPr>
              <w:t>Se atiende puntualmente el 90% o más del total de las peticiones de asistencia de seguridad y vigilancia de los sectores interesados/clientes en las conferencias o actos celebrados dentro o fuera de Ginebra.</w:t>
            </w:r>
          </w:p>
          <w:p w:rsidR="00236E18" w:rsidRPr="00CC6334" w:rsidRDefault="00236E18" w:rsidP="00294272">
            <w:pPr>
              <w:rPr>
                <w:sz w:val="16"/>
                <w:szCs w:val="16"/>
              </w:rPr>
            </w:pPr>
          </w:p>
        </w:tc>
        <w:tc>
          <w:tcPr>
            <w:tcW w:w="2260" w:type="dxa"/>
            <w:tcBorders>
              <w:top w:val="single" w:sz="4" w:space="0" w:color="auto"/>
              <w:left w:val="nil"/>
              <w:bottom w:val="single" w:sz="4" w:space="0" w:color="auto"/>
              <w:right w:val="single" w:sz="4" w:space="0" w:color="auto"/>
            </w:tcBorders>
            <w:shd w:val="clear" w:color="000000" w:fill="FFFFFF"/>
            <w:hideMark/>
          </w:tcPr>
          <w:p w:rsidR="00236E18" w:rsidRPr="00CC6334" w:rsidRDefault="00236E18" w:rsidP="00294272">
            <w:pPr>
              <w:rPr>
                <w:sz w:val="16"/>
                <w:szCs w:val="16"/>
              </w:rPr>
            </w:pPr>
            <w:r>
              <w:rPr>
                <w:sz w:val="16"/>
                <w:szCs w:val="16"/>
              </w:rPr>
              <w:br/>
            </w:r>
            <w:r w:rsidRPr="00CC6334">
              <w:rPr>
                <w:sz w:val="16"/>
                <w:szCs w:val="16"/>
              </w:rPr>
              <w:t>90% o más.</w:t>
            </w:r>
          </w:p>
        </w:tc>
      </w:tr>
    </w:tbl>
    <w:p w:rsidR="00236E18" w:rsidRDefault="00236E18" w:rsidP="00236E18">
      <w:pPr>
        <w:shd w:val="clear" w:color="auto" w:fill="FFFFFF"/>
        <w:tabs>
          <w:tab w:val="left" w:pos="709"/>
        </w:tabs>
        <w:suppressAutoHyphens/>
        <w:jc w:val="both"/>
        <w:rPr>
          <w:szCs w:val="22"/>
        </w:rPr>
      </w:pPr>
    </w:p>
    <w:p w:rsidR="00236E18" w:rsidRDefault="00236E18" w:rsidP="00236E18">
      <w:pPr>
        <w:shd w:val="clear" w:color="auto" w:fill="FFFFFF"/>
        <w:tabs>
          <w:tab w:val="left" w:pos="709"/>
        </w:tabs>
        <w:suppressAutoHyphens/>
        <w:jc w:val="both"/>
        <w:rPr>
          <w:szCs w:val="22"/>
        </w:rPr>
      </w:pPr>
    </w:p>
    <w:p w:rsidR="00236E18" w:rsidRPr="003F46BE" w:rsidRDefault="00236E18" w:rsidP="00236E18">
      <w:pPr>
        <w:rPr>
          <w:sz w:val="20"/>
        </w:rPr>
      </w:pPr>
      <w:r>
        <w:t>RECURSOS PARA EL PROGRAMA</w:t>
      </w:r>
      <w:r w:rsidRPr="003F46BE">
        <w:t xml:space="preserve"> 28</w:t>
      </w:r>
    </w:p>
    <w:p w:rsidR="00236E18" w:rsidRPr="00783702" w:rsidRDefault="00236E18" w:rsidP="00236E18">
      <w:pPr>
        <w:pStyle w:val="Default"/>
        <w:rPr>
          <w:sz w:val="20"/>
          <w:szCs w:val="28"/>
          <w:lang w:val="es-ES"/>
        </w:rPr>
      </w:pPr>
    </w:p>
    <w:p w:rsidR="00236E18" w:rsidRPr="003F46BE" w:rsidRDefault="00236E18" w:rsidP="00236E18">
      <w:pPr>
        <w:pStyle w:val="ListParagraph"/>
        <w:numPr>
          <w:ilvl w:val="0"/>
          <w:numId w:val="44"/>
        </w:numPr>
        <w:tabs>
          <w:tab w:val="left" w:pos="709"/>
        </w:tabs>
        <w:ind w:left="0" w:firstLine="0"/>
        <w:jc w:val="both"/>
        <w:rPr>
          <w:rFonts w:ascii="Arial" w:hAnsi="Arial" w:cs="Arial"/>
          <w:sz w:val="20"/>
          <w:lang w:val="es-ES"/>
        </w:rPr>
      </w:pPr>
      <w:r w:rsidRPr="003F46BE">
        <w:rPr>
          <w:rFonts w:ascii="Arial" w:hAnsi="Arial" w:cs="Arial"/>
          <w:sz w:val="20"/>
          <w:szCs w:val="20"/>
          <w:lang w:val="es-ES"/>
        </w:rPr>
        <w:t>En el marco del programa puede observarse un incremento global de 6,9 millones de francos suizos con respecto al presupuesto de 2014/</w:t>
      </w:r>
      <w:r>
        <w:rPr>
          <w:rFonts w:ascii="Arial" w:hAnsi="Arial" w:cs="Arial"/>
          <w:sz w:val="20"/>
          <w:szCs w:val="20"/>
          <w:lang w:val="es-ES"/>
        </w:rPr>
        <w:t>15 tras las</w:t>
      </w:r>
      <w:r w:rsidRPr="003F46BE">
        <w:rPr>
          <w:rFonts w:ascii="Arial" w:hAnsi="Arial" w:cs="Arial"/>
          <w:sz w:val="20"/>
          <w:szCs w:val="20"/>
          <w:lang w:val="es-ES"/>
        </w:rPr>
        <w:t xml:space="preserve"> transferencias.  El aumento se debe principalmente al traspaso del aseguramiento de la información desde el programa 25 (tecnologías de la información y la comunicación) a</w:t>
      </w:r>
      <w:r>
        <w:rPr>
          <w:rFonts w:ascii="Arial" w:hAnsi="Arial" w:cs="Arial"/>
          <w:sz w:val="20"/>
          <w:szCs w:val="20"/>
          <w:lang w:val="es-ES"/>
        </w:rPr>
        <w:t xml:space="preserve"> este</w:t>
      </w:r>
      <w:r w:rsidRPr="003F46BE">
        <w:rPr>
          <w:rFonts w:ascii="Arial" w:hAnsi="Arial" w:cs="Arial"/>
          <w:sz w:val="20"/>
          <w:szCs w:val="20"/>
          <w:lang w:val="es-ES"/>
        </w:rPr>
        <w:t xml:space="preserve"> programa.  Esto se refleja fundamentalmente en el marco de los recursos de personal y en el del resultado previsto IX.4.</w:t>
      </w:r>
    </w:p>
    <w:p w:rsidR="00236E18" w:rsidRPr="003F46BE" w:rsidRDefault="00236E18" w:rsidP="00236E18">
      <w:pPr>
        <w:pStyle w:val="ListParagraph"/>
        <w:tabs>
          <w:tab w:val="left" w:pos="709"/>
        </w:tabs>
        <w:ind w:left="0"/>
        <w:jc w:val="both"/>
        <w:rPr>
          <w:rFonts w:ascii="Arial" w:hAnsi="Arial" w:cs="Arial"/>
          <w:sz w:val="20"/>
          <w:lang w:val="es-ES"/>
        </w:rPr>
      </w:pPr>
    </w:p>
    <w:p w:rsidR="00236E18" w:rsidRPr="00CC6334" w:rsidRDefault="00236E18" w:rsidP="00236E18">
      <w:pPr>
        <w:pStyle w:val="ListParagraph"/>
        <w:numPr>
          <w:ilvl w:val="0"/>
          <w:numId w:val="44"/>
        </w:numPr>
        <w:tabs>
          <w:tab w:val="left" w:pos="709"/>
        </w:tabs>
        <w:ind w:left="0" w:firstLine="0"/>
        <w:jc w:val="both"/>
        <w:rPr>
          <w:rFonts w:ascii="Arial" w:hAnsi="Arial" w:cs="Arial"/>
          <w:sz w:val="20"/>
          <w:lang w:val="es-ES"/>
        </w:rPr>
      </w:pPr>
      <w:r w:rsidRPr="003F46BE">
        <w:rPr>
          <w:rFonts w:ascii="Arial" w:hAnsi="Arial" w:cs="Arial"/>
          <w:sz w:val="20"/>
          <w:szCs w:val="20"/>
          <w:lang w:val="es-ES"/>
        </w:rPr>
        <w:t xml:space="preserve">En 2016/17, el aumento en los recursos </w:t>
      </w:r>
      <w:r>
        <w:rPr>
          <w:rFonts w:ascii="Arial" w:hAnsi="Arial" w:cs="Arial"/>
          <w:sz w:val="20"/>
          <w:szCs w:val="20"/>
          <w:lang w:val="es-ES"/>
        </w:rPr>
        <w:t>no relativos a personal</w:t>
      </w:r>
      <w:r w:rsidRPr="003F46BE">
        <w:rPr>
          <w:rFonts w:ascii="Arial" w:hAnsi="Arial" w:cs="Arial"/>
          <w:sz w:val="20"/>
          <w:szCs w:val="20"/>
          <w:lang w:val="es-ES"/>
        </w:rPr>
        <w:t xml:space="preserve"> refleja una asignación adicional de aproximadamente 4 millones de francos suizos destinados a la aplicación de estrategias de aseguramiento de la información.  El mayor hincapié en potenciar las responsabilidades en materia de aseguramiento de la información se refleja mediante la contribución del programa al resultado previsto IX.1</w:t>
      </w:r>
      <w:r>
        <w:rPr>
          <w:rFonts w:ascii="Arial" w:hAnsi="Arial" w:cs="Arial"/>
          <w:sz w:val="20"/>
          <w:szCs w:val="20"/>
          <w:lang w:val="es-ES"/>
        </w:rPr>
        <w:t>.</w:t>
      </w:r>
    </w:p>
    <w:p w:rsidR="00236E18" w:rsidRPr="003F46BE" w:rsidRDefault="00236E18" w:rsidP="00236E18">
      <w:pPr>
        <w:pStyle w:val="Default"/>
        <w:rPr>
          <w:sz w:val="20"/>
          <w:szCs w:val="28"/>
          <w:lang w:val="es-ES"/>
        </w:rPr>
      </w:pPr>
    </w:p>
    <w:p w:rsidR="00236E18" w:rsidRPr="00E61A24" w:rsidRDefault="00236E18" w:rsidP="00236E18">
      <w:pPr>
        <w:pStyle w:val="ListParagraph"/>
        <w:rPr>
          <w:rFonts w:ascii="Arial" w:hAnsi="Arial" w:cs="Arial"/>
          <w:sz w:val="20"/>
          <w:highlight w:val="lightGray"/>
          <w:lang w:val="es-ES"/>
        </w:rPr>
      </w:pPr>
    </w:p>
    <w:p w:rsidR="00236E18" w:rsidRPr="003F46BE" w:rsidRDefault="00236E18" w:rsidP="00236E18">
      <w:pPr>
        <w:tabs>
          <w:tab w:val="left" w:pos="1427"/>
        </w:tabs>
        <w:jc w:val="center"/>
        <w:rPr>
          <w:sz w:val="20"/>
        </w:rPr>
      </w:pPr>
      <w:r w:rsidRPr="003F46BE">
        <w:rPr>
          <w:b/>
          <w:sz w:val="20"/>
          <w:szCs w:val="24"/>
        </w:rPr>
        <w:t>Programa 28</w:t>
      </w:r>
      <w:proofErr w:type="gramStart"/>
      <w:r w:rsidRPr="003F46BE">
        <w:rPr>
          <w:b/>
          <w:sz w:val="20"/>
          <w:szCs w:val="24"/>
        </w:rPr>
        <w:t>:  Recursos</w:t>
      </w:r>
      <w:proofErr w:type="gramEnd"/>
      <w:r w:rsidRPr="003F46BE">
        <w:rPr>
          <w:b/>
          <w:sz w:val="20"/>
          <w:szCs w:val="24"/>
        </w:rPr>
        <w:t xml:space="preserve"> por resultado</w:t>
      </w:r>
    </w:p>
    <w:p w:rsidR="00236E18" w:rsidRPr="003F46BE" w:rsidRDefault="00236E18" w:rsidP="00236E18">
      <w:pPr>
        <w:tabs>
          <w:tab w:val="left" w:pos="1427"/>
        </w:tabs>
        <w:jc w:val="center"/>
        <w:rPr>
          <w:i/>
          <w:sz w:val="20"/>
          <w:szCs w:val="24"/>
        </w:rPr>
      </w:pPr>
      <w:r w:rsidRPr="003F46BE">
        <w:rPr>
          <w:i/>
          <w:sz w:val="20"/>
          <w:szCs w:val="24"/>
        </w:rPr>
        <w:t>(</w:t>
      </w:r>
      <w:proofErr w:type="gramStart"/>
      <w:r w:rsidRPr="003F46BE">
        <w:rPr>
          <w:i/>
          <w:sz w:val="20"/>
          <w:szCs w:val="24"/>
        </w:rPr>
        <w:t>en</w:t>
      </w:r>
      <w:proofErr w:type="gramEnd"/>
      <w:r w:rsidRPr="003F46BE">
        <w:rPr>
          <w:i/>
          <w:sz w:val="20"/>
          <w:szCs w:val="24"/>
        </w:rPr>
        <w:t xml:space="preserve"> miles de francos suizos)</w:t>
      </w:r>
    </w:p>
    <w:p w:rsidR="00236E18" w:rsidRPr="003F46BE" w:rsidRDefault="00236E18" w:rsidP="00236E18">
      <w:pPr>
        <w:tabs>
          <w:tab w:val="left" w:pos="1427"/>
        </w:tabs>
        <w:jc w:val="center"/>
        <w:rPr>
          <w:i/>
          <w:sz w:val="20"/>
          <w:szCs w:val="24"/>
          <w:highlight w:val="lightGray"/>
        </w:rPr>
      </w:pPr>
    </w:p>
    <w:p w:rsidR="00236E18" w:rsidRPr="00BB3049" w:rsidRDefault="00236E18" w:rsidP="00236E18">
      <w:pPr>
        <w:tabs>
          <w:tab w:val="left" w:pos="1427"/>
        </w:tabs>
        <w:jc w:val="center"/>
        <w:rPr>
          <w:i/>
          <w:sz w:val="20"/>
          <w:szCs w:val="24"/>
          <w:highlight w:val="lightGray"/>
        </w:rPr>
      </w:pPr>
      <w:r w:rsidRPr="002E0669">
        <w:rPr>
          <w:noProof/>
          <w:lang w:val="en-US" w:eastAsia="en-US"/>
        </w:rPr>
        <w:drawing>
          <wp:inline distT="0" distB="0" distL="0" distR="0" wp14:anchorId="59068474" wp14:editId="6A142C61">
            <wp:extent cx="5677535" cy="1844675"/>
            <wp:effectExtent l="0" t="0" r="0"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677535" cy="1844675"/>
                    </a:xfrm>
                    <a:prstGeom prst="rect">
                      <a:avLst/>
                    </a:prstGeom>
                    <a:noFill/>
                    <a:ln>
                      <a:noFill/>
                    </a:ln>
                  </pic:spPr>
                </pic:pic>
              </a:graphicData>
            </a:graphic>
          </wp:inline>
        </w:drawing>
      </w:r>
    </w:p>
    <w:p w:rsidR="00236E18" w:rsidRPr="00BB3049" w:rsidRDefault="00236E18" w:rsidP="00236E18">
      <w:pPr>
        <w:tabs>
          <w:tab w:val="left" w:pos="1427"/>
        </w:tabs>
        <w:jc w:val="center"/>
        <w:rPr>
          <w:i/>
          <w:sz w:val="20"/>
          <w:szCs w:val="24"/>
          <w:highlight w:val="lightGray"/>
        </w:rPr>
      </w:pPr>
    </w:p>
    <w:p w:rsidR="00236E18" w:rsidRPr="00BB3049" w:rsidRDefault="00236E18" w:rsidP="00236E18">
      <w:pPr>
        <w:tabs>
          <w:tab w:val="left" w:pos="1427"/>
        </w:tabs>
        <w:jc w:val="center"/>
        <w:rPr>
          <w:i/>
          <w:sz w:val="20"/>
          <w:szCs w:val="24"/>
          <w:highlight w:val="lightGray"/>
        </w:rPr>
      </w:pPr>
    </w:p>
    <w:p w:rsidR="00236E18" w:rsidRPr="00071638" w:rsidRDefault="00236E18" w:rsidP="00236E18">
      <w:pPr>
        <w:keepNext/>
        <w:keepLines/>
        <w:tabs>
          <w:tab w:val="left" w:pos="1427"/>
        </w:tabs>
        <w:jc w:val="center"/>
        <w:rPr>
          <w:sz w:val="20"/>
        </w:rPr>
      </w:pPr>
      <w:r w:rsidRPr="00071638">
        <w:rPr>
          <w:b/>
          <w:sz w:val="20"/>
          <w:szCs w:val="24"/>
        </w:rPr>
        <w:lastRenderedPageBreak/>
        <w:t>Programa 28</w:t>
      </w:r>
      <w:proofErr w:type="gramStart"/>
      <w:r w:rsidRPr="00071638">
        <w:rPr>
          <w:b/>
          <w:sz w:val="20"/>
          <w:szCs w:val="24"/>
        </w:rPr>
        <w:t>:  Recursos</w:t>
      </w:r>
      <w:proofErr w:type="gramEnd"/>
      <w:r w:rsidRPr="00071638">
        <w:rPr>
          <w:b/>
          <w:sz w:val="20"/>
          <w:szCs w:val="24"/>
        </w:rPr>
        <w:t xml:space="preserve"> por objeto de gasto</w:t>
      </w:r>
    </w:p>
    <w:p w:rsidR="00236E18" w:rsidRPr="00071638" w:rsidRDefault="00236E18" w:rsidP="00236E18">
      <w:pPr>
        <w:keepNext/>
        <w:keepLines/>
        <w:tabs>
          <w:tab w:val="left" w:pos="1427"/>
        </w:tabs>
        <w:jc w:val="center"/>
        <w:rPr>
          <w:i/>
          <w:sz w:val="20"/>
          <w:szCs w:val="24"/>
        </w:rPr>
      </w:pPr>
      <w:r w:rsidRPr="00071638">
        <w:rPr>
          <w:i/>
          <w:sz w:val="20"/>
          <w:szCs w:val="24"/>
        </w:rPr>
        <w:t>(</w:t>
      </w:r>
      <w:proofErr w:type="gramStart"/>
      <w:r w:rsidRPr="00071638">
        <w:rPr>
          <w:i/>
          <w:sz w:val="20"/>
          <w:szCs w:val="24"/>
        </w:rPr>
        <w:t>en</w:t>
      </w:r>
      <w:proofErr w:type="gramEnd"/>
      <w:r w:rsidRPr="00071638">
        <w:rPr>
          <w:i/>
          <w:sz w:val="20"/>
          <w:szCs w:val="24"/>
        </w:rPr>
        <w:t xml:space="preserve"> miles de francos suizos)</w:t>
      </w:r>
    </w:p>
    <w:p w:rsidR="00236E18" w:rsidRPr="00071638" w:rsidRDefault="00236E18" w:rsidP="00236E18">
      <w:pPr>
        <w:keepNext/>
        <w:keepLines/>
        <w:tabs>
          <w:tab w:val="left" w:pos="1427"/>
        </w:tabs>
        <w:jc w:val="center"/>
        <w:rPr>
          <w:i/>
          <w:sz w:val="20"/>
          <w:szCs w:val="24"/>
          <w:highlight w:val="lightGray"/>
        </w:rPr>
      </w:pPr>
    </w:p>
    <w:p w:rsidR="00236E18" w:rsidRPr="002F58D0" w:rsidRDefault="00236E18" w:rsidP="00236E18">
      <w:pPr>
        <w:keepNext/>
        <w:keepLines/>
        <w:tabs>
          <w:tab w:val="left" w:pos="1427"/>
        </w:tabs>
        <w:jc w:val="center"/>
        <w:rPr>
          <w:i/>
          <w:sz w:val="20"/>
          <w:szCs w:val="24"/>
        </w:rPr>
      </w:pPr>
      <w:r>
        <w:rPr>
          <w:noProof/>
          <w:lang w:val="en-US" w:eastAsia="en-US"/>
        </w:rPr>
        <w:drawing>
          <wp:inline distT="0" distB="0" distL="0" distR="0" wp14:anchorId="65F625AF" wp14:editId="2F10A2FC">
            <wp:extent cx="5940425" cy="6080050"/>
            <wp:effectExtent l="0" t="0" r="3175" b="0"/>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940425" cy="6080050"/>
                    </a:xfrm>
                    <a:prstGeom prst="rect">
                      <a:avLst/>
                    </a:prstGeom>
                    <a:noFill/>
                    <a:ln>
                      <a:noFill/>
                    </a:ln>
                  </pic:spPr>
                </pic:pic>
              </a:graphicData>
            </a:graphic>
          </wp:inline>
        </w:drawing>
      </w:r>
    </w:p>
    <w:p w:rsidR="00236E18" w:rsidRPr="002F58D0" w:rsidRDefault="00236E18" w:rsidP="00236E18">
      <w:pPr>
        <w:tabs>
          <w:tab w:val="left" w:pos="709"/>
        </w:tabs>
        <w:jc w:val="both"/>
        <w:rPr>
          <w:sz w:val="20"/>
        </w:rPr>
      </w:pPr>
    </w:p>
    <w:p w:rsidR="00236E18" w:rsidRDefault="00236E18" w:rsidP="00236E18">
      <w:pPr>
        <w:autoSpaceDE w:val="0"/>
        <w:autoSpaceDN w:val="0"/>
        <w:adjustRightInd w:val="0"/>
        <w:rPr>
          <w:sz w:val="20"/>
        </w:rPr>
      </w:pPr>
    </w:p>
    <w:p w:rsidR="00236E18" w:rsidRDefault="00236E18" w:rsidP="00236E18">
      <w:pPr>
        <w:shd w:val="clear" w:color="auto" w:fill="FFFFFF"/>
        <w:tabs>
          <w:tab w:val="left" w:pos="709"/>
        </w:tabs>
        <w:suppressAutoHyphens/>
        <w:jc w:val="both"/>
        <w:rPr>
          <w:szCs w:val="22"/>
        </w:rPr>
        <w:sectPr w:rsidR="00236E18" w:rsidSect="00080272">
          <w:pgSz w:w="11907" w:h="16840" w:code="9"/>
          <w:pgMar w:top="567" w:right="1134" w:bottom="1134" w:left="1418" w:header="510" w:footer="1021" w:gutter="0"/>
          <w:cols w:space="720"/>
          <w:titlePg/>
          <w:docGrid w:linePitch="299"/>
        </w:sectPr>
      </w:pPr>
    </w:p>
    <w:p w:rsidR="00236E18" w:rsidRPr="006F39F7" w:rsidRDefault="00236E18" w:rsidP="00236E18">
      <w:pPr>
        <w:pStyle w:val="Heading1"/>
        <w:keepNext w:val="0"/>
        <w:tabs>
          <w:tab w:val="num" w:pos="709"/>
        </w:tabs>
        <w:ind w:left="1134" w:hanging="1134"/>
        <w:rPr>
          <w:szCs w:val="22"/>
        </w:rPr>
      </w:pPr>
      <w:bookmarkStart w:id="132" w:name="_Toc356567785"/>
      <w:bookmarkStart w:id="133" w:name="_Toc367350611"/>
      <w:bookmarkStart w:id="134" w:name="_Toc419283279"/>
      <w:bookmarkStart w:id="135" w:name="_Toc431573578"/>
      <w:bookmarkStart w:id="136" w:name="_Toc431573979"/>
      <w:bookmarkStart w:id="137" w:name="_Toc293334839"/>
      <w:bookmarkStart w:id="138" w:name="_Toc298920421"/>
      <w:r w:rsidRPr="006F39F7">
        <w:rPr>
          <w:szCs w:val="22"/>
        </w:rPr>
        <w:lastRenderedPageBreak/>
        <w:t>III.</w:t>
      </w:r>
      <w:r w:rsidRPr="006F39F7">
        <w:rPr>
          <w:szCs w:val="22"/>
        </w:rPr>
        <w:tab/>
        <w:t>ANEXOS</w:t>
      </w:r>
      <w:bookmarkEnd w:id="132"/>
      <w:bookmarkEnd w:id="133"/>
      <w:bookmarkEnd w:id="134"/>
      <w:bookmarkEnd w:id="135"/>
      <w:bookmarkEnd w:id="136"/>
    </w:p>
    <w:p w:rsidR="00236E18" w:rsidRPr="006F39F7" w:rsidRDefault="00236E18" w:rsidP="00236E18">
      <w:pPr>
        <w:rPr>
          <w:szCs w:val="22"/>
          <w:lang w:eastAsia="en-US"/>
        </w:rPr>
      </w:pPr>
    </w:p>
    <w:bookmarkEnd w:id="137"/>
    <w:bookmarkEnd w:id="138"/>
    <w:p w:rsidR="00236E18" w:rsidRPr="006F39F7" w:rsidRDefault="00236E18" w:rsidP="00236E18">
      <w:pPr>
        <w:rPr>
          <w:caps/>
          <w:szCs w:val="22"/>
        </w:rPr>
      </w:pPr>
    </w:p>
    <w:p w:rsidR="00236E18" w:rsidRPr="00C155C9" w:rsidRDefault="00236E18" w:rsidP="00236E18">
      <w:pPr>
        <w:pStyle w:val="StyleHeading3ComplexItalic"/>
        <w:keepNext w:val="0"/>
        <w:tabs>
          <w:tab w:val="clear" w:pos="1985"/>
          <w:tab w:val="left" w:pos="-1276"/>
        </w:tabs>
        <w:ind w:left="1560" w:hanging="1560"/>
        <w:rPr>
          <w:caps w:val="0"/>
          <w:lang w:val="es-ES"/>
        </w:rPr>
      </w:pPr>
      <w:bookmarkStart w:id="139" w:name="_Toc419283280"/>
      <w:bookmarkStart w:id="140" w:name="_Toc431573579"/>
      <w:bookmarkStart w:id="141" w:name="_Toc431573980"/>
      <w:r w:rsidRPr="00C155C9">
        <w:rPr>
          <w:caps w:val="0"/>
          <w:lang w:val="es-ES"/>
        </w:rPr>
        <w:t>ANEXO I</w:t>
      </w:r>
      <w:r w:rsidRPr="00C155C9">
        <w:rPr>
          <w:caps w:val="0"/>
          <w:lang w:val="es-ES"/>
        </w:rPr>
        <w:tab/>
        <w:t xml:space="preserve">PRESUPUESTO 2014/15 </w:t>
      </w:r>
      <w:r>
        <w:rPr>
          <w:caps w:val="0"/>
          <w:lang w:val="es-ES"/>
        </w:rPr>
        <w:t>TRAS</w:t>
      </w:r>
      <w:r w:rsidRPr="00C155C9">
        <w:rPr>
          <w:caps w:val="0"/>
          <w:lang w:val="es-ES"/>
        </w:rPr>
        <w:t xml:space="preserve"> LAS TRANSFERENCIAS, POR PROGRAMA</w:t>
      </w:r>
      <w:bookmarkEnd w:id="139"/>
      <w:bookmarkEnd w:id="140"/>
      <w:bookmarkEnd w:id="141"/>
    </w:p>
    <w:p w:rsidR="00236E18" w:rsidRPr="00984EFC" w:rsidRDefault="00236E18" w:rsidP="00236E18">
      <w:pPr>
        <w:rPr>
          <w:sz w:val="20"/>
        </w:rPr>
      </w:pPr>
    </w:p>
    <w:p w:rsidR="00236E18" w:rsidRPr="00984EFC" w:rsidRDefault="00236E18" w:rsidP="00236E18">
      <w:pPr>
        <w:rPr>
          <w:sz w:val="20"/>
        </w:rPr>
      </w:pPr>
    </w:p>
    <w:p w:rsidR="00236E18" w:rsidRPr="00C155C9" w:rsidRDefault="00236E18" w:rsidP="00236E18">
      <w:pPr>
        <w:jc w:val="center"/>
        <w:rPr>
          <w:b/>
          <w:sz w:val="20"/>
          <w:szCs w:val="16"/>
        </w:rPr>
      </w:pPr>
      <w:r w:rsidRPr="00C155C9">
        <w:rPr>
          <w:b/>
          <w:sz w:val="20"/>
          <w:szCs w:val="16"/>
        </w:rPr>
        <w:t xml:space="preserve">Cuadro 8.  Presupuesto 2014/15 </w:t>
      </w:r>
      <w:r>
        <w:rPr>
          <w:b/>
          <w:sz w:val="20"/>
          <w:szCs w:val="16"/>
        </w:rPr>
        <w:t>tras</w:t>
      </w:r>
      <w:r w:rsidRPr="00C155C9">
        <w:rPr>
          <w:b/>
          <w:sz w:val="20"/>
          <w:szCs w:val="16"/>
        </w:rPr>
        <w:t xml:space="preserve"> las transferencias, por programa</w:t>
      </w:r>
    </w:p>
    <w:p w:rsidR="00236E18" w:rsidRPr="00C155C9" w:rsidRDefault="00236E18" w:rsidP="00236E18">
      <w:pPr>
        <w:jc w:val="center"/>
        <w:rPr>
          <w:i/>
          <w:sz w:val="20"/>
          <w:szCs w:val="16"/>
        </w:rPr>
      </w:pPr>
      <w:r w:rsidRPr="00C155C9">
        <w:rPr>
          <w:i/>
          <w:sz w:val="20"/>
          <w:szCs w:val="16"/>
        </w:rPr>
        <w:t>(</w:t>
      </w:r>
      <w:proofErr w:type="gramStart"/>
      <w:r w:rsidRPr="00C155C9">
        <w:rPr>
          <w:i/>
          <w:sz w:val="20"/>
          <w:szCs w:val="16"/>
        </w:rPr>
        <w:t>en</w:t>
      </w:r>
      <w:proofErr w:type="gramEnd"/>
      <w:r w:rsidRPr="00C155C9">
        <w:rPr>
          <w:i/>
          <w:sz w:val="20"/>
          <w:szCs w:val="16"/>
        </w:rPr>
        <w:t xml:space="preserve"> miles de francos suizos)</w:t>
      </w:r>
    </w:p>
    <w:p w:rsidR="00236E18" w:rsidRPr="007954E3" w:rsidRDefault="00236E18" w:rsidP="00236E18">
      <w:pPr>
        <w:jc w:val="center"/>
        <w:rPr>
          <w:i/>
          <w:color w:val="244061" w:themeColor="accent1" w:themeShade="80"/>
          <w:sz w:val="16"/>
          <w:szCs w:val="16"/>
        </w:rPr>
      </w:pPr>
    </w:p>
    <w:p w:rsidR="00236E18" w:rsidRPr="00775FAA" w:rsidRDefault="00236E18" w:rsidP="00236E18">
      <w:pPr>
        <w:jc w:val="center"/>
        <w:rPr>
          <w:color w:val="808080"/>
          <w:sz w:val="20"/>
        </w:rPr>
      </w:pPr>
      <w:r>
        <w:rPr>
          <w:noProof/>
          <w:lang w:val="en-US" w:eastAsia="en-US"/>
        </w:rPr>
        <w:drawing>
          <wp:inline distT="0" distB="0" distL="0" distR="0" wp14:anchorId="5059FAA3" wp14:editId="26F11C0E">
            <wp:extent cx="5940425" cy="4705375"/>
            <wp:effectExtent l="0" t="0" r="3175" b="0"/>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940425" cy="4705375"/>
                    </a:xfrm>
                    <a:prstGeom prst="rect">
                      <a:avLst/>
                    </a:prstGeom>
                    <a:noFill/>
                    <a:ln>
                      <a:noFill/>
                    </a:ln>
                  </pic:spPr>
                </pic:pic>
              </a:graphicData>
            </a:graphic>
          </wp:inline>
        </w:drawing>
      </w:r>
    </w:p>
    <w:p w:rsidR="00236E18" w:rsidRDefault="00236E18" w:rsidP="00236E18">
      <w:pPr>
        <w:rPr>
          <w:i/>
          <w:sz w:val="16"/>
          <w:szCs w:val="14"/>
        </w:rPr>
      </w:pPr>
    </w:p>
    <w:p w:rsidR="00236E18" w:rsidRPr="00E61383" w:rsidRDefault="00236E18" w:rsidP="00236E18">
      <w:pPr>
        <w:rPr>
          <w:i/>
          <w:sz w:val="16"/>
          <w:szCs w:val="14"/>
        </w:rPr>
      </w:pPr>
      <w:r w:rsidRPr="00E61383">
        <w:rPr>
          <w:i/>
          <w:sz w:val="16"/>
          <w:szCs w:val="14"/>
        </w:rPr>
        <w:t xml:space="preserve">* </w:t>
      </w:r>
      <w:r w:rsidRPr="00E61383">
        <w:rPr>
          <w:i/>
          <w:sz w:val="16"/>
          <w:szCs w:val="14"/>
          <w:lang w:val="es-ES_tradnl"/>
        </w:rPr>
        <w:t>En el artículo 5.5 del Reglamento Financiero y la Reglamentación Financiera de la OMPI se establece la posibilidad de transferir recursos, al estipular:</w:t>
      </w:r>
      <w:r>
        <w:rPr>
          <w:i/>
          <w:sz w:val="16"/>
          <w:szCs w:val="14"/>
          <w:lang w:val="es-ES_tradnl"/>
        </w:rPr>
        <w:t xml:space="preserve"> </w:t>
      </w:r>
      <w:r w:rsidRPr="00E61383">
        <w:rPr>
          <w:i/>
          <w:sz w:val="16"/>
          <w:szCs w:val="14"/>
          <w:lang w:val="es-ES_tradnl"/>
        </w:rPr>
        <w:t xml:space="preserve"> “El Director General podrá efectuar transferencias de un programa a otro del presupuesto por programas durante un ejercicio económico determinado y hasta el límite del cinco por ciento de la cuantía total correspondiente a la consignación bienal del programa receptor, o al uno por ciento del presupuesto total, si esta suma fuese superior, cuando esas transferencias sean necesarias para asegurar el funcionamiento adecuado de los servicios".  El presupuesto de 2014/</w:t>
      </w:r>
      <w:r>
        <w:rPr>
          <w:i/>
          <w:sz w:val="16"/>
          <w:szCs w:val="14"/>
          <w:lang w:val="es-ES_tradnl"/>
        </w:rPr>
        <w:t>15 tras las</w:t>
      </w:r>
      <w:r w:rsidRPr="00E61383">
        <w:rPr>
          <w:i/>
          <w:sz w:val="16"/>
          <w:szCs w:val="14"/>
          <w:lang w:val="es-ES_tradnl"/>
        </w:rPr>
        <w:t xml:space="preserve"> transferencias ha sido calculado al 31 de marzo de 2015.</w:t>
      </w:r>
    </w:p>
    <w:p w:rsidR="00236E18" w:rsidRPr="00E61383" w:rsidRDefault="00236E18" w:rsidP="00236E18"/>
    <w:p w:rsidR="00236E18" w:rsidRPr="00E61383" w:rsidRDefault="00236E18" w:rsidP="00236E18">
      <w:pPr>
        <w:pStyle w:val="StyleHeading3ComplexItalic"/>
        <w:keepNext w:val="0"/>
        <w:tabs>
          <w:tab w:val="clear" w:pos="1985"/>
          <w:tab w:val="left" w:pos="1418"/>
        </w:tabs>
        <w:ind w:left="1418" w:hanging="1418"/>
        <w:rPr>
          <w:b w:val="0"/>
          <w:caps w:val="0"/>
          <w:lang w:val="es-ES"/>
        </w:rPr>
        <w:sectPr w:rsidR="00236E18" w:rsidRPr="00E61383" w:rsidSect="00080272">
          <w:headerReference w:type="first" r:id="rId206"/>
          <w:pgSz w:w="11907" w:h="16840" w:code="9"/>
          <w:pgMar w:top="567" w:right="1134" w:bottom="1134" w:left="1418" w:header="510" w:footer="1021" w:gutter="0"/>
          <w:cols w:space="720"/>
          <w:titlePg/>
          <w:docGrid w:linePitch="299"/>
        </w:sectPr>
      </w:pPr>
    </w:p>
    <w:p w:rsidR="00236E18" w:rsidRPr="00783702" w:rsidRDefault="00236E18" w:rsidP="00236E18">
      <w:pPr>
        <w:pStyle w:val="StyleHeading3ComplexItalic"/>
        <w:keepNext w:val="0"/>
        <w:tabs>
          <w:tab w:val="clear" w:pos="1985"/>
          <w:tab w:val="left" w:pos="-1134"/>
        </w:tabs>
        <w:ind w:left="1560" w:hanging="1560"/>
        <w:rPr>
          <w:sz w:val="18"/>
          <w:szCs w:val="18"/>
          <w:lang w:val="es-ES"/>
        </w:rPr>
      </w:pPr>
      <w:bookmarkStart w:id="142" w:name="_Toc356567787"/>
      <w:bookmarkStart w:id="143" w:name="_Toc367350613"/>
      <w:bookmarkStart w:id="144" w:name="_Toc419283281"/>
      <w:bookmarkStart w:id="145" w:name="_Toc431573580"/>
      <w:bookmarkStart w:id="146" w:name="_Toc431573981"/>
      <w:r w:rsidRPr="00783702">
        <w:rPr>
          <w:lang w:val="es-ES"/>
        </w:rPr>
        <w:lastRenderedPageBreak/>
        <w:t>A</w:t>
      </w:r>
      <w:r w:rsidRPr="00783702">
        <w:rPr>
          <w:caps w:val="0"/>
          <w:lang w:val="es-ES"/>
        </w:rPr>
        <w:t>NEXO II</w:t>
      </w:r>
      <w:r w:rsidRPr="00783702">
        <w:rPr>
          <w:caps w:val="0"/>
          <w:lang w:val="es-ES"/>
        </w:rPr>
        <w:tab/>
        <w:t>RECURSOS PROPUESTOS PARA 2016/17</w:t>
      </w:r>
      <w:bookmarkEnd w:id="142"/>
      <w:bookmarkEnd w:id="143"/>
      <w:bookmarkEnd w:id="144"/>
      <w:r w:rsidRPr="00783702">
        <w:rPr>
          <w:caps w:val="0"/>
          <w:lang w:val="es-ES"/>
        </w:rPr>
        <w:t>, POR PROGRAMA</w:t>
      </w:r>
      <w:bookmarkEnd w:id="145"/>
      <w:bookmarkEnd w:id="146"/>
    </w:p>
    <w:p w:rsidR="00236E18" w:rsidRPr="00783702" w:rsidRDefault="00236E18" w:rsidP="00236E18"/>
    <w:p w:rsidR="00236E18" w:rsidRPr="00783702" w:rsidRDefault="00236E18" w:rsidP="00236E18">
      <w:pPr>
        <w:jc w:val="center"/>
        <w:rPr>
          <w:b/>
          <w:sz w:val="20"/>
          <w:szCs w:val="16"/>
        </w:rPr>
      </w:pPr>
      <w:r w:rsidRPr="00783702">
        <w:rPr>
          <w:b/>
          <w:sz w:val="20"/>
          <w:szCs w:val="16"/>
        </w:rPr>
        <w:t>Cuadro 9.  Presupuesto para 2016/17, por programa</w:t>
      </w:r>
    </w:p>
    <w:p w:rsidR="00236E18" w:rsidRPr="00783702" w:rsidRDefault="00236E18" w:rsidP="00236E18">
      <w:pPr>
        <w:jc w:val="center"/>
        <w:rPr>
          <w:i/>
          <w:sz w:val="20"/>
          <w:szCs w:val="16"/>
        </w:rPr>
      </w:pPr>
      <w:r w:rsidRPr="00783702">
        <w:rPr>
          <w:i/>
          <w:sz w:val="20"/>
          <w:szCs w:val="16"/>
        </w:rPr>
        <w:t>(</w:t>
      </w:r>
      <w:proofErr w:type="gramStart"/>
      <w:r w:rsidRPr="00783702">
        <w:rPr>
          <w:i/>
          <w:sz w:val="20"/>
          <w:szCs w:val="16"/>
        </w:rPr>
        <w:t>en</w:t>
      </w:r>
      <w:proofErr w:type="gramEnd"/>
      <w:r w:rsidRPr="00783702">
        <w:rPr>
          <w:i/>
          <w:sz w:val="20"/>
          <w:szCs w:val="16"/>
        </w:rPr>
        <w:t xml:space="preserve"> miles de francos suizos)</w:t>
      </w:r>
    </w:p>
    <w:p w:rsidR="00236E18" w:rsidRPr="00783702" w:rsidRDefault="00236E18" w:rsidP="00236E18">
      <w:pPr>
        <w:jc w:val="center"/>
        <w:rPr>
          <w:i/>
          <w:sz w:val="20"/>
          <w:szCs w:val="16"/>
        </w:rPr>
      </w:pPr>
    </w:p>
    <w:p w:rsidR="00236E18" w:rsidRPr="008C5583" w:rsidRDefault="00236E18" w:rsidP="00236E18">
      <w:pPr>
        <w:jc w:val="center"/>
        <w:rPr>
          <w:rFonts w:eastAsia="Times New Roman"/>
          <w:iCs/>
          <w:szCs w:val="22"/>
          <w:lang w:eastAsia="en-US"/>
        </w:rPr>
      </w:pPr>
      <w:r w:rsidRPr="003C1E84">
        <w:rPr>
          <w:noProof/>
          <w:lang w:val="en-US" w:eastAsia="en-US"/>
        </w:rPr>
        <w:drawing>
          <wp:inline distT="0" distB="0" distL="0" distR="0" wp14:anchorId="7BF413EE" wp14:editId="5DAD83E0">
            <wp:extent cx="9579418" cy="5040000"/>
            <wp:effectExtent l="0" t="0" r="3175" b="8255"/>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9579418" cy="5040000"/>
                    </a:xfrm>
                    <a:prstGeom prst="rect">
                      <a:avLst/>
                    </a:prstGeom>
                    <a:noFill/>
                    <a:ln>
                      <a:noFill/>
                    </a:ln>
                  </pic:spPr>
                </pic:pic>
              </a:graphicData>
            </a:graphic>
          </wp:inline>
        </w:drawing>
      </w:r>
      <w:r w:rsidRPr="008C5583">
        <w:rPr>
          <w:b/>
          <w:caps/>
        </w:rPr>
        <w:br w:type="page"/>
      </w:r>
    </w:p>
    <w:p w:rsidR="00236E18" w:rsidRPr="00E37FED" w:rsidRDefault="00236E18" w:rsidP="00236E18">
      <w:pPr>
        <w:jc w:val="center"/>
        <w:rPr>
          <w:b/>
          <w:sz w:val="20"/>
          <w:szCs w:val="16"/>
        </w:rPr>
      </w:pPr>
      <w:r w:rsidRPr="00E37FED">
        <w:rPr>
          <w:b/>
          <w:sz w:val="20"/>
          <w:szCs w:val="16"/>
        </w:rPr>
        <w:lastRenderedPageBreak/>
        <w:t>Cuadro 10.  Puestos de 2016/17 por programa</w:t>
      </w:r>
    </w:p>
    <w:p w:rsidR="00236E18" w:rsidRPr="00E37FED" w:rsidRDefault="00236E18" w:rsidP="00236E18">
      <w:pPr>
        <w:jc w:val="center"/>
        <w:rPr>
          <w:b/>
          <w:sz w:val="16"/>
          <w:szCs w:val="16"/>
        </w:rPr>
      </w:pPr>
    </w:p>
    <w:p w:rsidR="00236E18" w:rsidRDefault="00236E18" w:rsidP="00236E18">
      <w:pPr>
        <w:jc w:val="center"/>
        <w:rPr>
          <w:sz w:val="20"/>
        </w:rPr>
      </w:pPr>
      <w:r w:rsidRPr="003C1E84">
        <w:rPr>
          <w:noProof/>
          <w:lang w:val="en-US" w:eastAsia="en-US"/>
        </w:rPr>
        <w:drawing>
          <wp:inline distT="0" distB="0" distL="0" distR="0" wp14:anchorId="2A9524CC" wp14:editId="36B167F9">
            <wp:extent cx="9613265" cy="5270060"/>
            <wp:effectExtent l="0" t="0" r="6985" b="6985"/>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9613265" cy="5270060"/>
                    </a:xfrm>
                    <a:prstGeom prst="rect">
                      <a:avLst/>
                    </a:prstGeom>
                    <a:noFill/>
                    <a:ln>
                      <a:noFill/>
                    </a:ln>
                  </pic:spPr>
                </pic:pic>
              </a:graphicData>
            </a:graphic>
          </wp:inline>
        </w:drawing>
      </w:r>
    </w:p>
    <w:p w:rsidR="00236E18" w:rsidRPr="00404CF4" w:rsidRDefault="00236E18" w:rsidP="00236E18">
      <w:r w:rsidRPr="00404CF4">
        <w:rPr>
          <w:i/>
          <w:sz w:val="16"/>
          <w:szCs w:val="14"/>
          <w:lang w:val="es-ES_tradnl"/>
        </w:rPr>
        <w:t xml:space="preserve">*En la </w:t>
      </w:r>
      <w:r>
        <w:rPr>
          <w:i/>
          <w:sz w:val="16"/>
          <w:szCs w:val="14"/>
          <w:lang w:val="es-ES_tradnl"/>
        </w:rPr>
        <w:t>línea</w:t>
      </w:r>
      <w:r w:rsidRPr="00404CF4">
        <w:rPr>
          <w:i/>
          <w:sz w:val="16"/>
          <w:szCs w:val="14"/>
          <w:lang w:val="es-ES_tradnl"/>
        </w:rPr>
        <w:t xml:space="preserve"> “Sin consignar”</w:t>
      </w:r>
      <w:r>
        <w:rPr>
          <w:i/>
          <w:sz w:val="16"/>
          <w:szCs w:val="14"/>
          <w:lang w:val="es-ES_tradnl"/>
        </w:rPr>
        <w:t>, bajo</w:t>
      </w:r>
      <w:r w:rsidRPr="00404CF4">
        <w:rPr>
          <w:i/>
          <w:sz w:val="16"/>
          <w:szCs w:val="14"/>
          <w:lang w:val="es-ES_tradnl"/>
        </w:rPr>
        <w:t xml:space="preserve"> </w:t>
      </w:r>
      <w:r>
        <w:rPr>
          <w:i/>
          <w:sz w:val="16"/>
          <w:szCs w:val="14"/>
          <w:lang w:val="es-ES_tradnl"/>
        </w:rPr>
        <w:t>“</w:t>
      </w:r>
      <w:r w:rsidRPr="00404CF4">
        <w:rPr>
          <w:i/>
          <w:sz w:val="16"/>
          <w:szCs w:val="14"/>
          <w:lang w:val="es-ES_tradnl"/>
        </w:rPr>
        <w:t>presupuesto de 2014/</w:t>
      </w:r>
      <w:r>
        <w:rPr>
          <w:i/>
          <w:sz w:val="16"/>
          <w:szCs w:val="14"/>
          <w:lang w:val="es-ES_tradnl"/>
        </w:rPr>
        <w:t>15 tras las</w:t>
      </w:r>
      <w:r w:rsidRPr="00404CF4">
        <w:rPr>
          <w:i/>
          <w:sz w:val="16"/>
          <w:szCs w:val="14"/>
          <w:lang w:val="es-ES_tradnl"/>
        </w:rPr>
        <w:t xml:space="preserve"> transferencias</w:t>
      </w:r>
      <w:r>
        <w:rPr>
          <w:i/>
          <w:sz w:val="16"/>
          <w:szCs w:val="14"/>
          <w:lang w:val="es-ES_tradnl"/>
        </w:rPr>
        <w:t>”</w:t>
      </w:r>
      <w:r w:rsidRPr="00404CF4">
        <w:rPr>
          <w:i/>
          <w:sz w:val="16"/>
          <w:szCs w:val="14"/>
          <w:lang w:val="es-ES_tradnl"/>
        </w:rPr>
        <w:t xml:space="preserve"> y </w:t>
      </w:r>
      <w:r>
        <w:rPr>
          <w:i/>
          <w:sz w:val="16"/>
          <w:szCs w:val="14"/>
          <w:lang w:val="es-ES_tradnl"/>
        </w:rPr>
        <w:t>“</w:t>
      </w:r>
      <w:r w:rsidRPr="00404CF4">
        <w:rPr>
          <w:i/>
          <w:sz w:val="16"/>
          <w:szCs w:val="14"/>
          <w:lang w:val="es-ES_tradnl"/>
        </w:rPr>
        <w:t>presupuesto</w:t>
      </w:r>
      <w:r>
        <w:rPr>
          <w:i/>
          <w:sz w:val="16"/>
          <w:szCs w:val="14"/>
          <w:lang w:val="es-ES_tradnl"/>
        </w:rPr>
        <w:t xml:space="preserve"> propuesto</w:t>
      </w:r>
      <w:r w:rsidRPr="00404CF4">
        <w:rPr>
          <w:i/>
          <w:sz w:val="16"/>
          <w:szCs w:val="14"/>
          <w:lang w:val="es-ES_tradnl"/>
        </w:rPr>
        <w:t xml:space="preserve"> para 2016/17 se incluyen  41 puestos que aparecen en la categoría "Servicios generales” en el cuadro anterior, y que están previstos para la regularización del personal temporal.  Sin embargo, se desconoce aún el grado y la categoría de esos </w:t>
      </w:r>
      <w:r w:rsidRPr="003B754B">
        <w:rPr>
          <w:i/>
          <w:sz w:val="16"/>
          <w:szCs w:val="14"/>
          <w:lang w:val="es-ES_tradnl"/>
        </w:rPr>
        <w:t>puestos (profesional o servicios generales).</w:t>
      </w:r>
    </w:p>
    <w:p w:rsidR="00236E18" w:rsidRPr="00404CF4" w:rsidRDefault="00236E18" w:rsidP="00236E18">
      <w:pPr>
        <w:pStyle w:val="StyleHeading3ComplexItalic"/>
        <w:keepNext w:val="0"/>
        <w:tabs>
          <w:tab w:val="clear" w:pos="1985"/>
          <w:tab w:val="left" w:pos="1418"/>
        </w:tabs>
        <w:ind w:left="1418" w:hanging="1418"/>
        <w:rPr>
          <w:b w:val="0"/>
          <w:caps w:val="0"/>
          <w:lang w:val="es-ES"/>
        </w:rPr>
        <w:sectPr w:rsidR="00236E18" w:rsidRPr="00404CF4" w:rsidSect="00080272">
          <w:headerReference w:type="first" r:id="rId209"/>
          <w:pgSz w:w="16840" w:h="11907" w:orient="landscape" w:code="9"/>
          <w:pgMar w:top="1270" w:right="567" w:bottom="1134" w:left="1134" w:header="510" w:footer="1021" w:gutter="0"/>
          <w:cols w:space="720"/>
          <w:titlePg/>
          <w:docGrid w:linePitch="299"/>
        </w:sectPr>
      </w:pPr>
    </w:p>
    <w:p w:rsidR="00236E18" w:rsidRPr="006451BE" w:rsidRDefault="00236E18" w:rsidP="00236E18">
      <w:pPr>
        <w:pStyle w:val="StyleHeading3ComplexItalic"/>
        <w:keepNext w:val="0"/>
        <w:tabs>
          <w:tab w:val="clear" w:pos="1985"/>
          <w:tab w:val="left" w:pos="-1985"/>
        </w:tabs>
        <w:ind w:left="1560" w:hanging="1560"/>
        <w:rPr>
          <w:caps w:val="0"/>
          <w:lang w:val="es-ES"/>
        </w:rPr>
      </w:pPr>
      <w:bookmarkStart w:id="147" w:name="_Toc431573581"/>
      <w:bookmarkStart w:id="148" w:name="_Toc431573982"/>
      <w:r w:rsidRPr="006451BE">
        <w:rPr>
          <w:caps w:val="0"/>
          <w:lang w:val="es-ES"/>
        </w:rPr>
        <w:lastRenderedPageBreak/>
        <w:t>ANEXO III</w:t>
      </w:r>
      <w:r w:rsidRPr="006451BE">
        <w:rPr>
          <w:caps w:val="0"/>
          <w:lang w:val="es-ES"/>
        </w:rPr>
        <w:tab/>
        <w:t>ASIGNACIÓN DE LOS INGRESOS PREVISTOS Y DE LOS GASTOS PRESUPUESTADOS, POR UNIÓN</w:t>
      </w:r>
      <w:bookmarkEnd w:id="147"/>
      <w:bookmarkEnd w:id="148"/>
    </w:p>
    <w:p w:rsidR="00236E18" w:rsidRPr="006451BE" w:rsidRDefault="00236E18" w:rsidP="00236E18">
      <w:pPr>
        <w:rPr>
          <w:sz w:val="20"/>
        </w:rPr>
      </w:pPr>
    </w:p>
    <w:p w:rsidR="00236E18" w:rsidRPr="006451BE" w:rsidRDefault="00236E18" w:rsidP="00236E18">
      <w:pPr>
        <w:rPr>
          <w:bCs/>
          <w:sz w:val="20"/>
        </w:rPr>
      </w:pPr>
    </w:p>
    <w:p w:rsidR="00236E18" w:rsidRPr="006451BE" w:rsidRDefault="00236E18" w:rsidP="00236E18">
      <w:pPr>
        <w:rPr>
          <w:bCs/>
          <w:sz w:val="20"/>
        </w:rPr>
      </w:pPr>
      <w:r w:rsidRPr="006451BE">
        <w:rPr>
          <w:bCs/>
          <w:sz w:val="20"/>
        </w:rPr>
        <w:t>INTRODUCCIÓN</w:t>
      </w:r>
    </w:p>
    <w:p w:rsidR="00236E18" w:rsidRPr="006451BE" w:rsidRDefault="00236E18" w:rsidP="00236E18">
      <w:pPr>
        <w:jc w:val="both"/>
        <w:rPr>
          <w:sz w:val="20"/>
        </w:rPr>
      </w:pPr>
    </w:p>
    <w:p w:rsidR="00236E18" w:rsidRPr="006451BE" w:rsidRDefault="00236E18" w:rsidP="00236E18">
      <w:pPr>
        <w:numPr>
          <w:ilvl w:val="0"/>
          <w:numId w:val="45"/>
        </w:numPr>
        <w:jc w:val="both"/>
        <w:rPr>
          <w:sz w:val="20"/>
        </w:rPr>
      </w:pPr>
      <w:r w:rsidRPr="006451BE">
        <w:rPr>
          <w:sz w:val="20"/>
        </w:rPr>
        <w:t>En el Reglamento Financiero y la Reglamentación Financiera de la OMPI (regla 102.2) se estipula que el presupuesto bienal de la Organización debe presentarse separadamente para cada Unión.</w:t>
      </w:r>
    </w:p>
    <w:p w:rsidR="00236E18" w:rsidRPr="006451BE" w:rsidRDefault="00236E18" w:rsidP="00236E18">
      <w:pPr>
        <w:rPr>
          <w:sz w:val="20"/>
        </w:rPr>
      </w:pPr>
    </w:p>
    <w:p w:rsidR="00236E18" w:rsidRPr="006451BE" w:rsidRDefault="00236E18" w:rsidP="00236E18">
      <w:pPr>
        <w:rPr>
          <w:sz w:val="20"/>
        </w:rPr>
      </w:pPr>
    </w:p>
    <w:p w:rsidR="00236E18" w:rsidRPr="006451BE" w:rsidRDefault="00236E18" w:rsidP="00236E18">
      <w:pPr>
        <w:rPr>
          <w:bCs/>
          <w:sz w:val="20"/>
        </w:rPr>
      </w:pPr>
      <w:r w:rsidRPr="006451BE">
        <w:rPr>
          <w:bCs/>
          <w:sz w:val="20"/>
          <w:lang w:val="es-ES_tradnl"/>
        </w:rPr>
        <w:t>ASIGNACIÓN DE LOS GASTOS PRESUPUESTADOS, POR UNIÓN</w:t>
      </w:r>
    </w:p>
    <w:p w:rsidR="00236E18" w:rsidRPr="006451BE" w:rsidRDefault="00236E18" w:rsidP="00236E18">
      <w:pPr>
        <w:jc w:val="both"/>
        <w:rPr>
          <w:b/>
          <w:i/>
          <w:sz w:val="20"/>
        </w:rPr>
      </w:pPr>
    </w:p>
    <w:p w:rsidR="00236E18" w:rsidRPr="006451BE" w:rsidRDefault="00236E18" w:rsidP="00236E18">
      <w:pPr>
        <w:numPr>
          <w:ilvl w:val="0"/>
          <w:numId w:val="45"/>
        </w:numPr>
        <w:jc w:val="both"/>
        <w:rPr>
          <w:b/>
          <w:i/>
          <w:sz w:val="20"/>
        </w:rPr>
      </w:pPr>
      <w:r w:rsidRPr="006451BE">
        <w:rPr>
          <w:sz w:val="20"/>
          <w:lang w:val="es-ES_tradnl"/>
        </w:rPr>
        <w:t>La metodología aplicada para la asignación de gastos</w:t>
      </w:r>
      <w:r w:rsidRPr="006451BE">
        <w:rPr>
          <w:sz w:val="20"/>
        </w:rPr>
        <w:t xml:space="preserve"> </w:t>
      </w:r>
      <w:r w:rsidRPr="006451BE">
        <w:rPr>
          <w:sz w:val="20"/>
          <w:lang w:val="es-ES_tradnl"/>
        </w:rPr>
        <w:t xml:space="preserve">por Unión consiste en determinar si se trata de </w:t>
      </w:r>
      <w:proofErr w:type="gramStart"/>
      <w:r w:rsidRPr="006451BE">
        <w:rPr>
          <w:sz w:val="20"/>
          <w:lang w:val="es-ES_tradnl"/>
        </w:rPr>
        <w:t>gastos relacionados directa</w:t>
      </w:r>
      <w:proofErr w:type="gramEnd"/>
      <w:r w:rsidRPr="006451BE">
        <w:rPr>
          <w:sz w:val="20"/>
          <w:lang w:val="es-ES_tradnl"/>
        </w:rPr>
        <w:t xml:space="preserve"> o indirectamente con una Unión.  Los programas se categorizan en tanto que relacionados directa o indirectamente con una Unión, como se describe más abajo</w:t>
      </w:r>
      <w:r w:rsidRPr="006451BE">
        <w:rPr>
          <w:sz w:val="20"/>
        </w:rPr>
        <w:t>.  La metodología empleada para el presupuesto por programas para 2016/17 no ha cambiado de la empleada en el presupuesto por programas para 2014/15.</w:t>
      </w:r>
    </w:p>
    <w:p w:rsidR="00236E18" w:rsidRPr="006451BE" w:rsidRDefault="00236E18" w:rsidP="00236E18">
      <w:pPr>
        <w:ind w:left="1"/>
        <w:jc w:val="both"/>
        <w:rPr>
          <w:b/>
          <w:i/>
          <w:sz w:val="20"/>
        </w:rPr>
      </w:pPr>
    </w:p>
    <w:p w:rsidR="00236E18" w:rsidRPr="006451BE" w:rsidRDefault="00236E18" w:rsidP="00236E18">
      <w:pPr>
        <w:numPr>
          <w:ilvl w:val="0"/>
          <w:numId w:val="45"/>
        </w:numPr>
        <w:jc w:val="both"/>
        <w:rPr>
          <w:sz w:val="20"/>
        </w:rPr>
      </w:pPr>
      <w:r w:rsidRPr="006451BE">
        <w:rPr>
          <w:i/>
          <w:sz w:val="20"/>
          <w:lang w:val="es-ES_tradnl"/>
        </w:rPr>
        <w:t xml:space="preserve">GASTOS DIRECTOS POR UNIÓN, </w:t>
      </w:r>
      <w:r w:rsidRPr="006451BE">
        <w:rPr>
          <w:sz w:val="20"/>
          <w:lang w:val="es-ES_tradnl"/>
        </w:rPr>
        <w:t>son los gastos ocasionados por las actividades específicas de cada Unión y el porcentaje atribuible de gastos administrativos conexos y otros gastos presupuestados</w:t>
      </w:r>
      <w:r w:rsidRPr="006451BE">
        <w:rPr>
          <w:sz w:val="20"/>
        </w:rPr>
        <w:t>.</w:t>
      </w:r>
    </w:p>
    <w:p w:rsidR="00236E18" w:rsidRPr="006451BE" w:rsidRDefault="00236E18" w:rsidP="00236E18">
      <w:pPr>
        <w:jc w:val="both"/>
        <w:rPr>
          <w:sz w:val="20"/>
        </w:rPr>
      </w:pPr>
    </w:p>
    <w:p w:rsidR="00236E18" w:rsidRPr="006451BE" w:rsidRDefault="00236E18" w:rsidP="00236E18">
      <w:pPr>
        <w:ind w:left="1080" w:hanging="540"/>
        <w:jc w:val="both"/>
        <w:rPr>
          <w:b/>
          <w:i/>
          <w:sz w:val="20"/>
        </w:rPr>
      </w:pPr>
      <w:r w:rsidRPr="006451BE">
        <w:rPr>
          <w:i/>
          <w:sz w:val="20"/>
        </w:rPr>
        <w:t>3.1</w:t>
      </w:r>
      <w:r w:rsidRPr="006451BE">
        <w:rPr>
          <w:i/>
          <w:sz w:val="20"/>
        </w:rPr>
        <w:tab/>
      </w:r>
      <w:r w:rsidRPr="006451BE">
        <w:rPr>
          <w:i/>
          <w:sz w:val="20"/>
          <w:lang w:val="es-ES_tradnl"/>
        </w:rPr>
        <w:t>Actividades específicas por Unión</w:t>
      </w:r>
      <w:proofErr w:type="gramStart"/>
      <w:r w:rsidRPr="006451BE">
        <w:rPr>
          <w:sz w:val="20"/>
          <w:lang w:val="es-ES_tradnl"/>
        </w:rPr>
        <w:t>:  Bajo</w:t>
      </w:r>
      <w:proofErr w:type="gramEnd"/>
      <w:r w:rsidRPr="006451BE">
        <w:rPr>
          <w:sz w:val="20"/>
          <w:lang w:val="es-ES_tradnl"/>
        </w:rPr>
        <w:t xml:space="preserve"> esta rúbrica se engloban las actividades de programa y los gastos presupuestados.  Cuando los gastos de un programa son asignados parcialmente a una Unión, la asignación se realiza sobre la base del porcentaje correspondiente a la Unión de los gastos previstos por los directores de los programas correspondientes.  Cuando un programa incumbe a una única Unión, el costo total de ese programa es asignado a esa Unión</w:t>
      </w:r>
      <w:r w:rsidRPr="006451BE">
        <w:rPr>
          <w:sz w:val="20"/>
        </w:rPr>
        <w:t>.</w:t>
      </w:r>
    </w:p>
    <w:p w:rsidR="00236E18" w:rsidRPr="006451BE" w:rsidRDefault="00236E18" w:rsidP="00236E18">
      <w:pPr>
        <w:jc w:val="both"/>
        <w:rPr>
          <w:sz w:val="20"/>
        </w:rPr>
      </w:pPr>
    </w:p>
    <w:p w:rsidR="00236E18" w:rsidRPr="006451BE" w:rsidRDefault="00236E18" w:rsidP="00236E18">
      <w:pPr>
        <w:spacing w:after="60"/>
        <w:ind w:left="1843" w:hanging="766"/>
        <w:jc w:val="both"/>
        <w:rPr>
          <w:sz w:val="20"/>
        </w:rPr>
      </w:pPr>
      <w:r w:rsidRPr="006451BE">
        <w:rPr>
          <w:i/>
          <w:sz w:val="20"/>
        </w:rPr>
        <w:t>3.1.1</w:t>
      </w:r>
      <w:r w:rsidRPr="006451BE">
        <w:rPr>
          <w:i/>
          <w:sz w:val="20"/>
        </w:rPr>
        <w:tab/>
      </w:r>
      <w:r w:rsidRPr="006451BE">
        <w:rPr>
          <w:i/>
          <w:sz w:val="20"/>
          <w:lang w:val="es-ES_tradnl"/>
        </w:rPr>
        <w:t>Uniones financiadas por contribuciones</w:t>
      </w:r>
      <w:r w:rsidRPr="006451BE">
        <w:rPr>
          <w:sz w:val="20"/>
          <w:lang w:val="es-ES_tradnl"/>
        </w:rPr>
        <w:t>:  Programas 1 (Derecho de patentes) (parcialmente), 2 (Marcas, dibujos y modelos industriales e indicaciones geográficas) (parcialmente), 3 (Derecho de autor y derechos conexos) (parcialmente), 4 (Conocimientos tradicionales, expresiones culturales tradicionales y recursos genéticos), 7 (Centro de Arbitraje y Mediación de la OMPI) (parcialmente), 12 (Clasificaciones internacionales y normas técnicas de la OMPI) (parcialmente) y 14 (Servicios de acceso a la información y a los conocimientos) (parcialmente)</w:t>
      </w:r>
      <w:r w:rsidRPr="006451BE">
        <w:rPr>
          <w:sz w:val="20"/>
        </w:rPr>
        <w:t>.</w:t>
      </w:r>
    </w:p>
    <w:p w:rsidR="00236E18" w:rsidRPr="006451BE" w:rsidRDefault="00236E18" w:rsidP="00236E18">
      <w:pPr>
        <w:spacing w:after="60"/>
        <w:ind w:left="1843" w:hanging="766"/>
        <w:jc w:val="both"/>
        <w:rPr>
          <w:sz w:val="20"/>
        </w:rPr>
      </w:pPr>
      <w:r w:rsidRPr="006451BE">
        <w:rPr>
          <w:i/>
          <w:sz w:val="20"/>
        </w:rPr>
        <w:t>3.1.2</w:t>
      </w:r>
      <w:r w:rsidRPr="006451BE">
        <w:rPr>
          <w:i/>
          <w:sz w:val="20"/>
        </w:rPr>
        <w:tab/>
      </w:r>
      <w:r w:rsidRPr="006451BE">
        <w:rPr>
          <w:i/>
          <w:sz w:val="20"/>
          <w:lang w:val="es-ES_tradnl"/>
        </w:rPr>
        <w:t>Unión del PCT</w:t>
      </w:r>
      <w:proofErr w:type="gramStart"/>
      <w:r w:rsidRPr="006451BE">
        <w:rPr>
          <w:sz w:val="20"/>
          <w:lang w:val="es-ES_tradnl"/>
        </w:rPr>
        <w:t>:  Programas</w:t>
      </w:r>
      <w:proofErr w:type="gramEnd"/>
      <w:r w:rsidRPr="006451BE">
        <w:rPr>
          <w:sz w:val="20"/>
          <w:lang w:val="es-ES_tradnl"/>
        </w:rPr>
        <w:t> 1 (Derecho de patentes) (parcialmente), 5 (Sistema del PCT), 7 (Centro de Arbitraje y Mediación de la OMPI) (parcialmente), 12 (Clasificaciones internacionales y normas técnicas de la OMPI) (parcialmente), 13 (Bases de datos mundiales) (parcialmente) y 14 (Servicios de acceso a la información y a los conocimientos) (parcialmente)</w:t>
      </w:r>
      <w:r>
        <w:rPr>
          <w:sz w:val="20"/>
          <w:lang w:val="es-ES_tradnl"/>
        </w:rPr>
        <w:t>.</w:t>
      </w:r>
    </w:p>
    <w:p w:rsidR="00236E18" w:rsidRPr="006451BE" w:rsidRDefault="00236E18" w:rsidP="00236E18">
      <w:pPr>
        <w:spacing w:after="60"/>
        <w:ind w:left="1843" w:hanging="766"/>
        <w:jc w:val="both"/>
        <w:rPr>
          <w:sz w:val="20"/>
        </w:rPr>
      </w:pPr>
      <w:r w:rsidRPr="006451BE">
        <w:rPr>
          <w:i/>
          <w:sz w:val="20"/>
        </w:rPr>
        <w:t>3.1.3</w:t>
      </w:r>
      <w:r w:rsidRPr="006451BE">
        <w:rPr>
          <w:i/>
          <w:sz w:val="20"/>
        </w:rPr>
        <w:tab/>
      </w:r>
      <w:r w:rsidRPr="006451BE">
        <w:rPr>
          <w:i/>
          <w:sz w:val="20"/>
          <w:lang w:val="es-ES_tradnl"/>
        </w:rPr>
        <w:t>Unión de Madrid</w:t>
      </w:r>
      <w:proofErr w:type="gramStart"/>
      <w:r w:rsidRPr="006451BE">
        <w:rPr>
          <w:sz w:val="20"/>
          <w:lang w:val="es-ES_tradnl"/>
        </w:rPr>
        <w:t>:  Programas</w:t>
      </w:r>
      <w:proofErr w:type="gramEnd"/>
      <w:r w:rsidRPr="006451BE">
        <w:rPr>
          <w:sz w:val="20"/>
          <w:lang w:val="es-ES_tradnl"/>
        </w:rPr>
        <w:t> 2 (Marcas, dibujos y modelos industriales e indicaciones geográficas) (parcialmente), 6 (Sistema de Madrid) (parcialmente), 7 (Centro de Arbitraje y Mediación de la OMPI) (parcialmente), 12 (Clasificaciones internacionales y normas técnicas de la OMPI) (parcialmente), 13 (Bases de d</w:t>
      </w:r>
      <w:r>
        <w:rPr>
          <w:sz w:val="20"/>
          <w:lang w:val="es-ES_tradnl"/>
        </w:rPr>
        <w:t xml:space="preserve">atos mundiales) (parcialmente), y </w:t>
      </w:r>
      <w:r w:rsidRPr="006451BE">
        <w:rPr>
          <w:sz w:val="20"/>
          <w:lang w:val="es-ES_tradnl"/>
        </w:rPr>
        <w:t>14 (Servicios de acceso a la información y a los conocimientos) (parcialmente).</w:t>
      </w:r>
    </w:p>
    <w:p w:rsidR="00236E18" w:rsidRPr="006451BE" w:rsidRDefault="00236E18" w:rsidP="00236E18">
      <w:pPr>
        <w:spacing w:after="60"/>
        <w:ind w:left="1843" w:hanging="766"/>
        <w:jc w:val="both"/>
        <w:rPr>
          <w:sz w:val="20"/>
        </w:rPr>
      </w:pPr>
      <w:r w:rsidRPr="006451BE">
        <w:rPr>
          <w:i/>
          <w:sz w:val="20"/>
        </w:rPr>
        <w:t>3.1.4</w:t>
      </w:r>
      <w:r w:rsidRPr="006451BE">
        <w:rPr>
          <w:i/>
          <w:sz w:val="20"/>
        </w:rPr>
        <w:tab/>
      </w:r>
      <w:r w:rsidRPr="006451BE">
        <w:rPr>
          <w:i/>
          <w:sz w:val="20"/>
          <w:lang w:val="es-ES_tradnl"/>
        </w:rPr>
        <w:t xml:space="preserve">Unión de </w:t>
      </w:r>
      <w:r>
        <w:rPr>
          <w:i/>
          <w:sz w:val="20"/>
          <w:lang w:val="es-ES_tradnl"/>
        </w:rPr>
        <w:t>La Haya</w:t>
      </w:r>
      <w:proofErr w:type="gramStart"/>
      <w:r w:rsidRPr="006451BE">
        <w:rPr>
          <w:sz w:val="20"/>
          <w:lang w:val="es-ES_tradnl"/>
        </w:rPr>
        <w:t>:  Programas</w:t>
      </w:r>
      <w:proofErr w:type="gramEnd"/>
      <w:r w:rsidRPr="006451BE">
        <w:rPr>
          <w:sz w:val="20"/>
          <w:lang w:val="es-ES_tradnl"/>
        </w:rPr>
        <w:t xml:space="preserve"> 2 (Marcas, dibujos y modelos industriales e indicaciones geográficas) (parcialmente), 6 (Sistema de Madrid) (parcialmente), 7 (Centro de Arbitraje y Mediación de la OMPI) (parcialmente), 12 (Clasificaciones internacionales y normas técnicas de la OMPI) (parcialmente), 14 (Servicios de acceso a la información y a los conocimientos) (parcialmente) y 31 (Sistema de </w:t>
      </w:r>
      <w:r>
        <w:rPr>
          <w:sz w:val="20"/>
          <w:lang w:val="es-ES_tradnl"/>
        </w:rPr>
        <w:t>La Haya</w:t>
      </w:r>
      <w:r w:rsidRPr="006451BE">
        <w:rPr>
          <w:sz w:val="20"/>
          <w:lang w:val="es-ES_tradnl"/>
        </w:rPr>
        <w:t>).</w:t>
      </w:r>
    </w:p>
    <w:p w:rsidR="00236E18" w:rsidRPr="006451BE" w:rsidRDefault="00236E18" w:rsidP="00236E18">
      <w:pPr>
        <w:keepLines/>
        <w:spacing w:after="60"/>
        <w:ind w:left="1843" w:hanging="766"/>
        <w:jc w:val="both"/>
        <w:rPr>
          <w:sz w:val="20"/>
        </w:rPr>
      </w:pPr>
      <w:r w:rsidRPr="006451BE">
        <w:rPr>
          <w:i/>
          <w:sz w:val="20"/>
        </w:rPr>
        <w:t>3.1.5</w:t>
      </w:r>
      <w:r w:rsidRPr="006451BE">
        <w:rPr>
          <w:i/>
          <w:sz w:val="20"/>
        </w:rPr>
        <w:tab/>
      </w:r>
      <w:r w:rsidRPr="006451BE">
        <w:rPr>
          <w:i/>
          <w:sz w:val="20"/>
          <w:lang w:val="es-ES_tradnl"/>
        </w:rPr>
        <w:t>Unión de Lisboa</w:t>
      </w:r>
      <w:proofErr w:type="gramStart"/>
      <w:r w:rsidRPr="006451BE">
        <w:rPr>
          <w:i/>
          <w:sz w:val="20"/>
          <w:lang w:val="es-ES_tradnl"/>
        </w:rPr>
        <w:t xml:space="preserve">:  </w:t>
      </w:r>
      <w:r w:rsidRPr="006451BE">
        <w:rPr>
          <w:sz w:val="20"/>
          <w:lang w:val="es-ES_tradnl"/>
        </w:rPr>
        <w:t>Programa</w:t>
      </w:r>
      <w:r>
        <w:rPr>
          <w:sz w:val="20"/>
          <w:lang w:val="es-ES_tradnl"/>
        </w:rPr>
        <w:t>s</w:t>
      </w:r>
      <w:proofErr w:type="gramEnd"/>
      <w:r>
        <w:rPr>
          <w:sz w:val="20"/>
          <w:lang w:val="es-ES_tradnl"/>
        </w:rPr>
        <w:t> 6 (Sistema de Madrid</w:t>
      </w:r>
      <w:r w:rsidRPr="006451BE">
        <w:rPr>
          <w:sz w:val="20"/>
          <w:lang w:val="es-ES_tradnl"/>
        </w:rPr>
        <w:t>) (parcialmente), 7</w:t>
      </w:r>
      <w:r>
        <w:rPr>
          <w:sz w:val="20"/>
          <w:lang w:val="es-ES_tradnl"/>
        </w:rPr>
        <w:t> </w:t>
      </w:r>
      <w:r w:rsidRPr="006451BE">
        <w:rPr>
          <w:sz w:val="20"/>
          <w:lang w:val="es-ES_tradnl"/>
        </w:rPr>
        <w:t>(Centro de Arbitraje y Mediación de la OMPI) (parcialmente)</w:t>
      </w:r>
      <w:r>
        <w:rPr>
          <w:sz w:val="20"/>
          <w:lang w:val="es-ES_tradnl"/>
        </w:rPr>
        <w:t xml:space="preserve">, </w:t>
      </w:r>
      <w:r w:rsidRPr="006451BE">
        <w:rPr>
          <w:sz w:val="20"/>
          <w:lang w:val="es-ES_tradnl"/>
        </w:rPr>
        <w:t>14 (Servicios de acceso a la información y a los conocimientos) (parcialmente)</w:t>
      </w:r>
      <w:r>
        <w:rPr>
          <w:sz w:val="20"/>
          <w:lang w:val="es-ES_tradnl"/>
        </w:rPr>
        <w:t xml:space="preserve"> y 32 (Sistema de Lisboa).</w:t>
      </w:r>
    </w:p>
    <w:p w:rsidR="00236E18" w:rsidRPr="006451BE" w:rsidRDefault="00236E18" w:rsidP="00236E18">
      <w:pPr>
        <w:jc w:val="both"/>
        <w:rPr>
          <w:sz w:val="20"/>
        </w:rPr>
      </w:pPr>
    </w:p>
    <w:p w:rsidR="00236E18" w:rsidRPr="006451BE" w:rsidRDefault="00236E18" w:rsidP="00236E18">
      <w:pPr>
        <w:ind w:left="1080" w:hanging="513"/>
        <w:jc w:val="both"/>
        <w:rPr>
          <w:sz w:val="20"/>
        </w:rPr>
      </w:pPr>
      <w:r w:rsidRPr="006451BE">
        <w:rPr>
          <w:i/>
          <w:sz w:val="20"/>
        </w:rPr>
        <w:lastRenderedPageBreak/>
        <w:t>3.2</w:t>
      </w:r>
      <w:r w:rsidRPr="006451BE">
        <w:rPr>
          <w:i/>
          <w:sz w:val="20"/>
        </w:rPr>
        <w:tab/>
      </w:r>
      <w:r w:rsidRPr="006451BE">
        <w:rPr>
          <w:i/>
          <w:sz w:val="20"/>
          <w:lang w:val="es-ES_tradnl"/>
        </w:rPr>
        <w:t>Gastos administrativos directos por Unión</w:t>
      </w:r>
      <w:proofErr w:type="gramStart"/>
      <w:r w:rsidRPr="006451BE">
        <w:rPr>
          <w:sz w:val="20"/>
          <w:lang w:val="es-ES_tradnl"/>
        </w:rPr>
        <w:t>:  Bajo</w:t>
      </w:r>
      <w:proofErr w:type="gramEnd"/>
      <w:r w:rsidRPr="006451BE">
        <w:rPr>
          <w:sz w:val="20"/>
          <w:lang w:val="es-ES_tradnl"/>
        </w:rPr>
        <w:t xml:space="preserve"> esta categoría se engloba una parte de todos los programas comprendidos en la meta estratégica IX (programas 21 a 28) y “No asignados”.</w:t>
      </w:r>
      <w:r w:rsidRPr="006451BE">
        <w:rPr>
          <w:sz w:val="20"/>
        </w:rPr>
        <w:t xml:space="preserve">  </w:t>
      </w:r>
      <w:r w:rsidRPr="006451BE">
        <w:rPr>
          <w:sz w:val="20"/>
          <w:lang w:val="es-ES_tradnl"/>
        </w:rPr>
        <w:t>La asignación de gastos presupuestados se determina mediante un proceso que consta de dos etapas</w:t>
      </w:r>
      <w:r w:rsidRPr="006451BE">
        <w:rPr>
          <w:sz w:val="20"/>
        </w:rPr>
        <w:t>.  En primer lugar, se determina el porcentaje total de costos administrativos directos para todas las Uniones sobre la base del número total de empleados de nómina de los programas relacionados directamente con las Uniones en relación con el número total de empleados de nómina de todos los programas, a excepción de los comprendidos en el marco de la meta estratégica IX.  Posteriormente, se asignan los gastos administrativos directos por Unión a las Uniones respectivas sobre la base del porcentaje del número de empleados de nómina de cada Unión en relación con el número total de empleados de nómina de los programas relacionados directamente con las Uniones.  El proceso que consta de dos etapas se aplica a la partida de los gastos administrativos que no pueden ser fácilmente vinculados a una Unión determinada.</w:t>
      </w:r>
    </w:p>
    <w:p w:rsidR="00236E18" w:rsidRPr="006451BE" w:rsidRDefault="00236E18" w:rsidP="00236E18">
      <w:pPr>
        <w:ind w:left="1080" w:hanging="513"/>
        <w:jc w:val="both"/>
        <w:rPr>
          <w:b/>
          <w:i/>
          <w:sz w:val="20"/>
        </w:rPr>
      </w:pPr>
    </w:p>
    <w:p w:rsidR="00236E18" w:rsidRPr="006451BE" w:rsidRDefault="00236E18" w:rsidP="00236E18">
      <w:pPr>
        <w:numPr>
          <w:ilvl w:val="0"/>
          <w:numId w:val="45"/>
        </w:numPr>
        <w:jc w:val="both"/>
        <w:rPr>
          <w:b/>
          <w:sz w:val="20"/>
        </w:rPr>
      </w:pPr>
      <w:r w:rsidRPr="006451BE">
        <w:rPr>
          <w:i/>
          <w:sz w:val="20"/>
          <w:lang w:val="es-ES_tradnl"/>
        </w:rPr>
        <w:t>GASTOS INDIRECTOS POR UNIÓN</w:t>
      </w:r>
      <w:r w:rsidRPr="006451BE">
        <w:rPr>
          <w:sz w:val="20"/>
          <w:lang w:val="es-ES_tradnl"/>
        </w:rPr>
        <w:t>, constituidos por el porcentaje asignado a cada Unión de gastos presupuestados para los programas que no guardan relación directa con las actividades de la Unión correspondiente, junto con el porcentaje de gastos administrativos conexos y otros gastos presupuestados</w:t>
      </w:r>
      <w:r w:rsidRPr="006451BE">
        <w:rPr>
          <w:sz w:val="20"/>
        </w:rPr>
        <w:t>.</w:t>
      </w:r>
    </w:p>
    <w:p w:rsidR="00236E18" w:rsidRPr="006451BE" w:rsidRDefault="00236E18" w:rsidP="00236E18">
      <w:pPr>
        <w:jc w:val="both"/>
        <w:rPr>
          <w:b/>
          <w:sz w:val="20"/>
        </w:rPr>
      </w:pPr>
    </w:p>
    <w:p w:rsidR="00236E18" w:rsidRPr="006451BE" w:rsidRDefault="00236E18" w:rsidP="00236E18">
      <w:pPr>
        <w:ind w:left="1080" w:hanging="513"/>
        <w:jc w:val="both"/>
        <w:rPr>
          <w:b/>
          <w:i/>
          <w:sz w:val="20"/>
        </w:rPr>
      </w:pPr>
      <w:r w:rsidRPr="006451BE">
        <w:rPr>
          <w:i/>
          <w:sz w:val="20"/>
        </w:rPr>
        <w:t>4.1</w:t>
      </w:r>
      <w:r w:rsidRPr="006451BE">
        <w:rPr>
          <w:i/>
          <w:sz w:val="20"/>
        </w:rPr>
        <w:tab/>
        <w:t xml:space="preserve">Gastos </w:t>
      </w:r>
      <w:r w:rsidRPr="006451BE">
        <w:rPr>
          <w:i/>
          <w:sz w:val="20"/>
          <w:lang w:val="es-ES_tradnl"/>
        </w:rPr>
        <w:t>indirectos por Unión</w:t>
      </w:r>
      <w:r w:rsidRPr="006451BE">
        <w:rPr>
          <w:sz w:val="20"/>
          <w:lang w:val="es-ES_tradnl"/>
        </w:rPr>
        <w:t>:  Bajo esta rúbrica se engloban las siguientes actividades de programa y gastos presupuestados:  Programas 1 (Derecho de patentes) (parcialmente), 3 (Derecho de autor y derechos conexos) (parcialmente), 8 (Coordinación de la Agenda para el Desarrollo), 9 (Países africanos, árabes, de América Latina y el Caribe, de Asia y el Pacífico y Países Menos Adelantados)</w:t>
      </w:r>
      <w:r w:rsidRPr="006451BE">
        <w:rPr>
          <w:sz w:val="20"/>
        </w:rPr>
        <w:t xml:space="preserve">, 10 (Países en transición y desarrollados), 11 </w:t>
      </w:r>
      <w:r w:rsidRPr="006451BE">
        <w:rPr>
          <w:sz w:val="20"/>
          <w:lang w:val="es-ES_tradnl"/>
        </w:rPr>
        <w:t>(Academia de la OMPI), 15 (Soluciones operativas para las oficinas de P.I.), 16 (Economía y estadística), 17 (Fomentar el respeto por la P.I.), 18 (La P.I. y los desafíos mundiales), 19 (Comunicaciones), 20 (Relaciones exteriores, alianzas y oficinas en el exterior) y 30 (Apoyo a las Pymes y la capacidad empresarial)</w:t>
      </w:r>
      <w:r w:rsidRPr="006451BE">
        <w:rPr>
          <w:sz w:val="20"/>
        </w:rPr>
        <w:t xml:space="preserve">.  </w:t>
      </w:r>
      <w:r w:rsidRPr="006451BE">
        <w:rPr>
          <w:sz w:val="20"/>
          <w:lang w:val="es-ES_tradnl"/>
        </w:rPr>
        <w:t xml:space="preserve">La cuota de gastos presupuestados correspondiente a cada uno de esos programas se asigna a las Uniones sobre la base de su respectiva </w:t>
      </w:r>
      <w:r w:rsidRPr="006451BE">
        <w:rPr>
          <w:i/>
          <w:sz w:val="20"/>
          <w:lang w:val="es-ES_tradnl"/>
        </w:rPr>
        <w:t>capacidad de pago en el bienio</w:t>
      </w:r>
      <w:r w:rsidRPr="006451BE">
        <w:rPr>
          <w:sz w:val="20"/>
          <w:lang w:val="es-ES_tradnl"/>
        </w:rPr>
        <w:t xml:space="preserve">.  Se trata del cálculo de la diferencia entre los ingresos previstos para cada Unión en el bienio y los otros gastos asignados a las Uniones y las reservas obligatorias mínimas (“previsión mínima de reservas”).  El cálculo de la previsión mínima de reservas se basa en la reserva obligatoria correspondiente a los gastos del bienio anterior.  Mediante la metodología aplicada se garantiza una distribución proporcional </w:t>
      </w:r>
      <w:proofErr w:type="gramStart"/>
      <w:r w:rsidRPr="006451BE">
        <w:rPr>
          <w:sz w:val="20"/>
          <w:lang w:val="es-ES_tradnl"/>
        </w:rPr>
        <w:t>del gasto indirecto entre las Uniones a partir de los recursos (excedente) generados</w:t>
      </w:r>
      <w:proofErr w:type="gramEnd"/>
      <w:r w:rsidRPr="006451BE">
        <w:rPr>
          <w:sz w:val="20"/>
          <w:lang w:val="es-ES_tradnl"/>
        </w:rPr>
        <w:t xml:space="preserve"> en el bienio en curso.  Únicamente cuando no sea suficiente el excedente bienal generado se utilizarán las reservas disponibles para cubrir el remanente de gastos indirectos, lo que se hará teniendo en cuenta la parte relativa correspondiente a cada Unión.</w:t>
      </w:r>
    </w:p>
    <w:p w:rsidR="00236E18" w:rsidRPr="006451BE" w:rsidRDefault="00236E18" w:rsidP="00236E18">
      <w:pPr>
        <w:tabs>
          <w:tab w:val="num" w:pos="1134"/>
        </w:tabs>
        <w:ind w:left="1134" w:hanging="567"/>
        <w:jc w:val="both"/>
        <w:rPr>
          <w:sz w:val="20"/>
        </w:rPr>
      </w:pPr>
    </w:p>
    <w:p w:rsidR="00236E18" w:rsidRPr="006451BE" w:rsidRDefault="00236E18" w:rsidP="00236E18">
      <w:pPr>
        <w:ind w:left="1134" w:hanging="567"/>
        <w:jc w:val="both"/>
        <w:rPr>
          <w:sz w:val="20"/>
        </w:rPr>
      </w:pPr>
      <w:r w:rsidRPr="006451BE">
        <w:rPr>
          <w:i/>
          <w:sz w:val="20"/>
        </w:rPr>
        <w:t>4.2</w:t>
      </w:r>
      <w:r w:rsidRPr="006451BE">
        <w:rPr>
          <w:i/>
          <w:sz w:val="20"/>
        </w:rPr>
        <w:tab/>
      </w:r>
      <w:r w:rsidRPr="006451BE">
        <w:rPr>
          <w:i/>
          <w:sz w:val="20"/>
          <w:lang w:val="es-ES_tradnl"/>
        </w:rPr>
        <w:t>Gastos administrativos indirectos</w:t>
      </w:r>
      <w:r w:rsidRPr="006451BE">
        <w:rPr>
          <w:sz w:val="20"/>
          <w:lang w:val="es-ES_tradnl"/>
        </w:rPr>
        <w:t>:  Estos gastos guardan relación con los gastos presupuestados en el marco de los programas 21 a 28 que no han sido asignados a los gastos directos por Unión, así como al importe presupuestado en la categoría “No asignados” en la propuesta de presupuesto.</w:t>
      </w:r>
      <w:r w:rsidRPr="006451BE">
        <w:rPr>
          <w:sz w:val="20"/>
        </w:rPr>
        <w:t xml:space="preserve">  </w:t>
      </w:r>
      <w:r w:rsidRPr="006451BE">
        <w:rPr>
          <w:sz w:val="20"/>
          <w:lang w:val="es-ES_tradnl"/>
        </w:rPr>
        <w:t>La asignación de esos gastos presupuestados se efectúa sobre la base de su respectiva capacidad de pago (es decir, según el mismo principio aplicable a los gastos indirectos por Unión)</w:t>
      </w:r>
      <w:r w:rsidRPr="006451BE">
        <w:rPr>
          <w:sz w:val="20"/>
        </w:rPr>
        <w:t>.</w:t>
      </w:r>
    </w:p>
    <w:p w:rsidR="00236E18" w:rsidRPr="00276D33" w:rsidRDefault="00236E18" w:rsidP="00236E18">
      <w:pPr>
        <w:rPr>
          <w:color w:val="244061" w:themeColor="accent1" w:themeShade="80"/>
          <w:sz w:val="20"/>
        </w:rPr>
      </w:pPr>
    </w:p>
    <w:p w:rsidR="00236E18" w:rsidRPr="00276D33" w:rsidRDefault="00236E18" w:rsidP="00236E18">
      <w:pPr>
        <w:rPr>
          <w:bCs/>
          <w:color w:val="244061" w:themeColor="accent1" w:themeShade="80"/>
          <w:sz w:val="20"/>
        </w:rPr>
      </w:pPr>
    </w:p>
    <w:p w:rsidR="00236E18" w:rsidRPr="00C6387E" w:rsidRDefault="00236E18" w:rsidP="00236E18">
      <w:pPr>
        <w:rPr>
          <w:bCs/>
          <w:sz w:val="20"/>
        </w:rPr>
      </w:pPr>
      <w:r w:rsidRPr="00276D33">
        <w:rPr>
          <w:bCs/>
          <w:color w:val="244061" w:themeColor="accent1" w:themeShade="80"/>
          <w:sz w:val="20"/>
          <w:lang w:val="es-ES_tradnl"/>
        </w:rPr>
        <w:t xml:space="preserve">ASIGNACIÓN </w:t>
      </w:r>
      <w:r w:rsidRPr="00C37DFA">
        <w:rPr>
          <w:bCs/>
          <w:sz w:val="20"/>
          <w:lang w:val="es-ES_tradnl"/>
        </w:rPr>
        <w:t>DE LOS INGRESOS POR UNIÓN</w:t>
      </w:r>
    </w:p>
    <w:p w:rsidR="00236E18" w:rsidRPr="00C6387E" w:rsidRDefault="00236E18" w:rsidP="00236E18">
      <w:pPr>
        <w:rPr>
          <w:color w:val="1F497D"/>
          <w:sz w:val="20"/>
        </w:rPr>
      </w:pPr>
    </w:p>
    <w:p w:rsidR="00236E18" w:rsidRPr="0041456A" w:rsidRDefault="00236E18" w:rsidP="00236E18">
      <w:pPr>
        <w:numPr>
          <w:ilvl w:val="0"/>
          <w:numId w:val="45"/>
        </w:numPr>
        <w:jc w:val="both"/>
        <w:rPr>
          <w:sz w:val="20"/>
        </w:rPr>
      </w:pPr>
      <w:r w:rsidRPr="00435337">
        <w:rPr>
          <w:sz w:val="20"/>
          <w:lang w:val="es-ES_tradnl"/>
        </w:rPr>
        <w:t>Los ingresos procedentes de las contribuciones se asignan íntegramente a las Uniones financiadas por contribuciones</w:t>
      </w:r>
      <w:r w:rsidRPr="00C37DFA">
        <w:rPr>
          <w:sz w:val="20"/>
          <w:lang w:val="es-ES_tradnl"/>
        </w:rPr>
        <w:t xml:space="preserve">.  Los ingresos </w:t>
      </w:r>
      <w:r>
        <w:rPr>
          <w:sz w:val="20"/>
          <w:lang w:val="es-ES_tradnl"/>
        </w:rPr>
        <w:t>en</w:t>
      </w:r>
      <w:r w:rsidRPr="00C37DFA">
        <w:rPr>
          <w:sz w:val="20"/>
          <w:lang w:val="es-ES_tradnl"/>
        </w:rPr>
        <w:t xml:space="preserve"> concepto de tasas del Sistema del PCT, de los sistemas de registro de Madrid, </w:t>
      </w:r>
      <w:r>
        <w:rPr>
          <w:sz w:val="20"/>
          <w:lang w:val="es-ES_tradnl"/>
        </w:rPr>
        <w:t>La Haya</w:t>
      </w:r>
      <w:r w:rsidRPr="00C37DFA">
        <w:rPr>
          <w:sz w:val="20"/>
          <w:lang w:val="es-ES_tradnl"/>
        </w:rPr>
        <w:t xml:space="preserve"> y Lisboa se asignan enteramente a las Uniones respectivas. Los ingresos procedentes de las publicaciones se asignan a las Uniones de</w:t>
      </w:r>
      <w:r>
        <w:rPr>
          <w:sz w:val="20"/>
          <w:lang w:val="es-ES_tradnl"/>
        </w:rPr>
        <w:t>l PCT,</w:t>
      </w:r>
      <w:r w:rsidRPr="00C37DFA">
        <w:rPr>
          <w:sz w:val="20"/>
          <w:lang w:val="es-ES_tradnl"/>
        </w:rPr>
        <w:t xml:space="preserve"> Madrid y </w:t>
      </w:r>
      <w:r>
        <w:rPr>
          <w:sz w:val="20"/>
          <w:lang w:val="es-ES_tradnl"/>
        </w:rPr>
        <w:t>La Haya</w:t>
      </w:r>
      <w:r w:rsidRPr="00C37DFA">
        <w:rPr>
          <w:sz w:val="20"/>
          <w:lang w:val="es-ES_tradnl"/>
        </w:rPr>
        <w:t xml:space="preserve"> </w:t>
      </w:r>
      <w:r>
        <w:rPr>
          <w:sz w:val="20"/>
          <w:lang w:val="es-ES_tradnl"/>
        </w:rPr>
        <w:t>financiada</w:t>
      </w:r>
      <w:r w:rsidRPr="00C37DFA">
        <w:rPr>
          <w:sz w:val="20"/>
          <w:lang w:val="es-ES_tradnl"/>
        </w:rPr>
        <w:t xml:space="preserve">s por contribuciones sobre la base de los ingresos estimados </w:t>
      </w:r>
      <w:r>
        <w:rPr>
          <w:sz w:val="20"/>
          <w:lang w:val="es-ES_tradnl"/>
        </w:rPr>
        <w:t>en</w:t>
      </w:r>
      <w:r w:rsidRPr="00C37DFA">
        <w:rPr>
          <w:sz w:val="20"/>
          <w:lang w:val="es-ES_tradnl"/>
        </w:rPr>
        <w:t xml:space="preserve"> ese concepto para cada Unión.  Los ingresos procedentes del Centro de Arbitraje y Mediación se asignan a las Uniones mediante el cálculo de la parte relativa correspondiente a cada Unión.  Los “Otros ingresos” se distribuyen a las Uniones de la manera siguiente: i) una parte de los otros ingresos se atribuye directamente a la Unión del Sistema de Madrid </w:t>
      </w:r>
      <w:r w:rsidRPr="00C37DFA">
        <w:rPr>
          <w:sz w:val="20"/>
          <w:lang w:val="es-ES_tradnl"/>
        </w:rPr>
        <w:lastRenderedPageBreak/>
        <w:t>por tratarse de ingresos provenientes del alquiler del edificio de la Unión de Madrid y ii) la parte restante de esa rúbrica se distribuye de forma equitativa entre todas las Uniones.</w:t>
      </w:r>
    </w:p>
    <w:p w:rsidR="00236E18" w:rsidRPr="00276D33" w:rsidRDefault="00236E18" w:rsidP="00236E18">
      <w:pPr>
        <w:rPr>
          <w:color w:val="244061" w:themeColor="accent1" w:themeShade="80"/>
          <w:sz w:val="20"/>
        </w:rPr>
      </w:pPr>
    </w:p>
    <w:p w:rsidR="00236E18" w:rsidRPr="00276D33" w:rsidRDefault="00236E18" w:rsidP="00236E18">
      <w:pPr>
        <w:rPr>
          <w:color w:val="244061" w:themeColor="accent1" w:themeShade="80"/>
          <w:sz w:val="20"/>
        </w:rPr>
      </w:pPr>
    </w:p>
    <w:p w:rsidR="00236E18" w:rsidRPr="006451BE" w:rsidRDefault="00236E18" w:rsidP="00236E18">
      <w:pPr>
        <w:rPr>
          <w:bCs/>
          <w:sz w:val="20"/>
        </w:rPr>
      </w:pPr>
      <w:r w:rsidRPr="006451BE">
        <w:rPr>
          <w:bCs/>
          <w:sz w:val="20"/>
          <w:lang w:val="es-ES_tradnl"/>
        </w:rPr>
        <w:t>ASIGNACIÓN DE LOS AJUSTES CONFORME A LAS IPSAS, POR UNIÓN</w:t>
      </w:r>
    </w:p>
    <w:p w:rsidR="00236E18" w:rsidRPr="006451BE" w:rsidRDefault="00236E18" w:rsidP="00236E18">
      <w:pPr>
        <w:rPr>
          <w:color w:val="1F497D"/>
          <w:sz w:val="20"/>
        </w:rPr>
      </w:pPr>
    </w:p>
    <w:p w:rsidR="00236E18" w:rsidRPr="006451BE" w:rsidRDefault="00236E18" w:rsidP="00236E18">
      <w:pPr>
        <w:numPr>
          <w:ilvl w:val="0"/>
          <w:numId w:val="45"/>
        </w:numPr>
        <w:jc w:val="both"/>
        <w:rPr>
          <w:b/>
          <w:i/>
          <w:sz w:val="20"/>
        </w:rPr>
      </w:pPr>
      <w:r w:rsidRPr="006451BE">
        <w:rPr>
          <w:sz w:val="20"/>
          <w:lang w:val="es-ES_tradnl"/>
        </w:rPr>
        <w:t xml:space="preserve">Los ajustes en los ingresos conforme a las IPSAS se pueden atribuir a cada una de las Uniones, puesto que guardan una relación directa con las tasas provenientes de los sistemas del PCT, de Madrid y de </w:t>
      </w:r>
      <w:r>
        <w:rPr>
          <w:sz w:val="20"/>
          <w:lang w:val="es-ES_tradnl"/>
        </w:rPr>
        <w:t>La Haya</w:t>
      </w:r>
      <w:r w:rsidRPr="006451BE">
        <w:rPr>
          <w:sz w:val="20"/>
          <w:lang w:val="es-ES_tradnl"/>
        </w:rPr>
        <w:t>.  Se realiza una distribución proporcional de los ajustes en los gastos presupuestarios conforme a las IPSAS entre las Uniones sobre la base de la asignación de los gastos presupuestarios</w:t>
      </w:r>
      <w:r w:rsidRPr="006451BE">
        <w:rPr>
          <w:sz w:val="20"/>
        </w:rPr>
        <w:t>.</w:t>
      </w:r>
    </w:p>
    <w:p w:rsidR="00236E18" w:rsidRPr="006451BE" w:rsidRDefault="00236E18" w:rsidP="00236E18">
      <w:pPr>
        <w:jc w:val="both"/>
        <w:rPr>
          <w:sz w:val="20"/>
        </w:rPr>
      </w:pPr>
    </w:p>
    <w:p w:rsidR="00236E18" w:rsidRPr="002150CA" w:rsidRDefault="00236E18" w:rsidP="00236E18">
      <w:pPr>
        <w:jc w:val="both"/>
        <w:rPr>
          <w:sz w:val="20"/>
        </w:rPr>
      </w:pPr>
      <w:r w:rsidRPr="006451BE">
        <w:rPr>
          <w:sz w:val="20"/>
        </w:rPr>
        <w:t>En sintonía con la metodología anteriormente mencionada, en los cuadros 11, 12 y 13 que figuran a continuación se exponen la situación general para 2016/17, por Unión, estimaciones de ingresos para 2016/17, por Unión, y el presupuesto para 2016/17, por programa y Unión.</w:t>
      </w:r>
    </w:p>
    <w:p w:rsidR="00236E18" w:rsidRPr="002150CA" w:rsidRDefault="00236E18" w:rsidP="00236E18">
      <w:pPr>
        <w:jc w:val="both"/>
        <w:rPr>
          <w:sz w:val="20"/>
        </w:rPr>
      </w:pPr>
    </w:p>
    <w:p w:rsidR="00236E18" w:rsidRPr="002150CA" w:rsidRDefault="00236E18" w:rsidP="00236E18">
      <w:pPr>
        <w:rPr>
          <w:sz w:val="20"/>
        </w:rPr>
      </w:pPr>
    </w:p>
    <w:p w:rsidR="00236E18" w:rsidRPr="00BF5CF4" w:rsidRDefault="00236E18" w:rsidP="00236E18">
      <w:pPr>
        <w:jc w:val="center"/>
        <w:rPr>
          <w:b/>
          <w:sz w:val="16"/>
          <w:szCs w:val="16"/>
        </w:rPr>
      </w:pPr>
      <w:r w:rsidRPr="00BF5CF4">
        <w:rPr>
          <w:b/>
          <w:sz w:val="16"/>
          <w:szCs w:val="16"/>
        </w:rPr>
        <w:t>Cuadro 11.  Situación hipotética para 2016/17, por Unión</w:t>
      </w:r>
    </w:p>
    <w:p w:rsidR="00236E18" w:rsidRPr="00BF5CF4" w:rsidRDefault="00236E18" w:rsidP="00236E18">
      <w:pPr>
        <w:jc w:val="center"/>
        <w:rPr>
          <w:i/>
          <w:sz w:val="16"/>
          <w:szCs w:val="16"/>
        </w:rPr>
      </w:pPr>
      <w:r w:rsidRPr="00BF5CF4">
        <w:rPr>
          <w:i/>
          <w:sz w:val="16"/>
          <w:szCs w:val="16"/>
        </w:rPr>
        <w:t>(</w:t>
      </w:r>
      <w:proofErr w:type="gramStart"/>
      <w:r w:rsidRPr="00BF5CF4">
        <w:rPr>
          <w:i/>
          <w:sz w:val="16"/>
          <w:szCs w:val="16"/>
        </w:rPr>
        <w:t>en</w:t>
      </w:r>
      <w:proofErr w:type="gramEnd"/>
      <w:r w:rsidRPr="00BF5CF4">
        <w:rPr>
          <w:i/>
          <w:sz w:val="16"/>
          <w:szCs w:val="16"/>
        </w:rPr>
        <w:t xml:space="preserve"> miles de francos suizos)</w:t>
      </w:r>
    </w:p>
    <w:p w:rsidR="00236E18" w:rsidRPr="00BF5CF4" w:rsidRDefault="00236E18" w:rsidP="00236E18">
      <w:pPr>
        <w:jc w:val="both"/>
        <w:rPr>
          <w:sz w:val="20"/>
          <w:highlight w:val="lightGray"/>
        </w:rPr>
      </w:pPr>
    </w:p>
    <w:p w:rsidR="00236E18" w:rsidRPr="00BF5CF4" w:rsidRDefault="00236E18" w:rsidP="00236E18">
      <w:pPr>
        <w:jc w:val="center"/>
        <w:rPr>
          <w:i/>
          <w:sz w:val="20"/>
          <w:highlight w:val="lightGray"/>
        </w:rPr>
      </w:pPr>
      <w:r>
        <w:rPr>
          <w:noProof/>
          <w:lang w:val="en-US" w:eastAsia="en-US"/>
        </w:rPr>
        <w:drawing>
          <wp:inline distT="0" distB="0" distL="0" distR="0" wp14:anchorId="74702613" wp14:editId="0D71987F">
            <wp:extent cx="6232112" cy="2041451"/>
            <wp:effectExtent l="0" t="0" r="0" b="0"/>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235907" cy="2042694"/>
                    </a:xfrm>
                    <a:prstGeom prst="rect">
                      <a:avLst/>
                    </a:prstGeom>
                    <a:noFill/>
                    <a:ln>
                      <a:noFill/>
                    </a:ln>
                  </pic:spPr>
                </pic:pic>
              </a:graphicData>
            </a:graphic>
          </wp:inline>
        </w:drawing>
      </w:r>
    </w:p>
    <w:p w:rsidR="00236E18" w:rsidRPr="00BF5CF4" w:rsidRDefault="00236E18" w:rsidP="00236E18">
      <w:pPr>
        <w:rPr>
          <w:i/>
          <w:sz w:val="16"/>
          <w:szCs w:val="14"/>
          <w:highlight w:val="lightGray"/>
        </w:rPr>
      </w:pPr>
      <w:r w:rsidRPr="00BF5CF4">
        <w:rPr>
          <w:i/>
          <w:sz w:val="16"/>
          <w:szCs w:val="14"/>
        </w:rPr>
        <w:t>* En lo relativo a los FRO, los objetivos se calculan en porcentaje del gasto bienal para cada Unión.</w:t>
      </w:r>
    </w:p>
    <w:p w:rsidR="00236E18" w:rsidRPr="00BF5CF4" w:rsidRDefault="00236E18" w:rsidP="00236E18">
      <w:pPr>
        <w:rPr>
          <w:i/>
          <w:sz w:val="16"/>
          <w:szCs w:val="14"/>
          <w:highlight w:val="lightGray"/>
        </w:rPr>
      </w:pPr>
    </w:p>
    <w:p w:rsidR="00236E18" w:rsidRPr="00211D12" w:rsidRDefault="00236E18" w:rsidP="00236E18">
      <w:pPr>
        <w:rPr>
          <w:i/>
          <w:sz w:val="16"/>
          <w:szCs w:val="14"/>
          <w:highlight w:val="lightGray"/>
        </w:rPr>
      </w:pPr>
    </w:p>
    <w:p w:rsidR="00236E18" w:rsidRPr="00122E09" w:rsidRDefault="00236E18" w:rsidP="00236E18">
      <w:pPr>
        <w:rPr>
          <w:i/>
          <w:sz w:val="14"/>
          <w:szCs w:val="14"/>
          <w:highlight w:val="lightGray"/>
        </w:rPr>
      </w:pPr>
    </w:p>
    <w:p w:rsidR="00236E18" w:rsidRPr="00122E09" w:rsidRDefault="00236E18" w:rsidP="00236E18">
      <w:pPr>
        <w:jc w:val="center"/>
        <w:rPr>
          <w:b/>
          <w:sz w:val="16"/>
          <w:szCs w:val="16"/>
        </w:rPr>
      </w:pPr>
      <w:r w:rsidRPr="00122E09">
        <w:rPr>
          <w:b/>
          <w:sz w:val="16"/>
          <w:szCs w:val="16"/>
        </w:rPr>
        <w:t>Cuadro 12.  Estimaciones de ingresos para 2016/17, por Unión</w:t>
      </w:r>
    </w:p>
    <w:p w:rsidR="00236E18" w:rsidRPr="00122E09" w:rsidRDefault="00236E18" w:rsidP="00236E18">
      <w:pPr>
        <w:jc w:val="center"/>
        <w:rPr>
          <w:i/>
          <w:sz w:val="16"/>
          <w:szCs w:val="16"/>
        </w:rPr>
      </w:pPr>
      <w:r w:rsidRPr="00122E09">
        <w:rPr>
          <w:i/>
          <w:sz w:val="16"/>
          <w:szCs w:val="16"/>
        </w:rPr>
        <w:t>(</w:t>
      </w:r>
      <w:proofErr w:type="gramStart"/>
      <w:r w:rsidRPr="00122E09">
        <w:rPr>
          <w:i/>
          <w:sz w:val="16"/>
          <w:szCs w:val="16"/>
        </w:rPr>
        <w:t>en</w:t>
      </w:r>
      <w:proofErr w:type="gramEnd"/>
      <w:r w:rsidRPr="00122E09">
        <w:rPr>
          <w:i/>
          <w:sz w:val="16"/>
          <w:szCs w:val="16"/>
        </w:rPr>
        <w:t xml:space="preserve"> miles de francos suizos)</w:t>
      </w:r>
    </w:p>
    <w:p w:rsidR="00236E18" w:rsidRPr="00122E09" w:rsidRDefault="00236E18" w:rsidP="00236E18">
      <w:pPr>
        <w:jc w:val="center"/>
        <w:rPr>
          <w:i/>
          <w:sz w:val="16"/>
          <w:szCs w:val="16"/>
        </w:rPr>
      </w:pPr>
    </w:p>
    <w:p w:rsidR="00236E18" w:rsidRPr="00243548" w:rsidRDefault="00236E18" w:rsidP="00236E18">
      <w:pPr>
        <w:rPr>
          <w:i/>
          <w:color w:val="808080"/>
          <w:sz w:val="14"/>
          <w:szCs w:val="14"/>
        </w:rPr>
      </w:pPr>
      <w:r>
        <w:rPr>
          <w:noProof/>
          <w:lang w:val="en-US" w:eastAsia="en-US"/>
        </w:rPr>
        <w:drawing>
          <wp:inline distT="0" distB="0" distL="0" distR="0" wp14:anchorId="64F1EB9C" wp14:editId="2FE8A666">
            <wp:extent cx="5943600" cy="1167987"/>
            <wp:effectExtent l="0" t="0" r="0" b="0"/>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943600" cy="1167987"/>
                    </a:xfrm>
                    <a:prstGeom prst="rect">
                      <a:avLst/>
                    </a:prstGeom>
                    <a:noFill/>
                    <a:ln>
                      <a:noFill/>
                    </a:ln>
                  </pic:spPr>
                </pic:pic>
              </a:graphicData>
            </a:graphic>
          </wp:inline>
        </w:drawing>
      </w:r>
    </w:p>
    <w:p w:rsidR="00236E18" w:rsidRDefault="00236E18" w:rsidP="00236E18">
      <w:pPr>
        <w:spacing w:after="200" w:line="276" w:lineRule="auto"/>
        <w:rPr>
          <w:sz w:val="20"/>
        </w:rPr>
      </w:pPr>
    </w:p>
    <w:p w:rsidR="00236E18" w:rsidRDefault="00236E18" w:rsidP="00236E18">
      <w:pPr>
        <w:pStyle w:val="StyleHeading3ComplexItalic"/>
        <w:keepNext w:val="0"/>
        <w:tabs>
          <w:tab w:val="clear" w:pos="1985"/>
          <w:tab w:val="left" w:pos="1418"/>
        </w:tabs>
        <w:ind w:left="1418" w:hanging="1418"/>
        <w:rPr>
          <w:b w:val="0"/>
          <w:caps w:val="0"/>
          <w:lang w:val="es-ES"/>
        </w:rPr>
        <w:sectPr w:rsidR="00236E18" w:rsidSect="00080272">
          <w:headerReference w:type="even" r:id="rId212"/>
          <w:headerReference w:type="default" r:id="rId213"/>
          <w:footerReference w:type="even" r:id="rId214"/>
          <w:footerReference w:type="default" r:id="rId215"/>
          <w:pgSz w:w="12240" w:h="15840"/>
          <w:pgMar w:top="680" w:right="1418" w:bottom="1361" w:left="1418" w:header="624" w:footer="907" w:gutter="0"/>
          <w:cols w:space="720"/>
          <w:docGrid w:linePitch="360"/>
        </w:sectPr>
      </w:pPr>
    </w:p>
    <w:p w:rsidR="00236E18" w:rsidRPr="002C551C" w:rsidRDefault="00236E18" w:rsidP="00236E18">
      <w:pPr>
        <w:jc w:val="center"/>
        <w:rPr>
          <w:b/>
          <w:sz w:val="20"/>
          <w:szCs w:val="16"/>
        </w:rPr>
      </w:pPr>
      <w:r w:rsidRPr="002C551C">
        <w:rPr>
          <w:b/>
          <w:sz w:val="20"/>
          <w:szCs w:val="16"/>
        </w:rPr>
        <w:lastRenderedPageBreak/>
        <w:t>Cuadro 13.  Presupuesto para 2016/17, por programa y Unión</w:t>
      </w:r>
    </w:p>
    <w:p w:rsidR="00236E18" w:rsidRPr="002C551C" w:rsidRDefault="00236E18" w:rsidP="00236E18">
      <w:pPr>
        <w:jc w:val="center"/>
        <w:rPr>
          <w:i/>
          <w:sz w:val="20"/>
          <w:szCs w:val="16"/>
        </w:rPr>
      </w:pPr>
      <w:r w:rsidRPr="002C551C">
        <w:rPr>
          <w:i/>
          <w:sz w:val="20"/>
          <w:szCs w:val="16"/>
        </w:rPr>
        <w:t>(</w:t>
      </w:r>
      <w:proofErr w:type="gramStart"/>
      <w:r w:rsidRPr="002C551C">
        <w:rPr>
          <w:i/>
          <w:sz w:val="20"/>
          <w:szCs w:val="16"/>
        </w:rPr>
        <w:t>en</w:t>
      </w:r>
      <w:proofErr w:type="gramEnd"/>
      <w:r w:rsidRPr="002C551C">
        <w:rPr>
          <w:i/>
          <w:sz w:val="20"/>
          <w:szCs w:val="16"/>
        </w:rPr>
        <w:t xml:space="preserve"> miles de francos suizos)</w:t>
      </w:r>
    </w:p>
    <w:p w:rsidR="00236E18" w:rsidRPr="002C551C" w:rsidRDefault="00236E18" w:rsidP="00236E18">
      <w:pPr>
        <w:jc w:val="center"/>
        <w:rPr>
          <w:i/>
          <w:sz w:val="20"/>
          <w:szCs w:val="16"/>
        </w:rPr>
      </w:pPr>
    </w:p>
    <w:p w:rsidR="00236E18" w:rsidRPr="002C23BA" w:rsidRDefault="00236E18" w:rsidP="00236E18">
      <w:pPr>
        <w:rPr>
          <w:color w:val="808080"/>
          <w:sz w:val="20"/>
        </w:rPr>
      </w:pPr>
      <w:r w:rsidRPr="00F075D2">
        <w:rPr>
          <w:noProof/>
          <w:lang w:val="en-US" w:eastAsia="en-US"/>
        </w:rPr>
        <w:drawing>
          <wp:inline distT="0" distB="0" distL="0" distR="0" wp14:anchorId="7DA0AB9E" wp14:editId="17E4CF60">
            <wp:extent cx="8762365" cy="4286384"/>
            <wp:effectExtent l="0" t="0" r="635"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8762365" cy="4286384"/>
                    </a:xfrm>
                    <a:prstGeom prst="rect">
                      <a:avLst/>
                    </a:prstGeom>
                    <a:noFill/>
                    <a:ln>
                      <a:noFill/>
                    </a:ln>
                  </pic:spPr>
                </pic:pic>
              </a:graphicData>
            </a:graphic>
          </wp:inline>
        </w:drawing>
      </w:r>
    </w:p>
    <w:p w:rsidR="00236E18" w:rsidRDefault="00236E18" w:rsidP="00236E18">
      <w:pPr>
        <w:autoSpaceDE w:val="0"/>
        <w:autoSpaceDN w:val="0"/>
        <w:adjustRightInd w:val="0"/>
        <w:rPr>
          <w:sz w:val="20"/>
        </w:rPr>
      </w:pPr>
    </w:p>
    <w:p w:rsidR="00236E18" w:rsidRDefault="00236E18" w:rsidP="00236E18">
      <w:pPr>
        <w:pStyle w:val="StyleHeading3ComplexItalic"/>
        <w:keepNext w:val="0"/>
        <w:tabs>
          <w:tab w:val="clear" w:pos="1985"/>
          <w:tab w:val="left" w:pos="1418"/>
        </w:tabs>
        <w:ind w:left="1418" w:hanging="1418"/>
        <w:rPr>
          <w:b w:val="0"/>
          <w:caps w:val="0"/>
          <w:lang w:val="es-ES"/>
        </w:rPr>
        <w:sectPr w:rsidR="00236E18" w:rsidSect="00080272">
          <w:pgSz w:w="15840" w:h="12240" w:orient="landscape"/>
          <w:pgMar w:top="1418" w:right="680" w:bottom="1418" w:left="1361" w:header="624" w:footer="907" w:gutter="0"/>
          <w:cols w:space="720"/>
          <w:docGrid w:linePitch="360"/>
        </w:sectPr>
      </w:pPr>
    </w:p>
    <w:p w:rsidR="00236E18" w:rsidRPr="007C6477" w:rsidRDefault="00236E18" w:rsidP="00236E18">
      <w:pPr>
        <w:pStyle w:val="StyleHeading3ComplexItalic"/>
        <w:keepNext w:val="0"/>
        <w:widowControl w:val="0"/>
        <w:tabs>
          <w:tab w:val="clear" w:pos="1985"/>
          <w:tab w:val="left" w:pos="-3119"/>
        </w:tabs>
        <w:ind w:left="1560" w:hanging="1560"/>
        <w:rPr>
          <w:caps w:val="0"/>
          <w:lang w:val="es-ES"/>
        </w:rPr>
      </w:pPr>
      <w:bookmarkStart w:id="149" w:name="_Toc431573582"/>
      <w:bookmarkStart w:id="150" w:name="_Toc431573983"/>
      <w:r>
        <w:rPr>
          <w:caps w:val="0"/>
          <w:lang w:val="es-ES"/>
        </w:rPr>
        <w:lastRenderedPageBreak/>
        <w:t>ANEXO IV</w:t>
      </w:r>
      <w:r w:rsidRPr="007C6477">
        <w:rPr>
          <w:b w:val="0"/>
          <w:caps w:val="0"/>
          <w:lang w:val="es-ES"/>
        </w:rPr>
        <w:tab/>
      </w:r>
      <w:r w:rsidRPr="007C6477">
        <w:rPr>
          <w:caps w:val="0"/>
          <w:lang w:val="es-ES"/>
        </w:rPr>
        <w:t>EVOLUCIÓN DE LA DEMANDA DE LOS SERVICIOS DE LOS SISTEMAS DEL PCT, DE MADRID Y DE LA HAYA A MEDIANO PLAZO</w:t>
      </w:r>
      <w:bookmarkEnd w:id="149"/>
      <w:bookmarkEnd w:id="150"/>
    </w:p>
    <w:p w:rsidR="00236E18" w:rsidRPr="007C6477" w:rsidRDefault="00236E18" w:rsidP="00236E18">
      <w:pPr>
        <w:widowControl w:val="0"/>
        <w:rPr>
          <w:sz w:val="20"/>
        </w:rPr>
      </w:pPr>
    </w:p>
    <w:p w:rsidR="00236E18" w:rsidRPr="007C6477" w:rsidRDefault="00236E18" w:rsidP="00236E18">
      <w:pPr>
        <w:widowControl w:val="0"/>
        <w:rPr>
          <w:sz w:val="20"/>
        </w:rPr>
      </w:pPr>
    </w:p>
    <w:p w:rsidR="00236E18" w:rsidRPr="007C6477" w:rsidRDefault="00236E18" w:rsidP="00236E18">
      <w:pPr>
        <w:widowControl w:val="0"/>
        <w:jc w:val="both"/>
        <w:rPr>
          <w:b/>
          <w:sz w:val="20"/>
        </w:rPr>
      </w:pPr>
      <w:r w:rsidRPr="007C6477">
        <w:rPr>
          <w:b/>
          <w:sz w:val="20"/>
        </w:rPr>
        <w:t>PCT</w:t>
      </w:r>
    </w:p>
    <w:p w:rsidR="00236E18" w:rsidRPr="007C6477" w:rsidRDefault="00236E18" w:rsidP="00236E18">
      <w:pPr>
        <w:widowControl w:val="0"/>
        <w:jc w:val="both"/>
        <w:rPr>
          <w:b/>
          <w:sz w:val="20"/>
        </w:rPr>
      </w:pPr>
    </w:p>
    <w:p w:rsidR="00236E18" w:rsidRPr="007C6477" w:rsidRDefault="00236E18" w:rsidP="00236E18">
      <w:pPr>
        <w:widowControl w:val="0"/>
        <w:numPr>
          <w:ilvl w:val="0"/>
          <w:numId w:val="46"/>
        </w:numPr>
        <w:jc w:val="both"/>
        <w:rPr>
          <w:sz w:val="20"/>
        </w:rPr>
      </w:pPr>
      <w:r w:rsidRPr="007C6477">
        <w:rPr>
          <w:sz w:val="20"/>
        </w:rPr>
        <w:t>Diversos factores influyen en la cuantía de los ingresos del PCT, en particular, la demanda de servicios del PCT y el comportamiento de los solicitantes.  A su vez, diversos factores internos y externos en relación con el sistema de patentes influyen en la demanda de servicios del PCT.  Entre los factores externos cabe mencionar el rendimiento de la economía a escala mundial y en los países en los que la demanda crece más y más rápidamente;  la inversión en investigación y desarrollo (I+D);  la confianza tecnológica, y, por último, las fluctuaciones de los tipos de cambio.  Entre los factores internos cabe destacar</w:t>
      </w:r>
      <w:proofErr w:type="gramStart"/>
      <w:r w:rsidRPr="007C6477">
        <w:rPr>
          <w:sz w:val="20"/>
        </w:rPr>
        <w:t>:  la</w:t>
      </w:r>
      <w:proofErr w:type="gramEnd"/>
      <w:r w:rsidRPr="007C6477">
        <w:rPr>
          <w:sz w:val="20"/>
        </w:rPr>
        <w:t xml:space="preserve"> cuantía de las tasas PCT en comparación con otros medios de presentación de solicitudes de patente;  el interés y el valor que se atribuye a los servicios PCT en comparación con los demás medios de presentación;  la credibilidad general del funcionamiento del sistema de patentes, y, por último, las estrategias de las empresas en materia de patentes.</w:t>
      </w:r>
    </w:p>
    <w:p w:rsidR="00236E18" w:rsidRPr="007C6477" w:rsidRDefault="00236E18" w:rsidP="00236E18">
      <w:pPr>
        <w:widowControl w:val="0"/>
        <w:tabs>
          <w:tab w:val="num" w:pos="0"/>
        </w:tabs>
        <w:jc w:val="both"/>
        <w:rPr>
          <w:sz w:val="20"/>
        </w:rPr>
      </w:pPr>
    </w:p>
    <w:p w:rsidR="00236E18" w:rsidRPr="007C6477" w:rsidRDefault="00236E18" w:rsidP="00236E18">
      <w:pPr>
        <w:widowControl w:val="0"/>
        <w:numPr>
          <w:ilvl w:val="0"/>
          <w:numId w:val="46"/>
        </w:numPr>
        <w:jc w:val="both"/>
        <w:rPr>
          <w:sz w:val="20"/>
        </w:rPr>
      </w:pPr>
      <w:r w:rsidRPr="007C6477">
        <w:rPr>
          <w:sz w:val="20"/>
        </w:rPr>
        <w:t>El comportamiento de los solicitantes influye en los ingresos de la siguiente manera:</w:t>
      </w:r>
    </w:p>
    <w:p w:rsidR="00236E18" w:rsidRPr="007C6477" w:rsidRDefault="00236E18" w:rsidP="00236E18">
      <w:pPr>
        <w:pStyle w:val="BodyText"/>
        <w:widowControl w:val="0"/>
        <w:tabs>
          <w:tab w:val="num" w:pos="567"/>
          <w:tab w:val="left" w:pos="1134"/>
        </w:tabs>
        <w:spacing w:after="0"/>
        <w:ind w:left="567"/>
        <w:jc w:val="both"/>
        <w:rPr>
          <w:sz w:val="20"/>
        </w:rPr>
      </w:pPr>
    </w:p>
    <w:p w:rsidR="00236E18" w:rsidRPr="007C6477" w:rsidRDefault="00236E18" w:rsidP="00236E18">
      <w:pPr>
        <w:pStyle w:val="BodyText"/>
        <w:widowControl w:val="0"/>
        <w:tabs>
          <w:tab w:val="left" w:pos="567"/>
          <w:tab w:val="left" w:pos="1134"/>
        </w:tabs>
        <w:spacing w:after="0"/>
        <w:ind w:left="567"/>
        <w:jc w:val="both"/>
        <w:rPr>
          <w:sz w:val="20"/>
        </w:rPr>
      </w:pPr>
      <w:r w:rsidRPr="007C6477">
        <w:rPr>
          <w:sz w:val="20"/>
        </w:rPr>
        <w:t>i)</w:t>
      </w:r>
      <w:r w:rsidRPr="007C6477">
        <w:rPr>
          <w:sz w:val="20"/>
        </w:rPr>
        <w:tab/>
      </w:r>
      <w:r w:rsidRPr="007C6477">
        <w:rPr>
          <w:sz w:val="20"/>
          <w:u w:val="single"/>
        </w:rPr>
        <w:t>Tasa por exceso de páginas</w:t>
      </w:r>
      <w:proofErr w:type="gramStart"/>
      <w:r w:rsidRPr="007C6477">
        <w:rPr>
          <w:sz w:val="20"/>
        </w:rPr>
        <w:t>:  la</w:t>
      </w:r>
      <w:proofErr w:type="gramEnd"/>
      <w:r w:rsidRPr="007C6477">
        <w:rPr>
          <w:sz w:val="20"/>
        </w:rPr>
        <w:t xml:space="preserve"> Oficina Internacional percibe 15 francos suizos por cada página que exceda de 30 en una solicitud.</w:t>
      </w:r>
    </w:p>
    <w:p w:rsidR="00236E18" w:rsidRPr="007C6477" w:rsidRDefault="00236E18" w:rsidP="00236E18">
      <w:pPr>
        <w:pStyle w:val="BodyText"/>
        <w:widowControl w:val="0"/>
        <w:tabs>
          <w:tab w:val="left" w:pos="1134"/>
        </w:tabs>
        <w:spacing w:after="0"/>
        <w:ind w:left="567"/>
        <w:jc w:val="both"/>
        <w:rPr>
          <w:sz w:val="20"/>
        </w:rPr>
      </w:pPr>
    </w:p>
    <w:p w:rsidR="00236E18" w:rsidRPr="007C6477" w:rsidRDefault="00236E18" w:rsidP="00236E18">
      <w:pPr>
        <w:pStyle w:val="BodyText"/>
        <w:widowControl w:val="0"/>
        <w:tabs>
          <w:tab w:val="left" w:pos="567"/>
          <w:tab w:val="left" w:pos="1134"/>
        </w:tabs>
        <w:spacing w:after="0"/>
        <w:ind w:left="567"/>
        <w:jc w:val="both"/>
        <w:rPr>
          <w:sz w:val="20"/>
        </w:rPr>
      </w:pPr>
      <w:r w:rsidRPr="007C6477">
        <w:rPr>
          <w:sz w:val="20"/>
        </w:rPr>
        <w:t>ii)</w:t>
      </w:r>
      <w:r w:rsidRPr="007C6477">
        <w:rPr>
          <w:sz w:val="20"/>
        </w:rPr>
        <w:tab/>
      </w:r>
      <w:r w:rsidRPr="007C6477">
        <w:rPr>
          <w:sz w:val="20"/>
          <w:u w:val="single"/>
        </w:rPr>
        <w:t>Examen preliminar internacional</w:t>
      </w:r>
      <w:proofErr w:type="gramStart"/>
      <w:r w:rsidRPr="007C6477">
        <w:rPr>
          <w:sz w:val="20"/>
        </w:rPr>
        <w:t>:  los</w:t>
      </w:r>
      <w:proofErr w:type="gramEnd"/>
      <w:r w:rsidRPr="007C6477">
        <w:rPr>
          <w:sz w:val="20"/>
        </w:rPr>
        <w:t xml:space="preserve"> solicitantes que recurran al examen preliminar internacional en virtud del Capítulo II del PCT deberán pagar una tasa adicional (tasa de tramitación).</w:t>
      </w:r>
    </w:p>
    <w:p w:rsidR="00236E18" w:rsidRPr="007C6477" w:rsidRDefault="00236E18" w:rsidP="00236E18">
      <w:pPr>
        <w:pStyle w:val="BodyText"/>
        <w:widowControl w:val="0"/>
        <w:tabs>
          <w:tab w:val="left" w:pos="1134"/>
        </w:tabs>
        <w:spacing w:after="0"/>
        <w:ind w:left="567"/>
        <w:jc w:val="both"/>
        <w:rPr>
          <w:sz w:val="20"/>
        </w:rPr>
      </w:pPr>
    </w:p>
    <w:p w:rsidR="00236E18" w:rsidRPr="007C6477" w:rsidRDefault="00236E18" w:rsidP="00236E18">
      <w:pPr>
        <w:pStyle w:val="BodyText"/>
        <w:widowControl w:val="0"/>
        <w:tabs>
          <w:tab w:val="left" w:pos="567"/>
          <w:tab w:val="left" w:pos="1134"/>
        </w:tabs>
        <w:spacing w:after="0"/>
        <w:ind w:left="567"/>
        <w:jc w:val="both"/>
        <w:rPr>
          <w:sz w:val="20"/>
        </w:rPr>
      </w:pPr>
      <w:r w:rsidRPr="007C6477">
        <w:rPr>
          <w:sz w:val="20"/>
        </w:rPr>
        <w:t>iii)</w:t>
      </w:r>
      <w:r w:rsidRPr="007C6477">
        <w:rPr>
          <w:sz w:val="20"/>
        </w:rPr>
        <w:tab/>
      </w:r>
      <w:r w:rsidRPr="007C6477">
        <w:rPr>
          <w:sz w:val="20"/>
          <w:u w:val="single"/>
        </w:rPr>
        <w:t>Presentación electrónica</w:t>
      </w:r>
      <w:proofErr w:type="gramStart"/>
      <w:r w:rsidRPr="007C6477">
        <w:rPr>
          <w:sz w:val="20"/>
        </w:rPr>
        <w:t>:  cuando</w:t>
      </w:r>
      <w:proofErr w:type="gramEnd"/>
      <w:r w:rsidRPr="007C6477">
        <w:rPr>
          <w:sz w:val="20"/>
        </w:rPr>
        <w:t xml:space="preserve"> los solicitantes utilicen este medio de presentación (en lugar de la presentación en papel) podrán beneficiarse de un descuento.</w:t>
      </w:r>
    </w:p>
    <w:p w:rsidR="00236E18" w:rsidRPr="007C6477" w:rsidRDefault="00236E18" w:rsidP="00236E18">
      <w:pPr>
        <w:pStyle w:val="BodyText"/>
        <w:widowControl w:val="0"/>
        <w:tabs>
          <w:tab w:val="left" w:pos="1134"/>
        </w:tabs>
        <w:spacing w:after="0"/>
        <w:ind w:left="567"/>
        <w:jc w:val="both"/>
        <w:rPr>
          <w:sz w:val="20"/>
        </w:rPr>
      </w:pPr>
    </w:p>
    <w:p w:rsidR="00236E18" w:rsidRPr="007C6477" w:rsidRDefault="00236E18" w:rsidP="00236E18">
      <w:pPr>
        <w:pStyle w:val="BodyText"/>
        <w:widowControl w:val="0"/>
        <w:tabs>
          <w:tab w:val="left" w:pos="1134"/>
        </w:tabs>
        <w:spacing w:after="0"/>
        <w:ind w:left="567"/>
        <w:jc w:val="both"/>
        <w:rPr>
          <w:sz w:val="20"/>
        </w:rPr>
      </w:pPr>
      <w:r w:rsidRPr="007C6477">
        <w:rPr>
          <w:sz w:val="20"/>
        </w:rPr>
        <w:t>iv)</w:t>
      </w:r>
      <w:r w:rsidRPr="007C6477">
        <w:rPr>
          <w:sz w:val="20"/>
        </w:rPr>
        <w:tab/>
      </w:r>
      <w:r w:rsidRPr="007C6477">
        <w:rPr>
          <w:sz w:val="20"/>
          <w:u w:val="single"/>
        </w:rPr>
        <w:t>La Oficina Internacional en calidad de Oficina receptora</w:t>
      </w:r>
      <w:proofErr w:type="gramStart"/>
      <w:r w:rsidRPr="007C6477">
        <w:rPr>
          <w:sz w:val="20"/>
        </w:rPr>
        <w:t>:  los</w:t>
      </w:r>
      <w:proofErr w:type="gramEnd"/>
      <w:r w:rsidRPr="007C6477">
        <w:rPr>
          <w:sz w:val="20"/>
        </w:rPr>
        <w:t xml:space="preserve"> solicitantes que decidan presentar su solicitud a la Oficina Internacional en calidad de Oficina receptora habrán de pagar una tasa especial (tasa de transmisión).</w:t>
      </w:r>
    </w:p>
    <w:p w:rsidR="00236E18" w:rsidRPr="007C6477" w:rsidRDefault="00236E18" w:rsidP="00236E18">
      <w:pPr>
        <w:pStyle w:val="BodyText"/>
        <w:widowControl w:val="0"/>
        <w:tabs>
          <w:tab w:val="left" w:pos="1134"/>
        </w:tabs>
        <w:spacing w:after="0"/>
        <w:ind w:left="567"/>
        <w:jc w:val="both"/>
        <w:rPr>
          <w:sz w:val="20"/>
        </w:rPr>
      </w:pPr>
    </w:p>
    <w:p w:rsidR="00236E18" w:rsidRPr="007C6477" w:rsidRDefault="00236E18" w:rsidP="00236E18">
      <w:pPr>
        <w:widowControl w:val="0"/>
        <w:numPr>
          <w:ilvl w:val="0"/>
          <w:numId w:val="46"/>
        </w:numPr>
        <w:jc w:val="both"/>
        <w:rPr>
          <w:sz w:val="20"/>
        </w:rPr>
      </w:pPr>
      <w:r w:rsidRPr="007C6477">
        <w:rPr>
          <w:sz w:val="20"/>
        </w:rPr>
        <w:t>En los siguientes párrafos se analizan detenidamente las previsiones actuales respecto de:  la demanda;  las solicitudes de examen preliminar internacional previstas en virtud del Capítulo II;  el volumen previsto de solicitudes presentadas electrónicamente, y, por último, las previsiones relativas a la presentación de solicitudes en la Oficina Internacional en calidad de Oficina receptora.</w:t>
      </w:r>
      <w:r w:rsidRPr="007C6477">
        <w:rPr>
          <w:rStyle w:val="FootnoteReference"/>
          <w:sz w:val="20"/>
        </w:rPr>
        <w:footnoteReference w:id="25"/>
      </w:r>
    </w:p>
    <w:p w:rsidR="00236E18" w:rsidRPr="007C6477" w:rsidRDefault="00236E18" w:rsidP="00236E18">
      <w:pPr>
        <w:widowControl w:val="0"/>
        <w:jc w:val="both"/>
        <w:rPr>
          <w:sz w:val="20"/>
        </w:rPr>
      </w:pPr>
    </w:p>
    <w:p w:rsidR="00236E18" w:rsidRPr="007C6477" w:rsidRDefault="00236E18" w:rsidP="00236E18">
      <w:pPr>
        <w:widowControl w:val="0"/>
        <w:rPr>
          <w:sz w:val="20"/>
        </w:rPr>
      </w:pPr>
    </w:p>
    <w:p w:rsidR="00236E18" w:rsidRPr="007C6477" w:rsidRDefault="00236E18" w:rsidP="00236E18">
      <w:pPr>
        <w:widowControl w:val="0"/>
        <w:rPr>
          <w:i/>
          <w:sz w:val="20"/>
        </w:rPr>
      </w:pPr>
      <w:r w:rsidRPr="007C6477">
        <w:rPr>
          <w:i/>
          <w:sz w:val="20"/>
        </w:rPr>
        <w:t>Previsión de solicitudes PCT (demanda)</w:t>
      </w:r>
    </w:p>
    <w:p w:rsidR="00236E18" w:rsidRPr="007C6477" w:rsidRDefault="00236E18" w:rsidP="00236E18">
      <w:pPr>
        <w:widowControl w:val="0"/>
        <w:rPr>
          <w:sz w:val="20"/>
        </w:rPr>
      </w:pPr>
    </w:p>
    <w:p w:rsidR="00236E18" w:rsidRPr="007C6477" w:rsidRDefault="00236E18" w:rsidP="00236E18">
      <w:pPr>
        <w:widowControl w:val="0"/>
        <w:numPr>
          <w:ilvl w:val="0"/>
          <w:numId w:val="46"/>
        </w:numPr>
        <w:jc w:val="both"/>
        <w:rPr>
          <w:sz w:val="20"/>
        </w:rPr>
      </w:pPr>
      <w:r w:rsidRPr="007C6477">
        <w:rPr>
          <w:sz w:val="20"/>
        </w:rPr>
        <w:t>En 2009 se produjo un descenso anual del 5% en el número de solicitudes PCT, tras el cual se registró un fuerte aumento en los últimos años.  En el gráfico 1 se indica la previsión del número de solicitudes PCT correspondientes al período de 2014 a 2017 (a partir de los datos existentes al  final de enero de 2015).</w:t>
      </w:r>
    </w:p>
    <w:p w:rsidR="00236E18" w:rsidRPr="007C6477" w:rsidRDefault="00236E18" w:rsidP="00236E18">
      <w:pPr>
        <w:widowControl w:val="0"/>
        <w:rPr>
          <w:sz w:val="20"/>
        </w:rPr>
      </w:pPr>
    </w:p>
    <w:p w:rsidR="00236E18" w:rsidRPr="002E0669" w:rsidRDefault="00236E18" w:rsidP="00236E18">
      <w:pPr>
        <w:keepNext/>
        <w:widowControl w:val="0"/>
        <w:jc w:val="center"/>
        <w:rPr>
          <w:sz w:val="20"/>
        </w:rPr>
      </w:pPr>
      <w:r w:rsidRPr="002E0669">
        <w:rPr>
          <w:sz w:val="20"/>
        </w:rPr>
        <w:lastRenderedPageBreak/>
        <w:t>Gráfico 1.  Solicitudes PCT de 2012 a 2017</w:t>
      </w:r>
    </w:p>
    <w:p w:rsidR="00236E18" w:rsidRPr="007C6477" w:rsidRDefault="00236E18" w:rsidP="00236E18">
      <w:pPr>
        <w:widowControl w:val="0"/>
        <w:jc w:val="center"/>
        <w:rPr>
          <w:sz w:val="20"/>
        </w:rPr>
      </w:pPr>
      <w:r w:rsidRPr="007C6477">
        <w:rPr>
          <w:noProof/>
          <w:lang w:val="en-US" w:eastAsia="en-US"/>
        </w:rPr>
        <w:drawing>
          <wp:inline distT="0" distB="0" distL="0" distR="0" wp14:anchorId="25FCC927" wp14:editId="6DBD98E2">
            <wp:extent cx="4686969" cy="2594106"/>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4692511" cy="2597174"/>
                    </a:xfrm>
                    <a:prstGeom prst="rect">
                      <a:avLst/>
                    </a:prstGeom>
                    <a:noFill/>
                    <a:ln>
                      <a:noFill/>
                    </a:ln>
                  </pic:spPr>
                </pic:pic>
              </a:graphicData>
            </a:graphic>
          </wp:inline>
        </w:drawing>
      </w:r>
    </w:p>
    <w:p w:rsidR="00236E18" w:rsidRPr="007C6477" w:rsidRDefault="00236E18" w:rsidP="00236E18">
      <w:pPr>
        <w:widowControl w:val="0"/>
        <w:jc w:val="center"/>
        <w:rPr>
          <w:sz w:val="20"/>
        </w:rPr>
      </w:pPr>
      <w:r w:rsidRPr="007C6477">
        <w:rPr>
          <w:noProof/>
          <w:lang w:val="en-US" w:eastAsia="en-US"/>
        </w:rPr>
        <w:drawing>
          <wp:inline distT="0" distB="0" distL="0" distR="0" wp14:anchorId="79D16F65" wp14:editId="72AB6D20">
            <wp:extent cx="4856480" cy="724535"/>
            <wp:effectExtent l="0" t="0" r="127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856480" cy="724535"/>
                    </a:xfrm>
                    <a:prstGeom prst="rect">
                      <a:avLst/>
                    </a:prstGeom>
                    <a:noFill/>
                    <a:ln>
                      <a:noFill/>
                    </a:ln>
                  </pic:spPr>
                </pic:pic>
              </a:graphicData>
            </a:graphic>
          </wp:inline>
        </w:drawing>
      </w:r>
    </w:p>
    <w:p w:rsidR="00236E18" w:rsidRPr="007C6477" w:rsidRDefault="00236E18" w:rsidP="00236E18">
      <w:pPr>
        <w:widowControl w:val="0"/>
        <w:rPr>
          <w:sz w:val="20"/>
        </w:rPr>
      </w:pPr>
    </w:p>
    <w:p w:rsidR="00236E18" w:rsidRPr="007C6477" w:rsidRDefault="00236E18" w:rsidP="00236E18">
      <w:pPr>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En el gráfico 2 se indica la previsión del número de solicitudes presentadas por país de origen.</w:t>
      </w:r>
    </w:p>
    <w:p w:rsidR="00236E18" w:rsidRPr="007C6477" w:rsidRDefault="00236E18" w:rsidP="00236E18">
      <w:pPr>
        <w:widowControl w:val="0"/>
        <w:rPr>
          <w:sz w:val="20"/>
        </w:rPr>
      </w:pPr>
    </w:p>
    <w:p w:rsidR="00236E18" w:rsidRPr="007C6477" w:rsidRDefault="00236E18" w:rsidP="00236E18">
      <w:pPr>
        <w:widowControl w:val="0"/>
        <w:jc w:val="center"/>
        <w:rPr>
          <w:sz w:val="20"/>
        </w:rPr>
      </w:pPr>
      <w:r w:rsidRPr="007C6477">
        <w:rPr>
          <w:sz w:val="20"/>
        </w:rPr>
        <w:t xml:space="preserve">Gráfico 2.  Solicitudes PCT presentadas por una muestra representativa </w:t>
      </w:r>
      <w:r>
        <w:rPr>
          <w:sz w:val="20"/>
        </w:rPr>
        <w:br/>
      </w:r>
      <w:r w:rsidRPr="007C6477">
        <w:rPr>
          <w:sz w:val="20"/>
        </w:rPr>
        <w:t>de países entre 2014 y 2017</w:t>
      </w:r>
    </w:p>
    <w:p w:rsidR="00236E18" w:rsidRPr="007C6477" w:rsidRDefault="00236E18" w:rsidP="00236E18">
      <w:pPr>
        <w:widowControl w:val="0"/>
      </w:pPr>
    </w:p>
    <w:p w:rsidR="00236E18" w:rsidRPr="007C6477" w:rsidRDefault="00236E18" w:rsidP="00236E18">
      <w:pPr>
        <w:widowControl w:val="0"/>
        <w:jc w:val="center"/>
        <w:rPr>
          <w:sz w:val="20"/>
        </w:rPr>
      </w:pPr>
      <w:r w:rsidRPr="007C6477">
        <w:rPr>
          <w:noProof/>
          <w:lang w:val="en-US" w:eastAsia="en-US"/>
        </w:rPr>
        <w:drawing>
          <wp:inline distT="0" distB="0" distL="0" distR="0" wp14:anchorId="4AE22B74" wp14:editId="61A9EE29">
            <wp:extent cx="2915920" cy="3580130"/>
            <wp:effectExtent l="0" t="0" r="0" b="127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915920" cy="3580130"/>
                    </a:xfrm>
                    <a:prstGeom prst="rect">
                      <a:avLst/>
                    </a:prstGeom>
                    <a:noFill/>
                    <a:ln>
                      <a:noFill/>
                    </a:ln>
                  </pic:spPr>
                </pic:pic>
              </a:graphicData>
            </a:graphic>
          </wp:inline>
        </w:drawing>
      </w:r>
    </w:p>
    <w:p w:rsidR="00236E18" w:rsidRPr="007C6477" w:rsidRDefault="00236E18" w:rsidP="00236E18">
      <w:pPr>
        <w:widowControl w:val="0"/>
        <w:rPr>
          <w:sz w:val="20"/>
        </w:rPr>
      </w:pPr>
    </w:p>
    <w:p w:rsidR="00236E18" w:rsidRPr="007C6477" w:rsidRDefault="00236E18" w:rsidP="00236E18">
      <w:pPr>
        <w:spacing w:after="200" w:line="276" w:lineRule="auto"/>
        <w:rPr>
          <w:sz w:val="20"/>
        </w:rPr>
      </w:pPr>
      <w:r w:rsidRPr="007C6477">
        <w:rPr>
          <w:sz w:val="20"/>
        </w:rPr>
        <w:br w:type="page"/>
      </w:r>
    </w:p>
    <w:p w:rsidR="00236E18" w:rsidRPr="007C6477" w:rsidRDefault="00236E18" w:rsidP="00236E18">
      <w:pPr>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Es probable que el número de solicitudes internacionales se ubique dentro de esos límites, que están asociados a un valor de probabilidad.  El cuadro que figura a continuación indica la distribución probabilística</w:t>
      </w:r>
      <w:r w:rsidRPr="007C6477">
        <w:rPr>
          <w:b/>
          <w:sz w:val="20"/>
        </w:rPr>
        <w:t xml:space="preserve"> </w:t>
      </w:r>
      <w:r w:rsidRPr="007C6477">
        <w:rPr>
          <w:sz w:val="20"/>
        </w:rPr>
        <w:t>del número de solicitudes presentadas.</w:t>
      </w:r>
    </w:p>
    <w:p w:rsidR="00236E18" w:rsidRPr="007C6477" w:rsidRDefault="00236E18" w:rsidP="00236E18">
      <w:pPr>
        <w:widowControl w:val="0"/>
        <w:rPr>
          <w:sz w:val="20"/>
        </w:rPr>
      </w:pPr>
    </w:p>
    <w:p w:rsidR="00236E18" w:rsidRPr="007C6477" w:rsidRDefault="00236E18" w:rsidP="00236E18">
      <w:pPr>
        <w:widowControl w:val="0"/>
        <w:jc w:val="center"/>
        <w:rPr>
          <w:sz w:val="18"/>
          <w:szCs w:val="18"/>
        </w:rPr>
      </w:pPr>
      <w:r w:rsidRPr="007C6477">
        <w:rPr>
          <w:sz w:val="18"/>
          <w:szCs w:val="18"/>
        </w:rPr>
        <w:t>Distribución probabilística de la previsión de solicitudes</w:t>
      </w:r>
    </w:p>
    <w:p w:rsidR="00236E18" w:rsidRPr="007C6477" w:rsidRDefault="00236E18" w:rsidP="00236E18">
      <w:pPr>
        <w:widowControl w:val="0"/>
        <w:jc w:val="center"/>
        <w:rPr>
          <w:sz w:val="20"/>
        </w:rPr>
      </w:pPr>
      <w:r w:rsidRPr="007C6477">
        <w:rPr>
          <w:noProof/>
          <w:lang w:val="en-US" w:eastAsia="en-US"/>
        </w:rPr>
        <w:drawing>
          <wp:inline distT="0" distB="0" distL="0" distR="0" wp14:anchorId="111660BB" wp14:editId="22899A50">
            <wp:extent cx="4873533" cy="2381862"/>
            <wp:effectExtent l="0" t="0" r="381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4882405" cy="2386198"/>
                    </a:xfrm>
                    <a:prstGeom prst="rect">
                      <a:avLst/>
                    </a:prstGeom>
                    <a:noFill/>
                    <a:ln>
                      <a:noFill/>
                    </a:ln>
                  </pic:spPr>
                </pic:pic>
              </a:graphicData>
            </a:graphic>
          </wp:inline>
        </w:drawing>
      </w:r>
    </w:p>
    <w:p w:rsidR="00236E18" w:rsidRPr="007C6477" w:rsidRDefault="00236E18" w:rsidP="00236E18">
      <w:pPr>
        <w:widowControl w:val="0"/>
        <w:jc w:val="center"/>
        <w:rPr>
          <w:sz w:val="18"/>
          <w:szCs w:val="18"/>
        </w:rPr>
      </w:pPr>
    </w:p>
    <w:p w:rsidR="00236E18" w:rsidRPr="007C6477" w:rsidRDefault="00236E18" w:rsidP="00236E18">
      <w:pPr>
        <w:widowControl w:val="0"/>
        <w:jc w:val="center"/>
        <w:rPr>
          <w:sz w:val="18"/>
          <w:szCs w:val="18"/>
        </w:rPr>
      </w:pPr>
    </w:p>
    <w:p w:rsidR="00236E18" w:rsidRPr="007C6477" w:rsidRDefault="00236E18" w:rsidP="00236E18">
      <w:pPr>
        <w:widowControl w:val="0"/>
        <w:jc w:val="center"/>
        <w:rPr>
          <w:sz w:val="18"/>
          <w:szCs w:val="18"/>
        </w:rPr>
      </w:pPr>
      <w:r w:rsidRPr="007C6477">
        <w:rPr>
          <w:sz w:val="18"/>
          <w:szCs w:val="18"/>
        </w:rPr>
        <w:t>Proyecciones correspondientes a las solicitudes PCT</w:t>
      </w:r>
    </w:p>
    <w:p w:rsidR="00236E18" w:rsidRPr="007C6477" w:rsidRDefault="00236E18" w:rsidP="00236E18">
      <w:pPr>
        <w:widowControl w:val="0"/>
        <w:rPr>
          <w:sz w:val="20"/>
        </w:rPr>
      </w:pPr>
    </w:p>
    <w:p w:rsidR="00236E18" w:rsidRPr="007C6477" w:rsidRDefault="00236E18" w:rsidP="00236E18">
      <w:pPr>
        <w:widowControl w:val="0"/>
        <w:jc w:val="center"/>
        <w:rPr>
          <w:sz w:val="20"/>
        </w:rPr>
      </w:pPr>
      <w:r w:rsidRPr="007C6477">
        <w:rPr>
          <w:noProof/>
          <w:lang w:val="en-US" w:eastAsia="en-US"/>
        </w:rPr>
        <w:drawing>
          <wp:inline distT="0" distB="0" distL="0" distR="0" wp14:anchorId="7C6E5559" wp14:editId="2FCD4519">
            <wp:extent cx="3166110" cy="305371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166110" cy="3053715"/>
                    </a:xfrm>
                    <a:prstGeom prst="rect">
                      <a:avLst/>
                    </a:prstGeom>
                    <a:noFill/>
                    <a:ln>
                      <a:noFill/>
                    </a:ln>
                  </pic:spPr>
                </pic:pic>
              </a:graphicData>
            </a:graphic>
          </wp:inline>
        </w:drawing>
      </w:r>
    </w:p>
    <w:p w:rsidR="00236E18" w:rsidRPr="007C6477" w:rsidRDefault="00236E18" w:rsidP="00236E18">
      <w:pPr>
        <w:widowControl w:val="0"/>
        <w:rPr>
          <w:i/>
          <w:sz w:val="20"/>
        </w:rPr>
      </w:pPr>
    </w:p>
    <w:p w:rsidR="00236E18" w:rsidRPr="007C6477" w:rsidRDefault="00236E18" w:rsidP="00236E18">
      <w:pPr>
        <w:widowControl w:val="0"/>
        <w:rPr>
          <w:i/>
          <w:sz w:val="20"/>
        </w:rPr>
      </w:pPr>
    </w:p>
    <w:p w:rsidR="00236E18" w:rsidRPr="007C6477" w:rsidRDefault="00236E18" w:rsidP="00236E18">
      <w:pPr>
        <w:widowControl w:val="0"/>
        <w:rPr>
          <w:i/>
          <w:sz w:val="20"/>
        </w:rPr>
      </w:pPr>
      <w:r w:rsidRPr="007C6477">
        <w:rPr>
          <w:i/>
          <w:sz w:val="20"/>
        </w:rPr>
        <w:t>Utilización de métodos de presentación electrónica</w:t>
      </w:r>
    </w:p>
    <w:p w:rsidR="00236E18" w:rsidRPr="007C6477" w:rsidRDefault="00236E18" w:rsidP="00236E18">
      <w:pPr>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En el gráfico 3 se ilustra la utilización prevista de los métodos de presentación electrónica (EASY, PDF o XML) en forma de porcentaje del número total de solicitudes presentadas.  Como se indica en el gráfico, el recurso a la presentación electrónica sigue aumentado de manera constante.  En el año 2012, la presentación electrónica se aproximó al 90% del número total de solicitudes presentadas.</w:t>
      </w:r>
    </w:p>
    <w:p w:rsidR="00236E18" w:rsidRPr="007C6477" w:rsidRDefault="00236E18" w:rsidP="00236E18">
      <w:pPr>
        <w:spacing w:after="200" w:line="276" w:lineRule="auto"/>
        <w:rPr>
          <w:sz w:val="20"/>
        </w:rPr>
      </w:pPr>
      <w:r w:rsidRPr="007C6477">
        <w:rPr>
          <w:sz w:val="20"/>
        </w:rPr>
        <w:br w:type="page"/>
      </w:r>
    </w:p>
    <w:p w:rsidR="00236E18" w:rsidRPr="007C6477" w:rsidRDefault="00236E18" w:rsidP="00236E18">
      <w:pPr>
        <w:widowControl w:val="0"/>
        <w:jc w:val="both"/>
        <w:rPr>
          <w:sz w:val="20"/>
        </w:rPr>
      </w:pPr>
    </w:p>
    <w:p w:rsidR="00236E18" w:rsidRPr="002E0669" w:rsidRDefault="00236E18" w:rsidP="00236E18">
      <w:pPr>
        <w:widowControl w:val="0"/>
        <w:jc w:val="center"/>
        <w:rPr>
          <w:sz w:val="20"/>
        </w:rPr>
      </w:pPr>
      <w:r w:rsidRPr="002E0669">
        <w:rPr>
          <w:sz w:val="20"/>
        </w:rPr>
        <w:t xml:space="preserve">Gráfico 3.  </w:t>
      </w:r>
      <w:r w:rsidRPr="002E0669">
        <w:rPr>
          <w:rFonts w:eastAsiaTheme="minorHAnsi"/>
          <w:sz w:val="20"/>
        </w:rPr>
        <w:t>Utilización de métodos de presentación electrónica</w:t>
      </w:r>
      <w:r w:rsidRPr="002E0669">
        <w:rPr>
          <w:sz w:val="20"/>
        </w:rPr>
        <w:t xml:space="preserve"> (EASY, PDF o XML) </w:t>
      </w:r>
      <w:r>
        <w:rPr>
          <w:sz w:val="20"/>
        </w:rPr>
        <w:br/>
      </w:r>
      <w:r w:rsidRPr="002E0669">
        <w:rPr>
          <w:sz w:val="20"/>
        </w:rPr>
        <w:t>como porcentaje del total de las solicitudes presentadas entre 2014 y 2017</w:t>
      </w:r>
    </w:p>
    <w:p w:rsidR="00236E18" w:rsidRPr="007C6477" w:rsidRDefault="00236E18" w:rsidP="00236E18">
      <w:pPr>
        <w:widowControl w:val="0"/>
        <w:rPr>
          <w:sz w:val="20"/>
        </w:rPr>
      </w:pPr>
    </w:p>
    <w:p w:rsidR="00236E18" w:rsidRPr="007C6477" w:rsidRDefault="00236E18" w:rsidP="00236E18">
      <w:pPr>
        <w:widowControl w:val="0"/>
        <w:jc w:val="center"/>
        <w:rPr>
          <w:sz w:val="20"/>
        </w:rPr>
      </w:pPr>
      <w:r w:rsidRPr="007C6477">
        <w:rPr>
          <w:noProof/>
          <w:lang w:val="en-US" w:eastAsia="en-US"/>
        </w:rPr>
        <w:drawing>
          <wp:inline distT="0" distB="0" distL="0" distR="0" wp14:anchorId="76C3E07F" wp14:editId="538869B0">
            <wp:extent cx="4530403" cy="2580324"/>
            <wp:effectExtent l="0" t="0" r="381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4541857" cy="2586848"/>
                    </a:xfrm>
                    <a:prstGeom prst="rect">
                      <a:avLst/>
                    </a:prstGeom>
                    <a:noFill/>
                    <a:ln>
                      <a:noFill/>
                    </a:ln>
                  </pic:spPr>
                </pic:pic>
              </a:graphicData>
            </a:graphic>
          </wp:inline>
        </w:drawing>
      </w:r>
    </w:p>
    <w:p w:rsidR="00236E18" w:rsidRPr="007C6477" w:rsidRDefault="00236E18" w:rsidP="00236E18">
      <w:pPr>
        <w:widowControl w:val="0"/>
        <w:rPr>
          <w:sz w:val="20"/>
        </w:rPr>
      </w:pPr>
    </w:p>
    <w:p w:rsidR="00236E18" w:rsidRPr="007C6477" w:rsidRDefault="00236E18" w:rsidP="00236E18">
      <w:pPr>
        <w:widowControl w:val="0"/>
        <w:jc w:val="center"/>
        <w:rPr>
          <w:sz w:val="20"/>
        </w:rPr>
      </w:pPr>
      <w:r w:rsidRPr="007C6477">
        <w:rPr>
          <w:noProof/>
          <w:lang w:val="en-US" w:eastAsia="en-US"/>
        </w:rPr>
        <w:drawing>
          <wp:inline distT="0" distB="0" distL="0" distR="0" wp14:anchorId="46B44AD7" wp14:editId="0DA7F3A6">
            <wp:extent cx="4882515" cy="724535"/>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882515" cy="724535"/>
                    </a:xfrm>
                    <a:prstGeom prst="rect">
                      <a:avLst/>
                    </a:prstGeom>
                    <a:noFill/>
                    <a:ln>
                      <a:noFill/>
                    </a:ln>
                  </pic:spPr>
                </pic:pic>
              </a:graphicData>
            </a:graphic>
          </wp:inline>
        </w:drawing>
      </w:r>
    </w:p>
    <w:p w:rsidR="00236E18" w:rsidRPr="007C6477" w:rsidRDefault="00236E18" w:rsidP="00236E18">
      <w:pPr>
        <w:widowControl w:val="0"/>
        <w:jc w:val="center"/>
        <w:rPr>
          <w:sz w:val="20"/>
        </w:rPr>
      </w:pPr>
    </w:p>
    <w:p w:rsidR="00236E18" w:rsidRPr="007C6477" w:rsidRDefault="00236E18" w:rsidP="00236E18">
      <w:pPr>
        <w:widowControl w:val="0"/>
        <w:rPr>
          <w:sz w:val="20"/>
        </w:rPr>
      </w:pPr>
    </w:p>
    <w:p w:rsidR="00236E18" w:rsidRPr="007C6477" w:rsidRDefault="00236E18" w:rsidP="00236E18">
      <w:pPr>
        <w:widowControl w:val="0"/>
        <w:rPr>
          <w:i/>
          <w:sz w:val="20"/>
        </w:rPr>
      </w:pPr>
      <w:r w:rsidRPr="007C6477">
        <w:rPr>
          <w:i/>
          <w:sz w:val="20"/>
        </w:rPr>
        <w:t>Previsión de ingresos del PCT</w:t>
      </w:r>
    </w:p>
    <w:p w:rsidR="00236E18" w:rsidRPr="007C6477" w:rsidRDefault="00236E18" w:rsidP="00236E18">
      <w:pPr>
        <w:widowControl w:val="0"/>
        <w:jc w:val="both"/>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En los gráficos 4 y 5 figura la previsión de ingresos del PCT para el período comprendido entre 2014 y 2017, por tipo de ingreso.  Los gráficos se basan en la previsión de solicitudes (gráfico 1), la previsión de las tasas por exceso de páginas, la previsión de solicitudes presentadas conforme al Capítulo II, la previsión de solicitudes presentadas electrónicamente (gráfico 3) y la previsión de solicitudes presentadas ante la Oficina Internacional en calidad de Oficina receptora.</w:t>
      </w:r>
    </w:p>
    <w:p w:rsidR="00236E18" w:rsidRPr="007C6477" w:rsidRDefault="00236E18" w:rsidP="00236E18">
      <w:pPr>
        <w:widowControl w:val="0"/>
        <w:jc w:val="both"/>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En el gráfico 4 se indica la previsión hipotética de ingresos del PCT, basada en los siguientes supuestos</w:t>
      </w:r>
      <w:proofErr w:type="gramStart"/>
      <w:r w:rsidRPr="007C6477">
        <w:rPr>
          <w:sz w:val="20"/>
        </w:rPr>
        <w:t>:  1</w:t>
      </w:r>
      <w:proofErr w:type="gramEnd"/>
      <w:r w:rsidRPr="007C6477">
        <w:rPr>
          <w:sz w:val="20"/>
        </w:rPr>
        <w:t>) todas las tasas se pagan en el mismo año de presentación y 2) todas las tasas se convierten a francos suizos según los tipos de cambio oficiales de la OMPI.  Los ingresos hipotéticos del PCT corresponden a los posibles ingresos generados por la presentación de solicitudes sin tener en cuenta en qué momento se efectúan los pagos ni el cambio a francos suizos.  Dado que la mayoría de los solicitantes paga las tasas correspondientes más tarde o más temprano, la previsión hipotética de los ingresos refleja, así, la previsión de ingresos a largo plazo.  En el cálculo se tienen en cuenta los principales elementos de la estructura de tasas del PCT</w:t>
      </w:r>
      <w:proofErr w:type="gramStart"/>
      <w:r w:rsidRPr="007C6477">
        <w:rPr>
          <w:sz w:val="20"/>
        </w:rPr>
        <w:t>:  retirada</w:t>
      </w:r>
      <w:proofErr w:type="gramEnd"/>
      <w:r w:rsidRPr="007C6477">
        <w:rPr>
          <w:sz w:val="20"/>
        </w:rPr>
        <w:t xml:space="preserve"> de solicitudes, descuentos en las tasas correspondientes a las solicitudes presentadas electrónicamente y descuentos en las tasas en el caso de países de bajos ingresos.</w:t>
      </w:r>
    </w:p>
    <w:p w:rsidR="00236E18" w:rsidRPr="007C6477" w:rsidRDefault="00236E18" w:rsidP="00236E18">
      <w:pPr>
        <w:widowControl w:val="0"/>
        <w:rPr>
          <w:sz w:val="20"/>
        </w:rPr>
      </w:pPr>
    </w:p>
    <w:p w:rsidR="00236E18" w:rsidRPr="007C6477" w:rsidRDefault="00236E18" w:rsidP="00236E18">
      <w:pPr>
        <w:spacing w:after="200" w:line="276" w:lineRule="auto"/>
        <w:rPr>
          <w:sz w:val="20"/>
        </w:rPr>
      </w:pPr>
      <w:r w:rsidRPr="007C6477">
        <w:rPr>
          <w:sz w:val="20"/>
        </w:rPr>
        <w:br w:type="page"/>
      </w:r>
    </w:p>
    <w:p w:rsidR="00236E18" w:rsidRPr="007C6477" w:rsidRDefault="00236E18" w:rsidP="00236E18">
      <w:pPr>
        <w:widowControl w:val="0"/>
        <w:rPr>
          <w:sz w:val="20"/>
        </w:rPr>
      </w:pPr>
    </w:p>
    <w:p w:rsidR="00236E18" w:rsidRPr="007C6477" w:rsidRDefault="00236E18" w:rsidP="00236E18">
      <w:pPr>
        <w:widowControl w:val="0"/>
        <w:jc w:val="center"/>
        <w:rPr>
          <w:sz w:val="20"/>
        </w:rPr>
      </w:pPr>
      <w:r w:rsidRPr="007C6477">
        <w:rPr>
          <w:sz w:val="20"/>
        </w:rPr>
        <w:t>Gráfico 4.  Previsión hipotética de los ingresos del PCT hasta 2</w:t>
      </w:r>
      <w:r>
        <w:rPr>
          <w:sz w:val="20"/>
        </w:rPr>
        <w:t>017</w:t>
      </w:r>
    </w:p>
    <w:p w:rsidR="00236E18" w:rsidRPr="007C6477" w:rsidRDefault="00236E18" w:rsidP="00236E18">
      <w:pPr>
        <w:widowControl w:val="0"/>
        <w:jc w:val="center"/>
        <w:rPr>
          <w:sz w:val="20"/>
        </w:rPr>
      </w:pPr>
      <w:r w:rsidRPr="007C6477">
        <w:rPr>
          <w:noProof/>
          <w:lang w:val="en-US" w:eastAsia="en-US"/>
        </w:rPr>
        <w:drawing>
          <wp:inline distT="0" distB="0" distL="0" distR="0" wp14:anchorId="3D26B3CE" wp14:editId="10CCAF6B">
            <wp:extent cx="4873924" cy="2697581"/>
            <wp:effectExtent l="0" t="0" r="3175" b="762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4877097" cy="2699337"/>
                    </a:xfrm>
                    <a:prstGeom prst="rect">
                      <a:avLst/>
                    </a:prstGeom>
                    <a:noFill/>
                    <a:ln>
                      <a:noFill/>
                    </a:ln>
                  </pic:spPr>
                </pic:pic>
              </a:graphicData>
            </a:graphic>
          </wp:inline>
        </w:drawing>
      </w:r>
    </w:p>
    <w:p w:rsidR="00236E18" w:rsidRPr="007C6477" w:rsidRDefault="00236E18" w:rsidP="00236E18">
      <w:pPr>
        <w:widowControl w:val="0"/>
        <w:jc w:val="center"/>
        <w:rPr>
          <w:sz w:val="20"/>
        </w:rPr>
      </w:pPr>
      <w:r w:rsidRPr="007C6477">
        <w:rPr>
          <w:noProof/>
          <w:lang w:val="en-US" w:eastAsia="en-US"/>
        </w:rPr>
        <w:drawing>
          <wp:inline distT="0" distB="0" distL="0" distR="0" wp14:anchorId="197D026F" wp14:editId="6BD325FA">
            <wp:extent cx="5115464" cy="1433552"/>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115497" cy="1433561"/>
                    </a:xfrm>
                    <a:prstGeom prst="rect">
                      <a:avLst/>
                    </a:prstGeom>
                    <a:noFill/>
                    <a:ln>
                      <a:noFill/>
                    </a:ln>
                  </pic:spPr>
                </pic:pic>
              </a:graphicData>
            </a:graphic>
          </wp:inline>
        </w:drawing>
      </w:r>
    </w:p>
    <w:p w:rsidR="00236E18" w:rsidRPr="007C6477" w:rsidRDefault="00236E18" w:rsidP="00236E18">
      <w:pPr>
        <w:widowControl w:val="0"/>
        <w:rPr>
          <w:sz w:val="20"/>
        </w:rPr>
      </w:pPr>
    </w:p>
    <w:p w:rsidR="00236E18" w:rsidRPr="007C6477" w:rsidRDefault="00236E18" w:rsidP="00236E18">
      <w:pPr>
        <w:widowControl w:val="0"/>
        <w:rPr>
          <w:sz w:val="20"/>
        </w:rPr>
      </w:pPr>
    </w:p>
    <w:p w:rsidR="00236E18" w:rsidRPr="007C6477" w:rsidRDefault="00236E18" w:rsidP="00236E18">
      <w:pPr>
        <w:widowControl w:val="0"/>
        <w:rPr>
          <w:i/>
          <w:sz w:val="20"/>
        </w:rPr>
      </w:pPr>
      <w:r w:rsidRPr="007C6477">
        <w:rPr>
          <w:i/>
          <w:sz w:val="20"/>
        </w:rPr>
        <w:t>Consecuencias del retraso en los pagos en los ingresos del PCT</w:t>
      </w:r>
    </w:p>
    <w:p w:rsidR="00236E18" w:rsidRPr="007C6477" w:rsidRDefault="00236E18" w:rsidP="00236E18">
      <w:pPr>
        <w:widowControl w:val="0"/>
        <w:jc w:val="both"/>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En la previsión hipotética de los ingresos se supone que las tasas se pagan en el mismo año en que se presentan las solicitudes.  Sin embargo, la OMPI percibe pagos con un retraso de entre uno y seis meses.  Algunos solicitantes –especialmente los que presentan las solicitudes a principios del año- pagan las tasas el mismo año de presentación (en torno a un 85% de solicitantes), mientras que otros las pagan al año siguiente (en torno a un 15% de solicitantes).  Así, los ingresos reales del PCT de un determinado año estarán constituidos por una porción de los pagos correspondientes a las solicitudes del año anterior más la porción de pagos correspondientes a ese año.  En consecuencia, el monto que se percibe en un año no equivale al que generen las solicitudes presentadas en el mismo año.  Las diferencias anuales que presentan los ingresos hipotéticos y los ingresos reales no alteran el monto de los ingresos generales a largo plazo.  Toda disminución de los ingresos que se produzca debido a retrasos en los pagos se verá probablemente compensada al año siguiente.  Si se pospone una gran porción de los pagos al año siguiente, los ingresos reales del año en cuestión serán inferiores, pero al año siguiente se registrará un incremento.  En proporción inversa, si solo se retrasa una pequeña porción de los pagos al año siguiente, los ingresos del año en cuestión serán mayores, pero los del año siguiente habrán disminuido.  En el gráfico 5 que se expone a continuación se presentan las previsiones ajustadas de</w:t>
      </w:r>
      <w:r>
        <w:rPr>
          <w:sz w:val="20"/>
        </w:rPr>
        <w:t xml:space="preserve"> los ingresos del PCT hasta 2017</w:t>
      </w:r>
      <w:r w:rsidRPr="007C6477">
        <w:rPr>
          <w:sz w:val="20"/>
        </w:rPr>
        <w:t>, teniendo en cuenta la repercusión del retraso en los pagos de las tasas.</w:t>
      </w:r>
    </w:p>
    <w:p w:rsidR="00236E18" w:rsidRPr="007C6477" w:rsidRDefault="00236E18" w:rsidP="00236E18">
      <w:pPr>
        <w:widowControl w:val="0"/>
        <w:jc w:val="both"/>
        <w:rPr>
          <w:sz w:val="20"/>
        </w:rPr>
      </w:pPr>
    </w:p>
    <w:p w:rsidR="00236E18" w:rsidRPr="002E0669" w:rsidRDefault="00236E18" w:rsidP="00236E18">
      <w:pPr>
        <w:keepNext/>
        <w:widowControl w:val="0"/>
        <w:jc w:val="center"/>
        <w:rPr>
          <w:sz w:val="20"/>
        </w:rPr>
      </w:pPr>
      <w:r w:rsidRPr="002E0669">
        <w:rPr>
          <w:sz w:val="20"/>
        </w:rPr>
        <w:lastRenderedPageBreak/>
        <w:t xml:space="preserve">Gráfico 5.  </w:t>
      </w:r>
      <w:r w:rsidRPr="002E0669">
        <w:rPr>
          <w:rFonts w:eastAsiaTheme="minorHAnsi"/>
          <w:sz w:val="20"/>
        </w:rPr>
        <w:t>Previsión ajustada de los ingresos del PCT hasta </w:t>
      </w:r>
      <w:r w:rsidRPr="002E0669">
        <w:rPr>
          <w:sz w:val="20"/>
        </w:rPr>
        <w:t>2017</w:t>
      </w:r>
    </w:p>
    <w:p w:rsidR="00236E18" w:rsidRPr="007C6477" w:rsidRDefault="00236E18" w:rsidP="00236E18">
      <w:pPr>
        <w:widowControl w:val="0"/>
        <w:jc w:val="center"/>
        <w:rPr>
          <w:sz w:val="20"/>
        </w:rPr>
      </w:pPr>
      <w:r w:rsidRPr="004E717B">
        <w:rPr>
          <w:noProof/>
          <w:lang w:val="en-US" w:eastAsia="en-US"/>
        </w:rPr>
        <w:drawing>
          <wp:inline distT="0" distB="0" distL="0" distR="0" wp14:anchorId="4842307F" wp14:editId="2E4B46BD">
            <wp:extent cx="4611025" cy="2558117"/>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4619333" cy="2562726"/>
                    </a:xfrm>
                    <a:prstGeom prst="rect">
                      <a:avLst/>
                    </a:prstGeom>
                    <a:noFill/>
                    <a:ln>
                      <a:noFill/>
                    </a:ln>
                  </pic:spPr>
                </pic:pic>
              </a:graphicData>
            </a:graphic>
          </wp:inline>
        </w:drawing>
      </w:r>
    </w:p>
    <w:p w:rsidR="00236E18" w:rsidRPr="007C6477" w:rsidRDefault="00236E18" w:rsidP="00236E18">
      <w:pPr>
        <w:widowControl w:val="0"/>
        <w:jc w:val="center"/>
        <w:rPr>
          <w:sz w:val="20"/>
        </w:rPr>
      </w:pPr>
    </w:p>
    <w:p w:rsidR="00236E18" w:rsidRPr="007C6477" w:rsidRDefault="00236E18" w:rsidP="00236E18">
      <w:pPr>
        <w:widowControl w:val="0"/>
        <w:jc w:val="center"/>
        <w:rPr>
          <w:sz w:val="20"/>
        </w:rPr>
      </w:pPr>
      <w:r w:rsidRPr="007C6477">
        <w:rPr>
          <w:noProof/>
          <w:lang w:val="en-US" w:eastAsia="en-US"/>
        </w:rPr>
        <w:drawing>
          <wp:inline distT="0" distB="0" distL="0" distR="0" wp14:anchorId="70082711" wp14:editId="03CFA074">
            <wp:extent cx="4924797" cy="1145485"/>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925433" cy="1145633"/>
                    </a:xfrm>
                    <a:prstGeom prst="rect">
                      <a:avLst/>
                    </a:prstGeom>
                    <a:noFill/>
                    <a:ln>
                      <a:noFill/>
                    </a:ln>
                  </pic:spPr>
                </pic:pic>
              </a:graphicData>
            </a:graphic>
          </wp:inline>
        </w:drawing>
      </w:r>
    </w:p>
    <w:p w:rsidR="00236E18" w:rsidRPr="007C6477" w:rsidRDefault="00236E18" w:rsidP="00236E18">
      <w:pPr>
        <w:widowControl w:val="0"/>
        <w:rPr>
          <w:sz w:val="20"/>
        </w:rPr>
      </w:pPr>
    </w:p>
    <w:p w:rsidR="00236E18" w:rsidRPr="007C6477" w:rsidRDefault="00236E18" w:rsidP="00236E18">
      <w:pPr>
        <w:widowControl w:val="0"/>
        <w:rPr>
          <w:sz w:val="20"/>
        </w:rPr>
      </w:pPr>
    </w:p>
    <w:p w:rsidR="00236E18" w:rsidRPr="007C6477" w:rsidRDefault="00236E18" w:rsidP="00236E18">
      <w:pPr>
        <w:widowControl w:val="0"/>
        <w:rPr>
          <w:i/>
          <w:sz w:val="20"/>
        </w:rPr>
      </w:pPr>
      <w:r w:rsidRPr="007C6477">
        <w:rPr>
          <w:i/>
          <w:sz w:val="20"/>
        </w:rPr>
        <w:t>Ajustes cambiarios</w:t>
      </w:r>
    </w:p>
    <w:p w:rsidR="00236E18" w:rsidRPr="007C6477" w:rsidRDefault="00236E18" w:rsidP="00236E18">
      <w:pPr>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Las tasas del PCT se pagan en diversas monedas.  Cuando la tasa se paga en una moneda que se puede "convertir libremente", el importe equivale al “importe equivalente” fijado por la Oficina Internacional, mientras que cuando se paga en una moneda que no se puede “convertir libremente”, la Oficina receptora debe convertir el importe a su equivalente en francos suizos, euros o dólares de los EE.UU.  (Regla 15 del Reglamento del PCT).  La OMPI fija los importes equivalentes conforme a las reglas establecidas en las Directivas aprobadas por la Asamblea del PCT:  1) los tipos de cambio del primer lunes de octubre se toman como nuevos tipos de cambio de la OMPI para fijar los importes equivalentes del año siguiente;  2) si durante más de cuatro viernes consecutivos los tipos de cambio re</w:t>
      </w:r>
      <w:r>
        <w:rPr>
          <w:sz w:val="20"/>
        </w:rPr>
        <w:t xml:space="preserve">gistran una alza o una baja del </w:t>
      </w:r>
      <w:r w:rsidRPr="007C6477">
        <w:rPr>
          <w:sz w:val="20"/>
        </w:rPr>
        <w:t xml:space="preserve">5% en relación con lo establecido previamente, el Director General de la OMPI inicia consultas con las oficinas interesadas para fijar nuevos importes equivalentes que entrarán en vigor dos meses después </w:t>
      </w:r>
      <w:r>
        <w:rPr>
          <w:sz w:val="20"/>
        </w:rPr>
        <w:t xml:space="preserve">su publicación </w:t>
      </w:r>
      <w:r w:rsidRPr="007C6477">
        <w:rPr>
          <w:sz w:val="20"/>
        </w:rPr>
        <w:t>en la Gaceta del PCT.</w:t>
      </w:r>
    </w:p>
    <w:p w:rsidR="00236E18" w:rsidRPr="007C6477" w:rsidRDefault="00236E18" w:rsidP="00236E18">
      <w:pPr>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Los solicitantes abonan la tasa de presentación de solicitud internacional en base al importe equivalente aplicable en la fecha de presentación de la solicitud.  Sin embargo, debido al retraso en la aplicación del monto equivalente, es probable que los tipos de cambio del mercado sean diferentes de los de la OMPI en el momento del pago, con las consiguientes ganancias o pérdidas en los ingresos del PCT.  En el gráfico que figura a continuación se comparan el “tipo de cambio de la OMPI”, en base al cual se fija el "monto equivalente", y el “tipo de cambio operacional de las NN.UU.” para las tres principales monedas utilizadas, es decir, dólares de los EE.UU., euro y yen.</w:t>
      </w:r>
    </w:p>
    <w:p w:rsidR="00236E18" w:rsidRPr="007C6477" w:rsidRDefault="00236E18" w:rsidP="00236E18">
      <w:pPr>
        <w:widowControl w:val="0"/>
        <w:rPr>
          <w:sz w:val="20"/>
        </w:rPr>
      </w:pPr>
      <w:r w:rsidRPr="00691624">
        <w:rPr>
          <w:noProof/>
          <w:lang w:val="en-US" w:eastAsia="en-US"/>
        </w:rPr>
        <w:drawing>
          <wp:inline distT="0" distB="0" distL="0" distR="0" wp14:anchorId="1DF9F35D" wp14:editId="18F9FD38">
            <wp:extent cx="5868063" cy="1637969"/>
            <wp:effectExtent l="0" t="0" r="0"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871468" cy="1638919"/>
                    </a:xfrm>
                    <a:prstGeom prst="rect">
                      <a:avLst/>
                    </a:prstGeom>
                    <a:noFill/>
                    <a:ln>
                      <a:noFill/>
                    </a:ln>
                  </pic:spPr>
                </pic:pic>
              </a:graphicData>
            </a:graphic>
          </wp:inline>
        </w:drawing>
      </w:r>
    </w:p>
    <w:p w:rsidR="00236E18" w:rsidRPr="007C6477" w:rsidRDefault="00236E18" w:rsidP="00236E18">
      <w:pPr>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La diferencia entre el importe aplicable en la fecha de presentación de la solicitud y su equivalente convertido a francos suizos en la fecha del pago según el tipo de cambio de las NN.UU. constituye una ganancia o pérdida “teórica” en los ingresos del PCT.  El gráfico que figura a continuación refleja esa ganancia/pérdida en los ingresos del PCT, por mes.</w:t>
      </w:r>
    </w:p>
    <w:p w:rsidR="00236E18" w:rsidRPr="007C6477" w:rsidRDefault="00236E18" w:rsidP="00236E18">
      <w:pPr>
        <w:widowControl w:val="0"/>
        <w:rPr>
          <w:sz w:val="20"/>
        </w:rPr>
      </w:pPr>
    </w:p>
    <w:p w:rsidR="00236E18" w:rsidRPr="007C6477" w:rsidRDefault="00236E18" w:rsidP="00236E18">
      <w:pPr>
        <w:widowControl w:val="0"/>
        <w:rPr>
          <w:sz w:val="20"/>
        </w:rPr>
      </w:pPr>
      <w:r w:rsidRPr="00691624">
        <w:rPr>
          <w:noProof/>
          <w:lang w:val="en-US" w:eastAsia="en-US"/>
        </w:rPr>
        <w:drawing>
          <wp:inline distT="0" distB="0" distL="0" distR="0" wp14:anchorId="4E5D285C" wp14:editId="66E23FDD">
            <wp:extent cx="5760085" cy="1960294"/>
            <wp:effectExtent l="0" t="0" r="0"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760085" cy="1960294"/>
                    </a:xfrm>
                    <a:prstGeom prst="rect">
                      <a:avLst/>
                    </a:prstGeom>
                    <a:noFill/>
                    <a:ln>
                      <a:noFill/>
                    </a:ln>
                  </pic:spPr>
                </pic:pic>
              </a:graphicData>
            </a:graphic>
          </wp:inline>
        </w:drawing>
      </w:r>
    </w:p>
    <w:p w:rsidR="00236E18" w:rsidRPr="007C6477" w:rsidRDefault="00236E18" w:rsidP="00236E18">
      <w:pPr>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Para gran sorpresa de los participantes en el mercado, el Banco Nacional Suizo anunció el 15 de enero de 2015 que abandonaría el cambio mínimo frente al euro, lo cual ha dado lugar a una fuerte revalorización del franco suizo.  Como resultado, se prevé que los ingresos del PCT pierdan unos 3,1 millones de francos suizos adicionales.</w:t>
      </w:r>
    </w:p>
    <w:p w:rsidR="00236E18" w:rsidRPr="007C6477" w:rsidRDefault="00236E18" w:rsidP="00236E18">
      <w:pPr>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 xml:space="preserve">La tabla de tasas del PCT vigente </w:t>
      </w:r>
      <w:r>
        <w:rPr>
          <w:sz w:val="20"/>
        </w:rPr>
        <w:t>consta en los cuadros siguientes</w:t>
      </w:r>
      <w:r w:rsidRPr="007C6477">
        <w:rPr>
          <w:sz w:val="20"/>
        </w:rPr>
        <w:t>.</w:t>
      </w:r>
    </w:p>
    <w:p w:rsidR="00236E18" w:rsidRPr="007C6477" w:rsidRDefault="00236E18" w:rsidP="00236E18">
      <w:pPr>
        <w:widowControl w:val="0"/>
        <w:rPr>
          <w:sz w:val="20"/>
        </w:rPr>
      </w:pPr>
    </w:p>
    <w:tbl>
      <w:tblPr>
        <w:tblW w:w="0" w:type="auto"/>
        <w:tblLook w:val="01E0" w:firstRow="1" w:lastRow="1" w:firstColumn="1" w:lastColumn="1" w:noHBand="0" w:noVBand="0"/>
      </w:tblPr>
      <w:tblGrid>
        <w:gridCol w:w="4643"/>
        <w:gridCol w:w="4644"/>
      </w:tblGrid>
      <w:tr w:rsidR="00236E18" w:rsidRPr="007C6477" w:rsidTr="00294272">
        <w:tc>
          <w:tcPr>
            <w:tcW w:w="4643" w:type="dxa"/>
            <w:shd w:val="clear" w:color="auto" w:fill="auto"/>
          </w:tcPr>
          <w:p w:rsidR="00236E18" w:rsidRPr="00B37E9B" w:rsidRDefault="00236E18" w:rsidP="00294272">
            <w:pPr>
              <w:widowControl w:val="0"/>
              <w:jc w:val="center"/>
              <w:rPr>
                <w:sz w:val="18"/>
                <w:szCs w:val="18"/>
              </w:rPr>
            </w:pPr>
            <w:r w:rsidRPr="00B37E9B">
              <w:rPr>
                <w:sz w:val="18"/>
                <w:szCs w:val="18"/>
              </w:rPr>
              <w:t>Tabla de tasas del PCT</w:t>
            </w:r>
          </w:p>
          <w:p w:rsidR="00236E18" w:rsidRPr="00B37E9B" w:rsidRDefault="00236E18" w:rsidP="00294272">
            <w:pPr>
              <w:widowControl w:val="0"/>
              <w:jc w:val="center"/>
              <w:rPr>
                <w:sz w:val="18"/>
                <w:szCs w:val="18"/>
              </w:rPr>
            </w:pPr>
            <w:r w:rsidRPr="00B37E9B">
              <w:rPr>
                <w:sz w:val="18"/>
                <w:szCs w:val="18"/>
              </w:rPr>
              <w:t>(al 1 de enero de 2004)</w:t>
            </w:r>
          </w:p>
          <w:p w:rsidR="00236E18" w:rsidRPr="00B37E9B" w:rsidRDefault="00236E18" w:rsidP="00294272">
            <w:pPr>
              <w:widowControl w:val="0"/>
              <w:jc w:val="center"/>
              <w:rPr>
                <w:i/>
                <w:iCs/>
                <w:sz w:val="18"/>
                <w:szCs w:val="18"/>
              </w:rPr>
            </w:pPr>
            <w:r w:rsidRPr="00B37E9B">
              <w:rPr>
                <w:i/>
                <w:iCs/>
                <w:sz w:val="18"/>
                <w:szCs w:val="18"/>
              </w:rPr>
              <w:t>(en francos suizos)</w:t>
            </w:r>
          </w:p>
          <w:p w:rsidR="00236E18" w:rsidRPr="00B37E9B" w:rsidRDefault="00236E18" w:rsidP="00294272">
            <w:pPr>
              <w:widowControl w:val="0"/>
              <w:jc w:val="center"/>
              <w:rPr>
                <w:sz w:val="20"/>
              </w:rPr>
            </w:pPr>
          </w:p>
        </w:tc>
        <w:tc>
          <w:tcPr>
            <w:tcW w:w="4644" w:type="dxa"/>
            <w:shd w:val="clear" w:color="auto" w:fill="auto"/>
          </w:tcPr>
          <w:p w:rsidR="00236E18" w:rsidRPr="00B37E9B" w:rsidRDefault="00236E18" w:rsidP="00294272">
            <w:pPr>
              <w:widowControl w:val="0"/>
              <w:jc w:val="center"/>
              <w:rPr>
                <w:sz w:val="18"/>
                <w:szCs w:val="18"/>
              </w:rPr>
            </w:pPr>
            <w:r w:rsidRPr="00B37E9B">
              <w:rPr>
                <w:sz w:val="18"/>
                <w:szCs w:val="18"/>
              </w:rPr>
              <w:t>Tabla revisada de tasas del PCT</w:t>
            </w:r>
          </w:p>
          <w:p w:rsidR="00236E18" w:rsidRPr="00B37E9B" w:rsidRDefault="00236E18" w:rsidP="00294272">
            <w:pPr>
              <w:widowControl w:val="0"/>
              <w:jc w:val="center"/>
              <w:rPr>
                <w:sz w:val="18"/>
                <w:szCs w:val="18"/>
              </w:rPr>
            </w:pPr>
            <w:r w:rsidRPr="00B37E9B">
              <w:rPr>
                <w:sz w:val="18"/>
                <w:szCs w:val="18"/>
              </w:rPr>
              <w:t>(al 1 de julio de 2008)</w:t>
            </w:r>
          </w:p>
          <w:p w:rsidR="00236E18" w:rsidRPr="00B37E9B" w:rsidRDefault="00236E18" w:rsidP="00294272">
            <w:pPr>
              <w:widowControl w:val="0"/>
              <w:jc w:val="center"/>
              <w:rPr>
                <w:sz w:val="18"/>
                <w:szCs w:val="18"/>
              </w:rPr>
            </w:pPr>
            <w:r w:rsidRPr="00B37E9B">
              <w:rPr>
                <w:i/>
                <w:sz w:val="18"/>
                <w:szCs w:val="18"/>
              </w:rPr>
              <w:t>(en francos suizos)</w:t>
            </w:r>
          </w:p>
        </w:tc>
      </w:tr>
      <w:tr w:rsidR="00236E18" w:rsidRPr="007C6477" w:rsidTr="00294272">
        <w:tc>
          <w:tcPr>
            <w:tcW w:w="4643" w:type="dxa"/>
            <w:shd w:val="clear" w:color="auto" w:fill="auto"/>
          </w:tcPr>
          <w:p w:rsidR="00236E18" w:rsidRPr="007C6477" w:rsidRDefault="00236E18" w:rsidP="00294272">
            <w:pPr>
              <w:widowControl w:val="0"/>
              <w:jc w:val="center"/>
              <w:rPr>
                <w:sz w:val="20"/>
              </w:rPr>
            </w:pPr>
            <w:r w:rsidRPr="007C6477">
              <w:rPr>
                <w:noProof/>
                <w:sz w:val="20"/>
                <w:lang w:val="en-US" w:eastAsia="en-US"/>
              </w:rPr>
              <mc:AlternateContent>
                <mc:Choice Requires="wpc">
                  <w:drawing>
                    <wp:inline distT="0" distB="0" distL="0" distR="0" wp14:anchorId="11C0EF9C" wp14:editId="31B4E4E7">
                      <wp:extent cx="2599690" cy="819785"/>
                      <wp:effectExtent l="0" t="0" r="0" b="18415"/>
                      <wp:docPr id="161" name="Canvas 1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2" name="Rectangle 105"/>
                              <wps:cNvSpPr>
                                <a:spLocks noChangeArrowheads="1"/>
                              </wps:cNvSpPr>
                              <wps:spPr bwMode="auto">
                                <a:xfrm>
                                  <a:off x="0" y="1270"/>
                                  <a:ext cx="393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color w:val="000000"/>
                                        <w:szCs w:val="24"/>
                                      </w:rPr>
                                      <w:t xml:space="preserve"> </w:t>
                                    </w:r>
                                  </w:p>
                                </w:txbxContent>
                              </wps:txbx>
                              <wps:bodyPr rot="0" vert="horz" wrap="none" lIns="0" tIns="0" rIns="0" bIns="0" anchor="t" anchorCtr="0">
                                <a:spAutoFit/>
                              </wps:bodyPr>
                            </wps:wsp>
                            <wpg:wgp>
                              <wpg:cNvPr id="143" name="Group 123"/>
                              <wpg:cNvGrpSpPr>
                                <a:grpSpLocks/>
                              </wpg:cNvGrpSpPr>
                              <wpg:grpSpPr bwMode="auto">
                                <a:xfrm>
                                  <a:off x="4445" y="0"/>
                                  <a:ext cx="2589530" cy="774065"/>
                                  <a:chOff x="7" y="0"/>
                                  <a:chExt cx="4078" cy="1219"/>
                                </a:xfrm>
                              </wpg:grpSpPr>
                              <wps:wsp>
                                <wps:cNvPr id="144" name="Rectangle 106"/>
                                <wps:cNvSpPr>
                                  <a:spLocks noChangeArrowheads="1"/>
                                </wps:cNvSpPr>
                                <wps:spPr bwMode="auto">
                                  <a:xfrm>
                                    <a:off x="7" y="7"/>
                                    <a:ext cx="4078" cy="174"/>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07"/>
                                <wps:cNvSpPr>
                                  <a:spLocks noChangeArrowheads="1"/>
                                </wps:cNvSpPr>
                                <wps:spPr bwMode="auto">
                                  <a:xfrm>
                                    <a:off x="7" y="180"/>
                                    <a:ext cx="4078"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108"/>
                                <wps:cNvSpPr>
                                  <a:spLocks noChangeArrowheads="1"/>
                                </wps:cNvSpPr>
                                <wps:spPr bwMode="auto">
                                  <a:xfrm>
                                    <a:off x="7" y="353"/>
                                    <a:ext cx="4078" cy="52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109"/>
                                <wps:cNvSpPr>
                                  <a:spLocks noChangeArrowheads="1"/>
                                </wps:cNvSpPr>
                                <wps:spPr bwMode="auto">
                                  <a:xfrm>
                                    <a:off x="7" y="872"/>
                                    <a:ext cx="4078"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110"/>
                                <wps:cNvSpPr>
                                  <a:spLocks noChangeArrowheads="1"/>
                                </wps:cNvSpPr>
                                <wps:spPr bwMode="auto">
                                  <a:xfrm>
                                    <a:off x="7" y="1045"/>
                                    <a:ext cx="4078" cy="174"/>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111"/>
                                <wps:cNvSpPr>
                                  <a:spLocks noChangeArrowheads="1"/>
                                </wps:cNvSpPr>
                                <wps:spPr bwMode="auto">
                                  <a:xfrm>
                                    <a:off x="37" y="0"/>
                                    <a:ext cx="925"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Tasa de base</w:t>
                                      </w:r>
                                    </w:p>
                                  </w:txbxContent>
                                </wps:txbx>
                                <wps:bodyPr rot="0" vert="horz" wrap="none" lIns="0" tIns="0" rIns="0" bIns="0" anchor="t" anchorCtr="0">
                                  <a:spAutoFit/>
                                </wps:bodyPr>
                              </wps:wsp>
                              <wps:wsp>
                                <wps:cNvPr id="150" name="Rectangle 112"/>
                                <wps:cNvSpPr>
                                  <a:spLocks noChangeArrowheads="1"/>
                                </wps:cNvSpPr>
                                <wps:spPr bwMode="auto">
                                  <a:xfrm>
                                    <a:off x="3648" y="0"/>
                                    <a:ext cx="407"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1,400</w:t>
                                      </w:r>
                                    </w:p>
                                  </w:txbxContent>
                                </wps:txbx>
                                <wps:bodyPr rot="0" vert="horz" wrap="none" lIns="0" tIns="0" rIns="0" bIns="0" anchor="t" anchorCtr="0">
                                  <a:spAutoFit/>
                                </wps:bodyPr>
                              </wps:wsp>
                              <wps:wsp>
                                <wps:cNvPr id="151" name="Rectangle 113"/>
                                <wps:cNvSpPr>
                                  <a:spLocks noChangeArrowheads="1"/>
                                </wps:cNvSpPr>
                                <wps:spPr bwMode="auto">
                                  <a:xfrm>
                                    <a:off x="37" y="173"/>
                                    <a:ext cx="2258"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Tasa por superar las 30 páginas</w:t>
                                      </w:r>
                                    </w:p>
                                  </w:txbxContent>
                                </wps:txbx>
                                <wps:bodyPr rot="0" vert="horz" wrap="none" lIns="0" tIns="0" rIns="0" bIns="0" anchor="t" anchorCtr="0">
                                  <a:spAutoFit/>
                                </wps:bodyPr>
                              </wps:wsp>
                              <wps:wsp>
                                <wps:cNvPr id="152" name="Rectangle 114"/>
                                <wps:cNvSpPr>
                                  <a:spLocks noChangeArrowheads="1"/>
                                </wps:cNvSpPr>
                                <wps:spPr bwMode="auto">
                                  <a:xfrm>
                                    <a:off x="3876" y="173"/>
                                    <a:ext cx="179"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15</w:t>
                                      </w:r>
                                    </w:p>
                                  </w:txbxContent>
                                </wps:txbx>
                                <wps:bodyPr rot="0" vert="horz" wrap="none" lIns="0" tIns="0" rIns="0" bIns="0" anchor="t" anchorCtr="0">
                                  <a:spAutoFit/>
                                </wps:bodyPr>
                              </wps:wsp>
                              <wps:wsp>
                                <wps:cNvPr id="153" name="Rectangle 115"/>
                                <wps:cNvSpPr>
                                  <a:spLocks noChangeArrowheads="1"/>
                                </wps:cNvSpPr>
                                <wps:spPr bwMode="auto">
                                  <a:xfrm>
                                    <a:off x="37" y="346"/>
                                    <a:ext cx="2780"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Pr="00FE7DAE" w:rsidRDefault="00236E18" w:rsidP="00236E18">
                                      <w:pPr>
                                        <w:rPr>
                                          <w:lang w:val="es-ES_tradnl"/>
                                        </w:rPr>
                                      </w:pPr>
                                      <w:r>
                                        <w:rPr>
                                          <w:rFonts w:ascii="Verdana" w:hAnsi="Verdana" w:cs="Verdana"/>
                                          <w:color w:val="000000"/>
                                          <w:sz w:val="14"/>
                                          <w:szCs w:val="14"/>
                                          <w:lang w:val="es-ES_tradnl"/>
                                        </w:rPr>
                                        <w:t>Descuento por presentación electrónica</w:t>
                                      </w:r>
                                    </w:p>
                                  </w:txbxContent>
                                </wps:txbx>
                                <wps:bodyPr rot="0" vert="horz" wrap="none" lIns="0" tIns="0" rIns="0" bIns="0" anchor="t" anchorCtr="0">
                                  <a:spAutoFit/>
                                </wps:bodyPr>
                              </wps:wsp>
                              <wps:wsp>
                                <wps:cNvPr id="154" name="Rectangle 116"/>
                                <wps:cNvSpPr>
                                  <a:spLocks noChangeArrowheads="1"/>
                                </wps:cNvSpPr>
                                <wps:spPr bwMode="auto">
                                  <a:xfrm>
                                    <a:off x="3224" y="346"/>
                                    <a:ext cx="836"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-100 (</w:t>
                                      </w:r>
                                      <w:proofErr w:type="spellStart"/>
                                      <w:r>
                                        <w:rPr>
                                          <w:rFonts w:ascii="Verdana" w:hAnsi="Verdana" w:cs="Verdana"/>
                                          <w:color w:val="000000"/>
                                          <w:sz w:val="14"/>
                                          <w:szCs w:val="14"/>
                                        </w:rPr>
                                        <w:t>Easy</w:t>
                                      </w:r>
                                      <w:proofErr w:type="spellEnd"/>
                                      <w:r>
                                        <w:rPr>
                                          <w:rFonts w:ascii="Verdana" w:hAnsi="Verdana" w:cs="Verdana"/>
                                          <w:color w:val="000000"/>
                                          <w:sz w:val="14"/>
                                          <w:szCs w:val="14"/>
                                        </w:rPr>
                                        <w:t>)</w:t>
                                      </w:r>
                                    </w:p>
                                  </w:txbxContent>
                                </wps:txbx>
                                <wps:bodyPr rot="0" vert="horz" wrap="none" lIns="0" tIns="0" rIns="0" bIns="0" anchor="t" anchorCtr="0">
                                  <a:spAutoFit/>
                                </wps:bodyPr>
                              </wps:wsp>
                              <wps:wsp>
                                <wps:cNvPr id="155" name="Rectangle 117"/>
                                <wps:cNvSpPr>
                                  <a:spLocks noChangeArrowheads="1"/>
                                </wps:cNvSpPr>
                                <wps:spPr bwMode="auto">
                                  <a:xfrm>
                                    <a:off x="3277" y="519"/>
                                    <a:ext cx="780"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-200 (PDF)</w:t>
                                      </w:r>
                                    </w:p>
                                  </w:txbxContent>
                                </wps:txbx>
                                <wps:bodyPr rot="0" vert="horz" wrap="none" lIns="0" tIns="0" rIns="0" bIns="0" anchor="t" anchorCtr="0">
                                  <a:spAutoFit/>
                                </wps:bodyPr>
                              </wps:wsp>
                              <wps:wsp>
                                <wps:cNvPr id="156" name="Rectangle 118"/>
                                <wps:cNvSpPr>
                                  <a:spLocks noChangeArrowheads="1"/>
                                </wps:cNvSpPr>
                                <wps:spPr bwMode="auto">
                                  <a:xfrm>
                                    <a:off x="3259" y="692"/>
                                    <a:ext cx="799"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-300 (XML)</w:t>
                                      </w:r>
                                    </w:p>
                                  </w:txbxContent>
                                </wps:txbx>
                                <wps:bodyPr rot="0" vert="horz" wrap="none" lIns="0" tIns="0" rIns="0" bIns="0" anchor="t" anchorCtr="0">
                                  <a:spAutoFit/>
                                </wps:bodyPr>
                              </wps:wsp>
                              <wps:wsp>
                                <wps:cNvPr id="157" name="Rectangle 119"/>
                                <wps:cNvSpPr>
                                  <a:spLocks noChangeArrowheads="1"/>
                                </wps:cNvSpPr>
                                <wps:spPr bwMode="auto">
                                  <a:xfrm>
                                    <a:off x="37" y="865"/>
                                    <a:ext cx="2112"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Pr="00FE7DAE" w:rsidRDefault="00236E18" w:rsidP="00236E18">
                                      <w:pPr>
                                        <w:rPr>
                                          <w:lang w:val="es-ES_tradnl"/>
                                        </w:rPr>
                                      </w:pPr>
                                      <w:r>
                                        <w:rPr>
                                          <w:rFonts w:ascii="Verdana" w:hAnsi="Verdana" w:cs="Verdana"/>
                                          <w:color w:val="000000"/>
                                          <w:sz w:val="14"/>
                                          <w:szCs w:val="14"/>
                                          <w:lang w:val="es-ES_tradnl"/>
                                        </w:rPr>
                                        <w:t>Tasa de transmisión de RO/IB</w:t>
                                      </w:r>
                                    </w:p>
                                  </w:txbxContent>
                                </wps:txbx>
                                <wps:bodyPr rot="0" vert="horz" wrap="none" lIns="0" tIns="0" rIns="0" bIns="0" anchor="t" anchorCtr="0">
                                  <a:spAutoFit/>
                                </wps:bodyPr>
                              </wps:wsp>
                              <wps:wsp>
                                <wps:cNvPr id="158" name="Rectangle 120"/>
                                <wps:cNvSpPr>
                                  <a:spLocks noChangeArrowheads="1"/>
                                </wps:cNvSpPr>
                                <wps:spPr bwMode="auto">
                                  <a:xfrm>
                                    <a:off x="3787" y="865"/>
                                    <a:ext cx="268"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100</w:t>
                                      </w:r>
                                    </w:p>
                                  </w:txbxContent>
                                </wps:txbx>
                                <wps:bodyPr rot="0" vert="horz" wrap="none" lIns="0" tIns="0" rIns="0" bIns="0" anchor="t" anchorCtr="0">
                                  <a:spAutoFit/>
                                </wps:bodyPr>
                              </wps:wsp>
                              <wps:wsp>
                                <wps:cNvPr id="159" name="Rectangle 121"/>
                                <wps:cNvSpPr>
                                  <a:spLocks noChangeArrowheads="1"/>
                                </wps:cNvSpPr>
                                <wps:spPr bwMode="auto">
                                  <a:xfrm>
                                    <a:off x="37" y="1038"/>
                                    <a:ext cx="1395"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Tasa de tramitación</w:t>
                                      </w:r>
                                    </w:p>
                                  </w:txbxContent>
                                </wps:txbx>
                                <wps:bodyPr rot="0" vert="horz" wrap="none" lIns="0" tIns="0" rIns="0" bIns="0" anchor="t" anchorCtr="0">
                                  <a:spAutoFit/>
                                </wps:bodyPr>
                              </wps:wsp>
                              <wps:wsp>
                                <wps:cNvPr id="160" name="Rectangle 122"/>
                                <wps:cNvSpPr>
                                  <a:spLocks noChangeArrowheads="1"/>
                                </wps:cNvSpPr>
                                <wps:spPr bwMode="auto">
                                  <a:xfrm>
                                    <a:off x="3787" y="1038"/>
                                    <a:ext cx="268"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200</w:t>
                                      </w:r>
                                    </w:p>
                                  </w:txbxContent>
                                </wps:txbx>
                                <wps:bodyPr rot="0" vert="horz" wrap="none" lIns="0" tIns="0" rIns="0" bIns="0" anchor="t" anchorCtr="0">
                                  <a:spAutoFit/>
                                </wps:bodyPr>
                              </wps:wsp>
                            </wpg:wgp>
                          </wpc:wpc>
                        </a:graphicData>
                      </a:graphic>
                    </wp:inline>
                  </w:drawing>
                </mc:Choice>
                <mc:Fallback>
                  <w:pict>
                    <v:group id="Canvas 161" o:spid="_x0000_s1026" editas="canvas" style="width:204.7pt;height:64.55pt;mso-position-horizontal-relative:char;mso-position-vertical-relative:line" coordsize="25996,8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5996;height:8197;visibility:visible;mso-wrap-style:square">
                        <v:fill o:detectmouseclick="t"/>
                        <v:path o:connecttype="none"/>
                      </v:shape>
                      <v:rect id="Rectangle 105" o:spid="_x0000_s1028" style="position:absolute;top:12;width:393;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236E18" w:rsidRDefault="00236E18" w:rsidP="00236E18">
                              <w:r>
                                <w:rPr>
                                  <w:color w:val="000000"/>
                                  <w:szCs w:val="24"/>
                                </w:rPr>
                                <w:t xml:space="preserve"> </w:t>
                              </w:r>
                            </w:p>
                          </w:txbxContent>
                        </v:textbox>
                      </v:rect>
                      <v:group id="Group 123" o:spid="_x0000_s1029" style="position:absolute;left:44;width:25895;height:7740" coordorigin="7" coordsize="4078,1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rect id="Rectangle 106" o:spid="_x0000_s1030" style="position:absolute;left:7;top:7;width:4078;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3xysAA&#10;AADcAAAADwAAAGRycy9kb3ducmV2LnhtbERP3WrCMBS+H/gO4Qy8m+mGiHSmUoaDIRSx+gCH5rQp&#10;NieliW339stA8O58fL9nt59tJ0YafOtYwfsqAUFcOd1yo+B6+X7bgvABWWPnmBT8kod9tnjZYard&#10;xGcay9CIGMI+RQUmhD6V0leGLPqV64kjV7vBYohwaKQecIrhtpMfSbKRFluODQZ7+jJU3cq7VWBN&#10;cTq007G3eX7nsZ4Sj8VNqeXrnH+CCDSHp/jh/tFx/noN/8/EC2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l3xysAAAADcAAAADwAAAAAAAAAAAAAAAACYAgAAZHJzL2Rvd25y&#10;ZXYueG1sUEsFBgAAAAAEAAQA9QAAAIUDAAAAAA==&#10;" fillcolor="#9cf" stroked="f"/>
                        <v:rect id="Rectangle 107" o:spid="_x0000_s1031" style="position:absolute;left:7;top:180;width:4078;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W6aMEA&#10;AADcAAAADwAAAGRycy9kb3ducmV2LnhtbERPTYvCMBC9C/sfwizsTRNdLVqNIoKwoB5WF7wOzdgW&#10;m0ltonb/vREEb/N4nzNbtLYSN2p86VhDv6dAEGfOlJxr+Dusu2MQPiAbrByThn/ysJh/dGaYGnfn&#10;X7rtQy5iCPsUNRQh1KmUPivIou+5mjhyJ9dYDBE2uTQN3mO4reRAqURaLDk2FFjTqqDsvL9aDZgM&#10;zWV3+t4eNtcEJ3mr1qOj0vrrs11OQQRqw1v8cv+YOH84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VumjBAAAA3AAAAA8AAAAAAAAAAAAAAAAAmAIAAGRycy9kb3du&#10;cmV2LnhtbFBLBQYAAAAABAAEAPUAAACGAwAAAAA=&#10;" stroked="f"/>
                        <v:rect id="Rectangle 108" o:spid="_x0000_s1032" style="position:absolute;left:7;top:353;width:4078;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PKJsAA&#10;AADcAAAADwAAAGRycy9kb3ducmV2LnhtbERP3WqDMBS+L/Qdwhnsro0bRYZrFBkdjEIZs32Agzka&#10;0ZyISdW9/TIY7O58fL/nWKx2EDNNvnOs4GmfgCCune64VXC7vu9eQPiArHFwTAq+yUORbzdHzLRb&#10;+IvmKrQihrDPUIEJYcyk9LUhi37vRuLINW6yGCKcWqknXGK4HeRzkqTSYsexweBIb4bqvrpbBdZc&#10;Pk/dch5tWd55bpbE46VX6vFhLV9BBFrDv/jP/aHj/EMKv8/EC2T+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cPKJsAAAADcAAAADwAAAAAAAAAAAAAAAACYAgAAZHJzL2Rvd25y&#10;ZXYueG1sUEsFBgAAAAAEAAQA9QAAAIUDAAAAAA==&#10;" fillcolor="#9cf" stroked="f"/>
                        <v:rect id="Rectangle 109" o:spid="_x0000_s1033" style="position:absolute;left:7;top:872;width:4078;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uBhMIA&#10;AADcAAAADwAAAGRycy9kb3ducmV2LnhtbERPTYvCMBC9L+x/CLPgTZNdtavVKIsgCOphVfA6NGNb&#10;bCbdJmr990YQ9jaP9znTeWsrcaXGl441fPYUCOLMmZJzDYf9sjsC4QOywcoxabiTh/ns/W2KqXE3&#10;/qXrLuQihrBPUUMRQp1K6bOCLPqeq4kjd3KNxRBhk0vT4C2G20p+KZVIiyXHhgJrWhSUnXcXqwGT&#10;gfnbnvqb/fqS4Dhv1XJ4VFp3PtqfCYhAbfgXv9wrE+cPvuH5TLx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i4GEwgAAANwAAAAPAAAAAAAAAAAAAAAAAJgCAABkcnMvZG93&#10;bnJldi54bWxQSwUGAAAAAAQABAD1AAAAhwMAAAAA&#10;" stroked="f"/>
                        <v:rect id="Rectangle 110" o:spid="_x0000_s1034" style="position:absolute;left:7;top:1045;width:4078;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D7z8IA&#10;AADcAAAADwAAAGRycy9kb3ducmV2LnhtbESP0WrCQBBF3wv+wzJC33RjkSLRVYJYEEGKth8wZMds&#10;MDsbsmsS/77zIPRthnvn3jOb3egb1VMX68AGFvMMFHEZbM2Vgd+fr9kKVEzIFpvAZOBJEXbbydsG&#10;cxsGvlB/TZWSEI45GnAptbnWsXTkMc5DSyzaLXQek6xdpW2Hg4T7Rn9k2af2WLM0OGxp76i8Xx/e&#10;gHfn70M9nFpfFA/ub0MW8Xw35n06FmtQicb0b35dH63gL4VWnpEJ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EPvPwgAAANwAAAAPAAAAAAAAAAAAAAAAAJgCAABkcnMvZG93&#10;bnJldi54bWxQSwUGAAAAAAQABAD1AAAAhwMAAAAA&#10;" fillcolor="#9cf" stroked="f"/>
                        <v:rect id="Rectangle 111" o:spid="_x0000_s1035" style="position:absolute;left:37;width:925;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236E18" w:rsidRDefault="00236E18" w:rsidP="00236E18">
                                <w:r>
                                  <w:rPr>
                                    <w:rFonts w:ascii="Verdana" w:hAnsi="Verdana" w:cs="Verdana"/>
                                    <w:color w:val="000000"/>
                                    <w:sz w:val="14"/>
                                    <w:szCs w:val="14"/>
                                  </w:rPr>
                                  <w:t>Tasa de base</w:t>
                                </w:r>
                              </w:p>
                            </w:txbxContent>
                          </v:textbox>
                        </v:rect>
                        <v:rect id="Rectangle 112" o:spid="_x0000_s1036" style="position:absolute;left:3648;width:407;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rsidR="00236E18" w:rsidRDefault="00236E18" w:rsidP="00236E18">
                                <w:r>
                                  <w:rPr>
                                    <w:rFonts w:ascii="Verdana" w:hAnsi="Verdana" w:cs="Verdana"/>
                                    <w:color w:val="000000"/>
                                    <w:sz w:val="14"/>
                                    <w:szCs w:val="14"/>
                                  </w:rPr>
                                  <w:t>1,400</w:t>
                                </w:r>
                              </w:p>
                            </w:txbxContent>
                          </v:textbox>
                        </v:rect>
                        <v:rect id="Rectangle 113" o:spid="_x0000_s1037" style="position:absolute;left:37;top:173;width:2258;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1aL4A&#10;AADcAAAADwAAAGRycy9kb3ducmV2LnhtbERP24rCMBB9X/Afwgi+ranCLl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NWi+AAAA3AAAAA8AAAAAAAAAAAAAAAAAmAIAAGRycy9kb3ducmV2&#10;LnhtbFBLBQYAAAAABAAEAPUAAACDAwAAAAA=&#10;" filled="f" stroked="f">
                          <v:textbox style="mso-fit-shape-to-text:t" inset="0,0,0,0">
                            <w:txbxContent>
                              <w:p w:rsidR="00236E18" w:rsidRDefault="00236E18" w:rsidP="00236E18">
                                <w:r>
                                  <w:rPr>
                                    <w:rFonts w:ascii="Verdana" w:hAnsi="Verdana" w:cs="Verdana"/>
                                    <w:color w:val="000000"/>
                                    <w:sz w:val="14"/>
                                    <w:szCs w:val="14"/>
                                  </w:rPr>
                                  <w:t>Tasa por superar las 30 páginas</w:t>
                                </w:r>
                              </w:p>
                            </w:txbxContent>
                          </v:textbox>
                        </v:rect>
                        <v:rect id="Rectangle 114" o:spid="_x0000_s1038" style="position:absolute;left:3876;top:173;width:179;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rsidR="00236E18" w:rsidRDefault="00236E18" w:rsidP="00236E18">
                                <w:r>
                                  <w:rPr>
                                    <w:rFonts w:ascii="Verdana" w:hAnsi="Verdana" w:cs="Verdana"/>
                                    <w:color w:val="000000"/>
                                    <w:sz w:val="14"/>
                                    <w:szCs w:val="14"/>
                                  </w:rPr>
                                  <w:t>15</w:t>
                                </w:r>
                              </w:p>
                            </w:txbxContent>
                          </v:textbox>
                        </v:rect>
                        <v:rect id="Rectangle 115" o:spid="_x0000_s1039" style="position:absolute;left:37;top:346;width:2780;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OhL8A&#10;AADcAAAADwAAAGRycy9kb3ducmV2LnhtbERP24rCMBB9F/yHMIJvmqrs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g6EvwAAANwAAAAPAAAAAAAAAAAAAAAAAJgCAABkcnMvZG93bnJl&#10;di54bWxQSwUGAAAAAAQABAD1AAAAhAMAAAAA&#10;" filled="f" stroked="f">
                          <v:textbox style="mso-fit-shape-to-text:t" inset="0,0,0,0">
                            <w:txbxContent>
                              <w:p w:rsidR="00236E18" w:rsidRPr="00FE7DAE" w:rsidRDefault="00236E18" w:rsidP="00236E18">
                                <w:pPr>
                                  <w:rPr>
                                    <w:lang w:val="es-ES_tradnl"/>
                                  </w:rPr>
                                </w:pPr>
                                <w:r>
                                  <w:rPr>
                                    <w:rFonts w:ascii="Verdana" w:hAnsi="Verdana" w:cs="Verdana"/>
                                    <w:color w:val="000000"/>
                                    <w:sz w:val="14"/>
                                    <w:szCs w:val="14"/>
                                    <w:lang w:val="es-ES_tradnl"/>
                                  </w:rPr>
                                  <w:t>Descuento por presentación electrónica</w:t>
                                </w:r>
                              </w:p>
                            </w:txbxContent>
                          </v:textbox>
                        </v:rect>
                        <v:rect id="Rectangle 116" o:spid="_x0000_s1040" style="position:absolute;left:3224;top:346;width:836;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W8L8A&#10;AADcAAAADwAAAGRycy9kb3ducmV2LnhtbERP24rCMBB9F/yHMIJvmiru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k5bwvwAAANwAAAAPAAAAAAAAAAAAAAAAAJgCAABkcnMvZG93bnJl&#10;di54bWxQSwUGAAAAAAQABAD1AAAAhAMAAAAA&#10;" filled="f" stroked="f">
                          <v:textbox style="mso-fit-shape-to-text:t" inset="0,0,0,0">
                            <w:txbxContent>
                              <w:p w:rsidR="00236E18" w:rsidRDefault="00236E18" w:rsidP="00236E18">
                                <w:r>
                                  <w:rPr>
                                    <w:rFonts w:ascii="Verdana" w:hAnsi="Verdana" w:cs="Verdana"/>
                                    <w:color w:val="000000"/>
                                    <w:sz w:val="14"/>
                                    <w:szCs w:val="14"/>
                                  </w:rPr>
                                  <w:t>-100 (</w:t>
                                </w:r>
                                <w:proofErr w:type="spellStart"/>
                                <w:r>
                                  <w:rPr>
                                    <w:rFonts w:ascii="Verdana" w:hAnsi="Verdana" w:cs="Verdana"/>
                                    <w:color w:val="000000"/>
                                    <w:sz w:val="14"/>
                                    <w:szCs w:val="14"/>
                                  </w:rPr>
                                  <w:t>Easy</w:t>
                                </w:r>
                                <w:proofErr w:type="spellEnd"/>
                                <w:r>
                                  <w:rPr>
                                    <w:rFonts w:ascii="Verdana" w:hAnsi="Verdana" w:cs="Verdana"/>
                                    <w:color w:val="000000"/>
                                    <w:sz w:val="14"/>
                                    <w:szCs w:val="14"/>
                                  </w:rPr>
                                  <w:t>)</w:t>
                                </w:r>
                              </w:p>
                            </w:txbxContent>
                          </v:textbox>
                        </v:rect>
                        <v:rect id="Rectangle 117" o:spid="_x0000_s1041" style="position:absolute;left:3277;top:519;width:780;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rsidR="00236E18" w:rsidRDefault="00236E18" w:rsidP="00236E18">
                                <w:r>
                                  <w:rPr>
                                    <w:rFonts w:ascii="Verdana" w:hAnsi="Verdana" w:cs="Verdana"/>
                                    <w:color w:val="000000"/>
                                    <w:sz w:val="14"/>
                                    <w:szCs w:val="14"/>
                                  </w:rPr>
                                  <w:t>-200 (PDF)</w:t>
                                </w:r>
                              </w:p>
                            </w:txbxContent>
                          </v:textbox>
                        </v:rect>
                        <v:rect id="Rectangle 118" o:spid="_x0000_s1042" style="position:absolute;left:3259;top:692;width:799;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236E18" w:rsidRDefault="00236E18" w:rsidP="00236E18">
                                <w:r>
                                  <w:rPr>
                                    <w:rFonts w:ascii="Verdana" w:hAnsi="Verdana" w:cs="Verdana"/>
                                    <w:color w:val="000000"/>
                                    <w:sz w:val="14"/>
                                    <w:szCs w:val="14"/>
                                  </w:rPr>
                                  <w:t>-300 (XML)</w:t>
                                </w:r>
                              </w:p>
                            </w:txbxContent>
                          </v:textbox>
                        </v:rect>
                        <v:rect id="Rectangle 119" o:spid="_x0000_s1043" style="position:absolute;left:37;top:865;width:2112;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236E18" w:rsidRPr="00FE7DAE" w:rsidRDefault="00236E18" w:rsidP="00236E18">
                                <w:pPr>
                                  <w:rPr>
                                    <w:lang w:val="es-ES_tradnl"/>
                                  </w:rPr>
                                </w:pPr>
                                <w:r>
                                  <w:rPr>
                                    <w:rFonts w:ascii="Verdana" w:hAnsi="Verdana" w:cs="Verdana"/>
                                    <w:color w:val="000000"/>
                                    <w:sz w:val="14"/>
                                    <w:szCs w:val="14"/>
                                    <w:lang w:val="es-ES_tradnl"/>
                                  </w:rPr>
                                  <w:t>Tasa de transmisión de RO/IB</w:t>
                                </w:r>
                              </w:p>
                            </w:txbxContent>
                          </v:textbox>
                        </v:rect>
                        <v:rect id="Rectangle 120" o:spid="_x0000_s1044" style="position:absolute;left:3787;top:865;width:268;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rsidR="00236E18" w:rsidRDefault="00236E18" w:rsidP="00236E18">
                                <w:r>
                                  <w:rPr>
                                    <w:rFonts w:ascii="Verdana" w:hAnsi="Verdana" w:cs="Verdana"/>
                                    <w:color w:val="000000"/>
                                    <w:sz w:val="14"/>
                                    <w:szCs w:val="14"/>
                                  </w:rPr>
                                  <w:t>100</w:t>
                                </w:r>
                              </w:p>
                            </w:txbxContent>
                          </v:textbox>
                        </v:rect>
                        <v:rect id="Rectangle 121" o:spid="_x0000_s1045" style="position:absolute;left:37;top:1038;width:1395;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rsidR="00236E18" w:rsidRDefault="00236E18" w:rsidP="00236E18">
                                <w:r>
                                  <w:rPr>
                                    <w:rFonts w:ascii="Verdana" w:hAnsi="Verdana" w:cs="Verdana"/>
                                    <w:color w:val="000000"/>
                                    <w:sz w:val="14"/>
                                    <w:szCs w:val="14"/>
                                  </w:rPr>
                                  <w:t>Tasa de tramitación</w:t>
                                </w:r>
                              </w:p>
                            </w:txbxContent>
                          </v:textbox>
                        </v:rect>
                        <v:rect id="Rectangle 122" o:spid="_x0000_s1046" style="position:absolute;left:3787;top:1038;width:268;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rsidR="00236E18" w:rsidRDefault="00236E18" w:rsidP="00236E18">
                                <w:r>
                                  <w:rPr>
                                    <w:rFonts w:ascii="Verdana" w:hAnsi="Verdana" w:cs="Verdana"/>
                                    <w:color w:val="000000"/>
                                    <w:sz w:val="14"/>
                                    <w:szCs w:val="14"/>
                                  </w:rPr>
                                  <w:t>200</w:t>
                                </w:r>
                              </w:p>
                            </w:txbxContent>
                          </v:textbox>
                        </v:rect>
                      </v:group>
                      <w10:anchorlock/>
                    </v:group>
                  </w:pict>
                </mc:Fallback>
              </mc:AlternateContent>
            </w:r>
          </w:p>
        </w:tc>
        <w:tc>
          <w:tcPr>
            <w:tcW w:w="4644" w:type="dxa"/>
            <w:shd w:val="clear" w:color="auto" w:fill="auto"/>
          </w:tcPr>
          <w:p w:rsidR="00236E18" w:rsidRPr="007C6477" w:rsidRDefault="00236E18" w:rsidP="00294272">
            <w:pPr>
              <w:widowControl w:val="0"/>
              <w:jc w:val="center"/>
              <w:rPr>
                <w:sz w:val="20"/>
              </w:rPr>
            </w:pPr>
            <w:r>
              <w:rPr>
                <w:noProof/>
                <w:sz w:val="20"/>
                <w:lang w:val="en-US" w:eastAsia="en-US"/>
              </w:rPr>
              <mc:AlternateContent>
                <mc:Choice Requires="wpc">
                  <w:drawing>
                    <wp:inline distT="0" distB="0" distL="0" distR="0" wp14:anchorId="36E259FE" wp14:editId="24A32736">
                      <wp:extent cx="2762885" cy="777875"/>
                      <wp:effectExtent l="0" t="0" r="18415" b="3175"/>
                      <wp:docPr id="980" name="Canvas 98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 name="Rectangle 6"/>
                              <wps:cNvSpPr>
                                <a:spLocks noChangeArrowheads="1"/>
                              </wps:cNvSpPr>
                              <wps:spPr bwMode="auto">
                                <a:xfrm>
                                  <a:off x="0" y="1270"/>
                                  <a:ext cx="387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g:wgp>
                              <wpg:cNvPr id="27" name="Group 24"/>
                              <wpg:cNvGrpSpPr>
                                <a:grpSpLocks/>
                              </wpg:cNvGrpSpPr>
                              <wpg:grpSpPr bwMode="auto">
                                <a:xfrm>
                                  <a:off x="4445" y="0"/>
                                  <a:ext cx="2589530" cy="774065"/>
                                  <a:chOff x="7" y="0"/>
                                  <a:chExt cx="4078" cy="1219"/>
                                </a:xfrm>
                              </wpg:grpSpPr>
                              <wps:wsp>
                                <wps:cNvPr id="30" name="Rectangle 7"/>
                                <wps:cNvSpPr>
                                  <a:spLocks noChangeArrowheads="1"/>
                                </wps:cNvSpPr>
                                <wps:spPr bwMode="auto">
                                  <a:xfrm>
                                    <a:off x="7" y="7"/>
                                    <a:ext cx="4078" cy="174"/>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8"/>
                                <wps:cNvSpPr>
                                  <a:spLocks noChangeArrowheads="1"/>
                                </wps:cNvSpPr>
                                <wps:spPr bwMode="auto">
                                  <a:xfrm>
                                    <a:off x="7" y="180"/>
                                    <a:ext cx="4078"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9"/>
                                <wps:cNvSpPr>
                                  <a:spLocks noChangeArrowheads="1"/>
                                </wps:cNvSpPr>
                                <wps:spPr bwMode="auto">
                                  <a:xfrm>
                                    <a:off x="7" y="353"/>
                                    <a:ext cx="4078" cy="52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10"/>
                                <wps:cNvSpPr>
                                  <a:spLocks noChangeArrowheads="1"/>
                                </wps:cNvSpPr>
                                <wps:spPr bwMode="auto">
                                  <a:xfrm>
                                    <a:off x="7" y="872"/>
                                    <a:ext cx="4078"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11"/>
                                <wps:cNvSpPr>
                                  <a:spLocks noChangeArrowheads="1"/>
                                </wps:cNvSpPr>
                                <wps:spPr bwMode="auto">
                                  <a:xfrm>
                                    <a:off x="7" y="1045"/>
                                    <a:ext cx="4078" cy="174"/>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12"/>
                                <wps:cNvSpPr>
                                  <a:spLocks noChangeArrowheads="1"/>
                                </wps:cNvSpPr>
                                <wps:spPr bwMode="auto">
                                  <a:xfrm>
                                    <a:off x="37" y="0"/>
                                    <a:ext cx="925"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Pr="00FE7DAE" w:rsidRDefault="00236E18" w:rsidP="00236E18">
                                      <w:pPr>
                                        <w:rPr>
                                          <w:lang w:val="es-ES_tradnl"/>
                                        </w:rPr>
                                      </w:pPr>
                                      <w:r>
                                        <w:rPr>
                                          <w:rFonts w:ascii="Verdana" w:hAnsi="Verdana" w:cs="Verdana"/>
                                          <w:color w:val="000000"/>
                                          <w:sz w:val="14"/>
                                          <w:szCs w:val="14"/>
                                          <w:lang w:val="es-ES_tradnl"/>
                                        </w:rPr>
                                        <w:t>Tasa de base</w:t>
                                      </w:r>
                                    </w:p>
                                  </w:txbxContent>
                                </wps:txbx>
                                <wps:bodyPr rot="0" vert="horz" wrap="none" lIns="0" tIns="0" rIns="0" bIns="0" anchor="t" anchorCtr="0">
                                  <a:spAutoFit/>
                                </wps:bodyPr>
                              </wps:wsp>
                              <wps:wsp>
                                <wps:cNvPr id="47" name="Rectangle 13"/>
                                <wps:cNvSpPr>
                                  <a:spLocks noChangeArrowheads="1"/>
                                </wps:cNvSpPr>
                                <wps:spPr bwMode="auto">
                                  <a:xfrm>
                                    <a:off x="3648" y="0"/>
                                    <a:ext cx="407"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1,330</w:t>
                                      </w:r>
                                    </w:p>
                                  </w:txbxContent>
                                </wps:txbx>
                                <wps:bodyPr rot="0" vert="horz" wrap="none" lIns="0" tIns="0" rIns="0" bIns="0" anchor="t" anchorCtr="0">
                                  <a:spAutoFit/>
                                </wps:bodyPr>
                              </wps:wsp>
                              <wps:wsp>
                                <wps:cNvPr id="49" name="Rectangle 14"/>
                                <wps:cNvSpPr>
                                  <a:spLocks noChangeArrowheads="1"/>
                                </wps:cNvSpPr>
                                <wps:spPr bwMode="auto">
                                  <a:xfrm>
                                    <a:off x="37" y="173"/>
                                    <a:ext cx="2258"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Tasa por superar las 30 páginas</w:t>
                                      </w:r>
                                    </w:p>
                                  </w:txbxContent>
                                </wps:txbx>
                                <wps:bodyPr rot="0" vert="horz" wrap="none" lIns="0" tIns="0" rIns="0" bIns="0" anchor="t" anchorCtr="0">
                                  <a:spAutoFit/>
                                </wps:bodyPr>
                              </wps:wsp>
                              <wps:wsp>
                                <wps:cNvPr id="51" name="Rectangle 15"/>
                                <wps:cNvSpPr>
                                  <a:spLocks noChangeArrowheads="1"/>
                                </wps:cNvSpPr>
                                <wps:spPr bwMode="auto">
                                  <a:xfrm>
                                    <a:off x="3876" y="173"/>
                                    <a:ext cx="179"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15</w:t>
                                      </w:r>
                                    </w:p>
                                  </w:txbxContent>
                                </wps:txbx>
                                <wps:bodyPr rot="0" vert="horz" wrap="none" lIns="0" tIns="0" rIns="0" bIns="0" anchor="t" anchorCtr="0">
                                  <a:spAutoFit/>
                                </wps:bodyPr>
                              </wps:wsp>
                              <wps:wsp>
                                <wps:cNvPr id="53" name="Rectangle 16"/>
                                <wps:cNvSpPr>
                                  <a:spLocks noChangeArrowheads="1"/>
                                </wps:cNvSpPr>
                                <wps:spPr bwMode="auto">
                                  <a:xfrm>
                                    <a:off x="37" y="346"/>
                                    <a:ext cx="2780"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Descuento por presentación electrónica</w:t>
                                      </w:r>
                                    </w:p>
                                  </w:txbxContent>
                                </wps:txbx>
                                <wps:bodyPr rot="0" vert="horz" wrap="none" lIns="0" tIns="0" rIns="0" bIns="0" anchor="t" anchorCtr="0">
                                  <a:spAutoFit/>
                                </wps:bodyPr>
                              </wps:wsp>
                              <wps:wsp>
                                <wps:cNvPr id="55" name="Rectangle 17"/>
                                <wps:cNvSpPr>
                                  <a:spLocks noChangeArrowheads="1"/>
                                </wps:cNvSpPr>
                                <wps:spPr bwMode="auto">
                                  <a:xfrm>
                                    <a:off x="3224" y="346"/>
                                    <a:ext cx="836"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-100 (</w:t>
                                      </w:r>
                                      <w:proofErr w:type="spellStart"/>
                                      <w:r>
                                        <w:rPr>
                                          <w:rFonts w:ascii="Verdana" w:hAnsi="Verdana" w:cs="Verdana"/>
                                          <w:color w:val="000000"/>
                                          <w:sz w:val="14"/>
                                          <w:szCs w:val="14"/>
                                        </w:rPr>
                                        <w:t>Easy</w:t>
                                      </w:r>
                                      <w:proofErr w:type="spellEnd"/>
                                      <w:r>
                                        <w:rPr>
                                          <w:rFonts w:ascii="Verdana" w:hAnsi="Verdana" w:cs="Verdana"/>
                                          <w:color w:val="000000"/>
                                          <w:sz w:val="14"/>
                                          <w:szCs w:val="14"/>
                                        </w:rPr>
                                        <w:t>)</w:t>
                                      </w:r>
                                    </w:p>
                                  </w:txbxContent>
                                </wps:txbx>
                                <wps:bodyPr rot="0" vert="horz" wrap="none" lIns="0" tIns="0" rIns="0" bIns="0" anchor="t" anchorCtr="0">
                                  <a:spAutoFit/>
                                </wps:bodyPr>
                              </wps:wsp>
                              <wps:wsp>
                                <wps:cNvPr id="59" name="Rectangle 18"/>
                                <wps:cNvSpPr>
                                  <a:spLocks noChangeArrowheads="1"/>
                                </wps:cNvSpPr>
                                <wps:spPr bwMode="auto">
                                  <a:xfrm>
                                    <a:off x="3277" y="519"/>
                                    <a:ext cx="780"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-200 (PDF)</w:t>
                                      </w:r>
                                    </w:p>
                                  </w:txbxContent>
                                </wps:txbx>
                                <wps:bodyPr rot="0" vert="horz" wrap="none" lIns="0" tIns="0" rIns="0" bIns="0" anchor="t" anchorCtr="0">
                                  <a:spAutoFit/>
                                </wps:bodyPr>
                              </wps:wsp>
                              <wps:wsp>
                                <wps:cNvPr id="61" name="Rectangle 19"/>
                                <wps:cNvSpPr>
                                  <a:spLocks noChangeArrowheads="1"/>
                                </wps:cNvSpPr>
                                <wps:spPr bwMode="auto">
                                  <a:xfrm>
                                    <a:off x="3259" y="692"/>
                                    <a:ext cx="799"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-300 (XML)</w:t>
                                      </w:r>
                                    </w:p>
                                  </w:txbxContent>
                                </wps:txbx>
                                <wps:bodyPr rot="0" vert="horz" wrap="none" lIns="0" tIns="0" rIns="0" bIns="0" anchor="t" anchorCtr="0">
                                  <a:spAutoFit/>
                                </wps:bodyPr>
                              </wps:wsp>
                              <wps:wsp>
                                <wps:cNvPr id="62" name="Rectangle 20"/>
                                <wps:cNvSpPr>
                                  <a:spLocks noChangeArrowheads="1"/>
                                </wps:cNvSpPr>
                                <wps:spPr bwMode="auto">
                                  <a:xfrm>
                                    <a:off x="37" y="865"/>
                                    <a:ext cx="2112"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Tasa de transmisión de RO/IB</w:t>
                                      </w:r>
                                    </w:p>
                                  </w:txbxContent>
                                </wps:txbx>
                                <wps:bodyPr rot="0" vert="horz" wrap="none" lIns="0" tIns="0" rIns="0" bIns="0" anchor="t" anchorCtr="0">
                                  <a:spAutoFit/>
                                </wps:bodyPr>
                              </wps:wsp>
                              <wps:wsp>
                                <wps:cNvPr id="962" name="Rectangle 21"/>
                                <wps:cNvSpPr>
                                  <a:spLocks noChangeArrowheads="1"/>
                                </wps:cNvSpPr>
                                <wps:spPr bwMode="auto">
                                  <a:xfrm>
                                    <a:off x="3787" y="865"/>
                                    <a:ext cx="268"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100</w:t>
                                      </w:r>
                                    </w:p>
                                  </w:txbxContent>
                                </wps:txbx>
                                <wps:bodyPr rot="0" vert="horz" wrap="none" lIns="0" tIns="0" rIns="0" bIns="0" anchor="t" anchorCtr="0">
                                  <a:spAutoFit/>
                                </wps:bodyPr>
                              </wps:wsp>
                              <wps:wsp>
                                <wps:cNvPr id="969" name="Rectangle 22"/>
                                <wps:cNvSpPr>
                                  <a:spLocks noChangeArrowheads="1"/>
                                </wps:cNvSpPr>
                                <wps:spPr bwMode="auto">
                                  <a:xfrm>
                                    <a:off x="37" y="1038"/>
                                    <a:ext cx="1395"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Tasa de tramitación</w:t>
                                      </w:r>
                                    </w:p>
                                  </w:txbxContent>
                                </wps:txbx>
                                <wps:bodyPr rot="0" vert="horz" wrap="none" lIns="0" tIns="0" rIns="0" bIns="0" anchor="t" anchorCtr="0">
                                  <a:spAutoFit/>
                                </wps:bodyPr>
                              </wps:wsp>
                              <wps:wsp>
                                <wps:cNvPr id="973" name="Rectangle 23"/>
                                <wps:cNvSpPr>
                                  <a:spLocks noChangeArrowheads="1"/>
                                </wps:cNvSpPr>
                                <wps:spPr bwMode="auto">
                                  <a:xfrm>
                                    <a:off x="3787" y="1038"/>
                                    <a:ext cx="268"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rFonts w:ascii="Verdana" w:hAnsi="Verdana" w:cs="Verdana"/>
                                          <w:color w:val="000000"/>
                                          <w:sz w:val="14"/>
                                          <w:szCs w:val="14"/>
                                        </w:rPr>
                                        <w:t>200</w:t>
                                      </w:r>
                                    </w:p>
                                  </w:txbxContent>
                                </wps:txbx>
                                <wps:bodyPr rot="0" vert="horz" wrap="none" lIns="0" tIns="0" rIns="0" bIns="0" anchor="t" anchorCtr="0">
                                  <a:spAutoFit/>
                                </wps:bodyPr>
                              </wps:wsp>
                            </wpg:wgp>
                          </wpc:wpc>
                        </a:graphicData>
                      </a:graphic>
                    </wp:inline>
                  </w:drawing>
                </mc:Choice>
                <mc:Fallback>
                  <w:pict>
                    <v:group id="Canvas 980" o:spid="_x0000_s1047" editas="canvas" style="width:217.55pt;height:61.25pt;mso-position-horizontal-relative:char;mso-position-vertical-relative:line" coordsize="27628,7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">
                      <v:shape id="_x0000_s1048" type="#_x0000_t75" style="position:absolute;width:27628;height:7778;visibility:visible;mso-wrap-style:square">
                        <v:fill o:detectmouseclick="t"/>
                        <v:path o:connecttype="none"/>
                      </v:shape>
                      <v:rect id="Rectangle 6" o:spid="_x0000_s1049" style="position:absolute;top:12;width:387;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236E18" w:rsidRDefault="00236E18" w:rsidP="00236E18">
                              <w:r>
                                <w:rPr>
                                  <w:rFonts w:ascii="Times New Roman" w:hAnsi="Times New Roman" w:cs="Times New Roman"/>
                                  <w:color w:val="000000"/>
                                  <w:sz w:val="24"/>
                                  <w:szCs w:val="24"/>
                                </w:rPr>
                                <w:t xml:space="preserve"> </w:t>
                              </w:r>
                            </w:p>
                          </w:txbxContent>
                        </v:textbox>
                      </v:rect>
                      <v:group id="Group 24" o:spid="_x0000_s1050" style="position:absolute;left:44;width:25895;height:7740" coordorigin="7" coordsize="4078,1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Rectangle 7" o:spid="_x0000_s1051" style="position:absolute;left:7;top:7;width:4078;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twq74A&#10;AADbAAAADwAAAGRycy9kb3ducmV2LnhtbERPzYrCMBC+C75DGGFvmqqwSDWVIgoiyKK7DzA0Y1Pa&#10;TEoT2/r2m4Pg8eP73+1H24ieOl85VrBcJCCIC6crLhX8/Z7mGxA+IGtsHJOCF3nYZ9PJDlPtBr5R&#10;fw+liCHsU1RgQmhTKX1hyKJfuJY4cg/XWQwRdqXUHQ4x3DZylSTf0mLFscFgSwdDRX1/WgXWXH+O&#10;1XBpbZ4/uX8MicdrrdTXbMy3IAKN4SN+u89awTquj1/iD5DZ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FLcKu+AAAA2wAAAA8AAAAAAAAAAAAAAAAAmAIAAGRycy9kb3ducmV2&#10;LnhtbFBLBQYAAAAABAAEAPUAAACDAwAAAAA=&#10;" fillcolor="#9cf" stroked="f"/>
                        <v:rect id="Rectangle 8" o:spid="_x0000_s1052" style="position:absolute;left:7;top:180;width:4078;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BRcUA&#10;AADbAAAADwAAAGRycy9kb3ducmV2LnhtbESPzWrDMBCE74W8g9hAbo3UODWNE8WUgCHQ9pAf6HWx&#10;NraptXItOXHfvioUchxm5htmk4+2FVfqfeNYw9NcgSAunWm40nA+FY8vIHxANtg6Jg0/5CHfTh42&#10;mBl34wNdj6ESEcI+Qw11CF0mpS9rsujnriOO3sX1FkOUfSVNj7cIt61cKJVKiw3HhRo72tVUfh0H&#10;qwHTpfn+uCTvp7chxVU1quL5U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sFFxQAAANsAAAAPAAAAAAAAAAAAAAAAAJgCAABkcnMv&#10;ZG93bnJldi54bWxQSwUGAAAAAAQABAD1AAAAigMAAAAA&#10;" stroked="f"/>
                        <v:rect id="Rectangle 9" o:spid="_x0000_s1053" style="position:absolute;left:7;top:353;width:4078;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5NRMIA&#10;AADbAAAADwAAAGRycy9kb3ducmV2LnhtbESP0WqDQBRE3wP5h+UW+pasbUCKzSpSUiiBUGryARf3&#10;6oruXXE3av++Wyj0cZiZM8yxWO0gZpp851jB0z4BQVw73XGr4HZ9372A8AFZ4+CYFHyThyLfbo6Y&#10;abfwF81VaEWEsM9QgQlhzKT0tSGLfu9G4ug1brIYopxaqSdcItwO8jlJUmmx47hgcKQ3Q3Vf3a0C&#10;ay6fp245j7Ys7zw3S+Lx0iv1+LCWryACreE//Nf+0AoOKfx+iT9A5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7k1EwgAAANsAAAAPAAAAAAAAAAAAAAAAAJgCAABkcnMvZG93&#10;bnJldi54bWxQSwUGAAAAAAQABAD1AAAAhwMAAAAA&#10;" fillcolor="#9cf" stroked="f"/>
                        <v:rect id="Rectangle 10" o:spid="_x0000_s1054" style="position:absolute;left:7;top:872;width:4078;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du28MA&#10;AADbAAAADwAAAGRycy9kb3ducmV2LnhtbESPT4vCMBTE7wt+h/AEb2ui7hatRhFBEHb34B/w+mie&#10;bbF5qU3U+u03guBxmJnfMLNFaytxo8aXjjUM+goEceZMybmGw379OQbhA7LByjFpeJCHxbzzMcPU&#10;uDtv6bYLuYgQ9ilqKEKoUyl9VpBF33c1cfROrrEYomxyaRq8R7it5FCpRFosOS4UWNOqoOy8u1oN&#10;mHyZy99p9Lv/uSY4yVu1/j4qrXvddjkFEagN7/CrvTEaRh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du28MAAADbAAAADwAAAAAAAAAAAAAAAACYAgAAZHJzL2Rv&#10;d25yZXYueG1sUEsFBgAAAAAEAAQA9QAAAIgDAAAAAA==&#10;" stroked="f"/>
                        <v:rect id="Rectangle 11" o:spid="_x0000_s1055" style="position:absolute;left:7;top:1045;width:4078;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0D1r4A&#10;AADbAAAADwAAAGRycy9kb3ducmV2LnhtbERPzYrCMBC+C75DGGFvmiqySDWVIgoiyKK7DzA0Y1Pa&#10;TEoT2/r2m4Pg8eP73+1H24ieOl85VrBcJCCIC6crLhX8/Z7mGxA+IGtsHJOCF3nYZ9PJDlPtBr5R&#10;fw+liCHsU1RgQmhTKX1hyKJfuJY4cg/XWQwRdqXUHQ4x3DZylSTf0mLFscFgSwdDRX1/WgXWXH+O&#10;1XBpbZ4/uX8MicdrrdTXbMy3IAKN4SN+u89awTquj1/iD5DZ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lNA9a+AAAA2wAAAA8AAAAAAAAAAAAAAAAAmAIAAGRycy9kb3ducmV2&#10;LnhtbFBLBQYAAAAABAAEAPUAAACDAwAAAAA=&#10;" fillcolor="#9cf" stroked="f"/>
                        <v:rect id="Rectangle 12" o:spid="_x0000_s1056" style="position:absolute;left:37;width:925;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236E18" w:rsidRPr="00FE7DAE" w:rsidRDefault="00236E18" w:rsidP="00236E18">
                                <w:pPr>
                                  <w:rPr>
                                    <w:lang w:val="es-ES_tradnl"/>
                                  </w:rPr>
                                </w:pPr>
                                <w:r>
                                  <w:rPr>
                                    <w:rFonts w:ascii="Verdana" w:hAnsi="Verdana" w:cs="Verdana"/>
                                    <w:color w:val="000000"/>
                                    <w:sz w:val="14"/>
                                    <w:szCs w:val="14"/>
                                    <w:lang w:val="es-ES_tradnl"/>
                                  </w:rPr>
                                  <w:t>Tasa de base</w:t>
                                </w:r>
                              </w:p>
                            </w:txbxContent>
                          </v:textbox>
                        </v:rect>
                        <v:rect id="Rectangle 13" o:spid="_x0000_s1057" style="position:absolute;left:3648;width:407;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236E18" w:rsidRDefault="00236E18" w:rsidP="00236E18">
                                <w:r>
                                  <w:rPr>
                                    <w:rFonts w:ascii="Verdana" w:hAnsi="Verdana" w:cs="Verdana"/>
                                    <w:color w:val="000000"/>
                                    <w:sz w:val="14"/>
                                    <w:szCs w:val="14"/>
                                  </w:rPr>
                                  <w:t>1,330</w:t>
                                </w:r>
                              </w:p>
                            </w:txbxContent>
                          </v:textbox>
                        </v:rect>
                        <v:rect id="Rectangle 14" o:spid="_x0000_s1058" style="position:absolute;left:37;top:173;width:2258;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236E18" w:rsidRDefault="00236E18" w:rsidP="00236E18">
                                <w:r>
                                  <w:rPr>
                                    <w:rFonts w:ascii="Verdana" w:hAnsi="Verdana" w:cs="Verdana"/>
                                    <w:color w:val="000000"/>
                                    <w:sz w:val="14"/>
                                    <w:szCs w:val="14"/>
                                  </w:rPr>
                                  <w:t>Tasa por superar las 30 páginas</w:t>
                                </w:r>
                              </w:p>
                            </w:txbxContent>
                          </v:textbox>
                        </v:rect>
                        <v:rect id="Rectangle 15" o:spid="_x0000_s1059" style="position:absolute;left:3876;top:173;width:179;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236E18" w:rsidRDefault="00236E18" w:rsidP="00236E18">
                                <w:r>
                                  <w:rPr>
                                    <w:rFonts w:ascii="Verdana" w:hAnsi="Verdana" w:cs="Verdana"/>
                                    <w:color w:val="000000"/>
                                    <w:sz w:val="14"/>
                                    <w:szCs w:val="14"/>
                                  </w:rPr>
                                  <w:t>15</w:t>
                                </w:r>
                              </w:p>
                            </w:txbxContent>
                          </v:textbox>
                        </v:rect>
                        <v:rect id="Rectangle 16" o:spid="_x0000_s1060" style="position:absolute;left:37;top:346;width:2780;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236E18" w:rsidRDefault="00236E18" w:rsidP="00236E18">
                                <w:r>
                                  <w:rPr>
                                    <w:rFonts w:ascii="Verdana" w:hAnsi="Verdana" w:cs="Verdana"/>
                                    <w:color w:val="000000"/>
                                    <w:sz w:val="14"/>
                                    <w:szCs w:val="14"/>
                                  </w:rPr>
                                  <w:t>Descuento por presentación electrónica</w:t>
                                </w:r>
                              </w:p>
                            </w:txbxContent>
                          </v:textbox>
                        </v:rect>
                        <v:rect id="Rectangle 17" o:spid="_x0000_s1061" style="position:absolute;left:3224;top:346;width:836;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236E18" w:rsidRDefault="00236E18" w:rsidP="00236E18">
                                <w:r>
                                  <w:rPr>
                                    <w:rFonts w:ascii="Verdana" w:hAnsi="Verdana" w:cs="Verdana"/>
                                    <w:color w:val="000000"/>
                                    <w:sz w:val="14"/>
                                    <w:szCs w:val="14"/>
                                  </w:rPr>
                                  <w:t>-100 (</w:t>
                                </w:r>
                                <w:proofErr w:type="spellStart"/>
                                <w:r>
                                  <w:rPr>
                                    <w:rFonts w:ascii="Verdana" w:hAnsi="Verdana" w:cs="Verdana"/>
                                    <w:color w:val="000000"/>
                                    <w:sz w:val="14"/>
                                    <w:szCs w:val="14"/>
                                  </w:rPr>
                                  <w:t>Easy</w:t>
                                </w:r>
                                <w:proofErr w:type="spellEnd"/>
                                <w:r>
                                  <w:rPr>
                                    <w:rFonts w:ascii="Verdana" w:hAnsi="Verdana" w:cs="Verdana"/>
                                    <w:color w:val="000000"/>
                                    <w:sz w:val="14"/>
                                    <w:szCs w:val="14"/>
                                  </w:rPr>
                                  <w:t>)</w:t>
                                </w:r>
                              </w:p>
                            </w:txbxContent>
                          </v:textbox>
                        </v:rect>
                        <v:rect id="Rectangle 18" o:spid="_x0000_s1062" style="position:absolute;left:3277;top:519;width:780;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236E18" w:rsidRDefault="00236E18" w:rsidP="00236E18">
                                <w:r>
                                  <w:rPr>
                                    <w:rFonts w:ascii="Verdana" w:hAnsi="Verdana" w:cs="Verdana"/>
                                    <w:color w:val="000000"/>
                                    <w:sz w:val="14"/>
                                    <w:szCs w:val="14"/>
                                  </w:rPr>
                                  <w:t>-200 (PDF)</w:t>
                                </w:r>
                              </w:p>
                            </w:txbxContent>
                          </v:textbox>
                        </v:rect>
                        <v:rect id="Rectangle 19" o:spid="_x0000_s1063" style="position:absolute;left:3259;top:692;width:799;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236E18" w:rsidRDefault="00236E18" w:rsidP="00236E18">
                                <w:r>
                                  <w:rPr>
                                    <w:rFonts w:ascii="Verdana" w:hAnsi="Verdana" w:cs="Verdana"/>
                                    <w:color w:val="000000"/>
                                    <w:sz w:val="14"/>
                                    <w:szCs w:val="14"/>
                                  </w:rPr>
                                  <w:t>-300 (XML)</w:t>
                                </w:r>
                              </w:p>
                            </w:txbxContent>
                          </v:textbox>
                        </v:rect>
                        <v:rect id="Rectangle 20" o:spid="_x0000_s1064" style="position:absolute;left:37;top:865;width:2112;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236E18" w:rsidRDefault="00236E18" w:rsidP="00236E18">
                                <w:r>
                                  <w:rPr>
                                    <w:rFonts w:ascii="Verdana" w:hAnsi="Verdana" w:cs="Verdana"/>
                                    <w:color w:val="000000"/>
                                    <w:sz w:val="14"/>
                                    <w:szCs w:val="14"/>
                                  </w:rPr>
                                  <w:t>Tasa de transmisión de RO/IB</w:t>
                                </w:r>
                              </w:p>
                            </w:txbxContent>
                          </v:textbox>
                        </v:rect>
                        <v:rect id="Rectangle 21" o:spid="_x0000_s1065" style="position:absolute;left:3787;top:865;width:268;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4kcIA&#10;AADcAAAADwAAAGRycy9kb3ducmV2LnhtbESPzYoCMRCE7wv7DqGFva0Z5yDuaBQRBBUvjj5AM+n5&#10;waQzJFlnfHuzIOyxqKqvqNVmtEY8yIfOsYLZNANBXDndcaPgdt1/L0CEiKzROCYFTwqwWX9+rLDQ&#10;buALPcrYiAThUKCCNsa+kDJULVkMU9cTJ6923mJM0jdSexwS3BqZZ9lcWuw4LbTY066l6l7+WgXy&#10;Wu6HRWl85k55fTbHw6Ump9TXZNwuQUQa43/43T5oBT/z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RDiRwgAAANwAAAAPAAAAAAAAAAAAAAAAAJgCAABkcnMvZG93&#10;bnJldi54bWxQSwUGAAAAAAQABAD1AAAAhwMAAAAA&#10;" filled="f" stroked="f">
                          <v:textbox style="mso-fit-shape-to-text:t" inset="0,0,0,0">
                            <w:txbxContent>
                              <w:p w:rsidR="00236E18" w:rsidRDefault="00236E18" w:rsidP="00236E18">
                                <w:r>
                                  <w:rPr>
                                    <w:rFonts w:ascii="Verdana" w:hAnsi="Verdana" w:cs="Verdana"/>
                                    <w:color w:val="000000"/>
                                    <w:sz w:val="14"/>
                                    <w:szCs w:val="14"/>
                                  </w:rPr>
                                  <w:t>100</w:t>
                                </w:r>
                              </w:p>
                            </w:txbxContent>
                          </v:textbox>
                        </v:rect>
                        <v:rect id="Rectangle 22" o:spid="_x0000_s1066" style="position:absolute;left:37;top:1038;width:1395;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Cq4MEA&#10;AADcAAAADwAAAGRycy9kb3ducmV2LnhtbESPzYoCMRCE7wu+Q2jB25rRg+isUUQQVLw47gM0k54f&#10;TDpDEp3x7Y2wsMeiqr6i1tvBGvEkH1rHCmbTDARx6XTLtYLf2+F7CSJEZI3GMSl4UYDtZvS1xly7&#10;nq/0LGItEoRDjgqaGLtcylA2ZDFMXUecvMp5izFJX0vtsU9wa+Q8yxbSYstpocGO9g2V9+JhFchb&#10;ceiXhfGZO8+rizkdrxU5pSbjYfcDItIQ/8N/7aNWsFqs4HMmHQG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gquDBAAAA3AAAAA8AAAAAAAAAAAAAAAAAmAIAAGRycy9kb3du&#10;cmV2LnhtbFBLBQYAAAAABAAEAPUAAACGAwAAAAA=&#10;" filled="f" stroked="f">
                          <v:textbox style="mso-fit-shape-to-text:t" inset="0,0,0,0">
                            <w:txbxContent>
                              <w:p w:rsidR="00236E18" w:rsidRDefault="00236E18" w:rsidP="00236E18">
                                <w:r>
                                  <w:rPr>
                                    <w:rFonts w:ascii="Verdana" w:hAnsi="Verdana" w:cs="Verdana"/>
                                    <w:color w:val="000000"/>
                                    <w:sz w:val="14"/>
                                    <w:szCs w:val="14"/>
                                  </w:rPr>
                                  <w:t>Tasa de tramitación</w:t>
                                </w:r>
                              </w:p>
                            </w:txbxContent>
                          </v:textbox>
                        </v:rect>
                        <v:rect id="Rectangle 23" o:spid="_x0000_s1067" style="position:absolute;left:3787;top:1038;width:268;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EL18IA&#10;AADcAAAADwAAAGRycy9kb3ducmV2LnhtbESP3WoCMRSE7wu+QziCdzWrQtXVKFIQbPHG1Qc4bM7+&#10;YHKyJKm7ffumIHg5zMw3zHY/WCMe5EPrWMFsmoEgLp1uuVZwux7fVyBCRNZoHJOCXwqw343etphr&#10;1/OFHkWsRYJwyFFBE2OXSxnKhiyGqeuIk1c5bzEm6WupPfYJbo2cZ9mHtNhyWmiwo8+GynvxYxXI&#10;a3HsV4XxmfueV2fzdbpU5JSajIfDBkSkIb7Cz/ZJK1gv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0QvXwgAAANwAAAAPAAAAAAAAAAAAAAAAAJgCAABkcnMvZG93&#10;bnJldi54bWxQSwUGAAAAAAQABAD1AAAAhwMAAAAA&#10;" filled="f" stroked="f">
                          <v:textbox style="mso-fit-shape-to-text:t" inset="0,0,0,0">
                            <w:txbxContent>
                              <w:p w:rsidR="00236E18" w:rsidRDefault="00236E18" w:rsidP="00236E18">
                                <w:r>
                                  <w:rPr>
                                    <w:rFonts w:ascii="Verdana" w:hAnsi="Verdana" w:cs="Verdana"/>
                                    <w:color w:val="000000"/>
                                    <w:sz w:val="14"/>
                                    <w:szCs w:val="14"/>
                                  </w:rPr>
                                  <w:t>200</w:t>
                                </w:r>
                              </w:p>
                            </w:txbxContent>
                          </v:textbox>
                        </v:rect>
                      </v:group>
                      <w10:anchorlock/>
                    </v:group>
                  </w:pict>
                </mc:Fallback>
              </mc:AlternateContent>
            </w:r>
          </w:p>
        </w:tc>
      </w:tr>
    </w:tbl>
    <w:p w:rsidR="00236E18" w:rsidRPr="007C6477" w:rsidRDefault="00236E18" w:rsidP="00236E18">
      <w:pPr>
        <w:widowControl w:val="0"/>
        <w:rPr>
          <w:sz w:val="20"/>
        </w:rPr>
      </w:pPr>
    </w:p>
    <w:p w:rsidR="00236E18" w:rsidRPr="00B55A86" w:rsidRDefault="00236E18" w:rsidP="00236E18">
      <w:pPr>
        <w:widowControl w:val="0"/>
        <w:jc w:val="both"/>
        <w:rPr>
          <w:b/>
          <w:sz w:val="20"/>
        </w:rPr>
      </w:pPr>
    </w:p>
    <w:p w:rsidR="00236E18" w:rsidRPr="00B55A86" w:rsidRDefault="00236E18" w:rsidP="00236E18">
      <w:pPr>
        <w:widowControl w:val="0"/>
        <w:jc w:val="both"/>
        <w:rPr>
          <w:b/>
          <w:sz w:val="20"/>
        </w:rPr>
      </w:pPr>
      <w:r w:rsidRPr="00B55A86">
        <w:rPr>
          <w:b/>
          <w:sz w:val="20"/>
        </w:rPr>
        <w:t>Madrid</w:t>
      </w:r>
    </w:p>
    <w:p w:rsidR="00236E18" w:rsidRPr="00B55A86" w:rsidRDefault="00236E18" w:rsidP="00236E18">
      <w:pPr>
        <w:widowControl w:val="0"/>
        <w:rPr>
          <w:b/>
          <w:sz w:val="20"/>
        </w:rPr>
      </w:pPr>
    </w:p>
    <w:p w:rsidR="00236E18" w:rsidRPr="007C6477" w:rsidRDefault="00236E18" w:rsidP="00236E18">
      <w:pPr>
        <w:widowControl w:val="0"/>
        <w:rPr>
          <w:i/>
          <w:sz w:val="20"/>
        </w:rPr>
      </w:pPr>
      <w:r w:rsidRPr="007C6477">
        <w:rPr>
          <w:i/>
          <w:sz w:val="20"/>
        </w:rPr>
        <w:t>Sistema de Madrid – Previsión de la demanda de registros internacionales</w:t>
      </w:r>
    </w:p>
    <w:p w:rsidR="00236E18" w:rsidRPr="007C6477" w:rsidRDefault="00236E18" w:rsidP="00236E18">
      <w:pPr>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 xml:space="preserve">En el gráfico 6 se indica la previsión para el período comprendido entre  2015 y 2017.  Para realizar una previsión del número de registros en el marco del Sistema de Madrid se utilizan diferentes modelos, entre ellos los modelos </w:t>
      </w:r>
      <w:proofErr w:type="spellStart"/>
      <w:r w:rsidRPr="007C6477">
        <w:rPr>
          <w:sz w:val="20"/>
        </w:rPr>
        <w:t>autorregresivos</w:t>
      </w:r>
      <w:proofErr w:type="spellEnd"/>
      <w:r w:rsidRPr="007C6477">
        <w:rPr>
          <w:sz w:val="20"/>
        </w:rPr>
        <w:t xml:space="preserve">, modelos econométricos y modelos de transferencia.  Los modelos </w:t>
      </w:r>
      <w:proofErr w:type="spellStart"/>
      <w:r w:rsidRPr="007C6477">
        <w:rPr>
          <w:sz w:val="20"/>
        </w:rPr>
        <w:t>autorregresivos</w:t>
      </w:r>
      <w:proofErr w:type="spellEnd"/>
      <w:r w:rsidRPr="007C6477">
        <w:rPr>
          <w:sz w:val="20"/>
        </w:rPr>
        <w:t xml:space="preserve"> se aplican tanto a los registros como a las solicitudes de registro.  Luego se aplica la variable de la media de tiempo de tramitación a los resultados correspondientes a las solicitudes y se obtiene una previsión de los registros.  Los modelos econométricos se basan en los datos sobre el PIB real y previsto publicados por el Fondo Monetario Internacional (FMI).  Luego se combinan los resultados obtenidos mediante cada uno de los modelos, para minimizar la incertidumbre que resulta de la aplicación de cada uno de ellos por separado.</w:t>
      </w:r>
    </w:p>
    <w:p w:rsidR="00236E18" w:rsidRPr="007C6477" w:rsidRDefault="00236E18" w:rsidP="00236E18">
      <w:pPr>
        <w:widowControl w:val="0"/>
        <w:rPr>
          <w:sz w:val="20"/>
        </w:rPr>
      </w:pPr>
    </w:p>
    <w:p w:rsidR="00236E18" w:rsidRPr="005D7081" w:rsidRDefault="00236E18" w:rsidP="00236E18">
      <w:pPr>
        <w:keepNext/>
        <w:widowControl w:val="0"/>
        <w:jc w:val="center"/>
        <w:rPr>
          <w:sz w:val="20"/>
        </w:rPr>
      </w:pPr>
      <w:r w:rsidRPr="005D7081">
        <w:rPr>
          <w:sz w:val="20"/>
        </w:rPr>
        <w:lastRenderedPageBreak/>
        <w:t xml:space="preserve">Gráfico 6.  </w:t>
      </w:r>
      <w:r>
        <w:rPr>
          <w:sz w:val="20"/>
        </w:rPr>
        <w:t>Demanda de</w:t>
      </w:r>
      <w:r w:rsidRPr="005D7081">
        <w:rPr>
          <w:sz w:val="20"/>
        </w:rPr>
        <w:t xml:space="preserve"> registro</w:t>
      </w:r>
      <w:r>
        <w:rPr>
          <w:sz w:val="20"/>
        </w:rPr>
        <w:t>s</w:t>
      </w:r>
      <w:r w:rsidRPr="005D7081">
        <w:rPr>
          <w:sz w:val="20"/>
        </w:rPr>
        <w:t xml:space="preserve"> internacional</w:t>
      </w:r>
      <w:r>
        <w:rPr>
          <w:sz w:val="20"/>
        </w:rPr>
        <w:t>es</w:t>
      </w:r>
      <w:r w:rsidRPr="005D7081">
        <w:rPr>
          <w:sz w:val="20"/>
        </w:rPr>
        <w:t xml:space="preserve"> en virtud del Sistema de Madrid</w:t>
      </w:r>
    </w:p>
    <w:p w:rsidR="00236E18" w:rsidRPr="007C6477" w:rsidRDefault="00236E18" w:rsidP="00236E18">
      <w:pPr>
        <w:keepNext/>
        <w:widowControl w:val="0"/>
        <w:rPr>
          <w:sz w:val="20"/>
        </w:rPr>
      </w:pPr>
      <w:r w:rsidRPr="00B37E9B">
        <w:rPr>
          <w:noProof/>
          <w:lang w:val="en-US" w:eastAsia="en-US"/>
        </w:rPr>
        <w:drawing>
          <wp:inline distT="0" distB="0" distL="0" distR="0" wp14:anchorId="3D24E5E1" wp14:editId="4B93C713">
            <wp:extent cx="5493385" cy="31115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493385" cy="3111500"/>
                    </a:xfrm>
                    <a:prstGeom prst="rect">
                      <a:avLst/>
                    </a:prstGeom>
                    <a:noFill/>
                    <a:ln>
                      <a:noFill/>
                    </a:ln>
                  </pic:spPr>
                </pic:pic>
              </a:graphicData>
            </a:graphic>
          </wp:inline>
        </w:drawing>
      </w:r>
    </w:p>
    <w:p w:rsidR="00236E18" w:rsidRPr="007C6477" w:rsidRDefault="00236E18" w:rsidP="00236E18">
      <w:pPr>
        <w:widowControl w:val="0"/>
        <w:jc w:val="center"/>
        <w:rPr>
          <w:sz w:val="20"/>
        </w:rPr>
      </w:pPr>
      <w:r w:rsidRPr="007C6477">
        <w:rPr>
          <w:noProof/>
          <w:lang w:val="en-US" w:eastAsia="en-US"/>
        </w:rPr>
        <w:drawing>
          <wp:inline distT="0" distB="0" distL="0" distR="0" wp14:anchorId="2C6C6885" wp14:editId="55F274BB">
            <wp:extent cx="4408098" cy="701191"/>
            <wp:effectExtent l="0" t="0" r="0" b="381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408203" cy="701208"/>
                    </a:xfrm>
                    <a:prstGeom prst="rect">
                      <a:avLst/>
                    </a:prstGeom>
                    <a:noFill/>
                    <a:ln>
                      <a:noFill/>
                    </a:ln>
                  </pic:spPr>
                </pic:pic>
              </a:graphicData>
            </a:graphic>
          </wp:inline>
        </w:drawing>
      </w:r>
    </w:p>
    <w:p w:rsidR="00236E18" w:rsidRPr="007C6477" w:rsidRDefault="00236E18" w:rsidP="00236E18">
      <w:pPr>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 xml:space="preserve">Se combinaron las cifras antes mencionadas con los resultados obtenidos mediante los modelos </w:t>
      </w:r>
      <w:proofErr w:type="spellStart"/>
      <w:r w:rsidRPr="007C6477">
        <w:rPr>
          <w:sz w:val="20"/>
        </w:rPr>
        <w:t>autorregresivos</w:t>
      </w:r>
      <w:proofErr w:type="spellEnd"/>
      <w:r w:rsidRPr="007C6477">
        <w:rPr>
          <w:sz w:val="20"/>
        </w:rPr>
        <w:t>.  Es probable que el número de registros se ubique dentro de esos límites, que están asociados a un valor de probabilidad.  En el gráfico y el cuadro que figuran a continuación se suministra la distribución probabilística de las solicitudes.</w:t>
      </w:r>
    </w:p>
    <w:p w:rsidR="00236E18" w:rsidRPr="007C6477" w:rsidRDefault="00236E18" w:rsidP="00236E18">
      <w:pPr>
        <w:widowControl w:val="0"/>
        <w:rPr>
          <w:sz w:val="20"/>
        </w:rPr>
      </w:pPr>
    </w:p>
    <w:p w:rsidR="00236E18" w:rsidRPr="007C6477" w:rsidRDefault="00236E18" w:rsidP="00236E18">
      <w:pPr>
        <w:keepNext/>
        <w:widowControl w:val="0"/>
        <w:jc w:val="center"/>
        <w:rPr>
          <w:sz w:val="18"/>
          <w:szCs w:val="18"/>
        </w:rPr>
      </w:pPr>
      <w:r w:rsidRPr="007C6477">
        <w:rPr>
          <w:sz w:val="18"/>
          <w:szCs w:val="18"/>
        </w:rPr>
        <w:t>Distribución probabilística de las solicitudes</w:t>
      </w:r>
    </w:p>
    <w:p w:rsidR="00236E18" w:rsidRPr="007C6477" w:rsidRDefault="00236E18" w:rsidP="00236E18">
      <w:pPr>
        <w:widowControl w:val="0"/>
        <w:jc w:val="center"/>
        <w:rPr>
          <w:sz w:val="20"/>
        </w:rPr>
      </w:pPr>
      <w:r w:rsidRPr="007C6477">
        <w:rPr>
          <w:noProof/>
          <w:lang w:val="en-US" w:eastAsia="en-US"/>
        </w:rPr>
        <w:drawing>
          <wp:inline distT="0" distB="0" distL="0" distR="0" wp14:anchorId="72C3C37D" wp14:editId="5B2F88B8">
            <wp:extent cx="4490633" cy="2536166"/>
            <wp:effectExtent l="0" t="0" r="571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4490873" cy="2536302"/>
                    </a:xfrm>
                    <a:prstGeom prst="rect">
                      <a:avLst/>
                    </a:prstGeom>
                    <a:noFill/>
                    <a:ln>
                      <a:noFill/>
                    </a:ln>
                  </pic:spPr>
                </pic:pic>
              </a:graphicData>
            </a:graphic>
          </wp:inline>
        </w:drawing>
      </w:r>
    </w:p>
    <w:p w:rsidR="00236E18" w:rsidRPr="007C6477" w:rsidRDefault="00236E18" w:rsidP="00236E18">
      <w:pPr>
        <w:widowControl w:val="0"/>
        <w:rPr>
          <w:sz w:val="20"/>
        </w:rPr>
      </w:pPr>
    </w:p>
    <w:p w:rsidR="00236E18" w:rsidRPr="007C6477" w:rsidRDefault="00236E18" w:rsidP="00236E18">
      <w:pPr>
        <w:keepNext/>
        <w:widowControl w:val="0"/>
        <w:jc w:val="center"/>
        <w:rPr>
          <w:sz w:val="18"/>
          <w:szCs w:val="18"/>
        </w:rPr>
      </w:pPr>
      <w:r w:rsidRPr="007C6477">
        <w:rPr>
          <w:sz w:val="18"/>
          <w:szCs w:val="18"/>
        </w:rPr>
        <w:lastRenderedPageBreak/>
        <w:t>Proyecciones correspondientes a las solicitudes en virtud del Sistema de Madrid</w:t>
      </w:r>
    </w:p>
    <w:p w:rsidR="00236E18" w:rsidRPr="007C6477" w:rsidRDefault="00236E18" w:rsidP="00236E18">
      <w:pPr>
        <w:keepNext/>
        <w:widowControl w:val="0"/>
        <w:rPr>
          <w:sz w:val="20"/>
        </w:rPr>
      </w:pPr>
    </w:p>
    <w:p w:rsidR="00236E18" w:rsidRPr="007C6477" w:rsidRDefault="00236E18" w:rsidP="00236E18">
      <w:pPr>
        <w:keepNext/>
        <w:widowControl w:val="0"/>
        <w:jc w:val="center"/>
      </w:pPr>
      <w:r w:rsidRPr="007C6477">
        <w:rPr>
          <w:noProof/>
          <w:lang w:val="en-US" w:eastAsia="en-US"/>
        </w:rPr>
        <w:drawing>
          <wp:inline distT="0" distB="0" distL="0" distR="0" wp14:anchorId="6DAE5412" wp14:editId="53DC1818">
            <wp:extent cx="3027286" cy="3010619"/>
            <wp:effectExtent l="0" t="0" r="190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027298" cy="3010631"/>
                    </a:xfrm>
                    <a:prstGeom prst="rect">
                      <a:avLst/>
                    </a:prstGeom>
                    <a:noFill/>
                    <a:ln>
                      <a:noFill/>
                    </a:ln>
                  </pic:spPr>
                </pic:pic>
              </a:graphicData>
            </a:graphic>
          </wp:inline>
        </w:drawing>
      </w:r>
    </w:p>
    <w:p w:rsidR="00236E18" w:rsidRPr="007C6477" w:rsidRDefault="00236E18" w:rsidP="00236E18">
      <w:pPr>
        <w:widowControl w:val="0"/>
      </w:pPr>
    </w:p>
    <w:p w:rsidR="00236E18" w:rsidRPr="007C6477" w:rsidRDefault="00236E18" w:rsidP="00236E18">
      <w:pPr>
        <w:widowControl w:val="0"/>
      </w:pPr>
    </w:p>
    <w:p w:rsidR="00236E18" w:rsidRPr="007C6477" w:rsidRDefault="00236E18" w:rsidP="00236E18">
      <w:pPr>
        <w:widowControl w:val="0"/>
        <w:rPr>
          <w:i/>
          <w:sz w:val="20"/>
        </w:rPr>
      </w:pPr>
      <w:r w:rsidRPr="007C6477">
        <w:rPr>
          <w:i/>
          <w:sz w:val="20"/>
        </w:rPr>
        <w:t>Sistema de Madrid – Previsión de la demanda de renovaciones</w:t>
      </w:r>
    </w:p>
    <w:p w:rsidR="00236E18" w:rsidRPr="007C6477" w:rsidRDefault="00236E18" w:rsidP="00236E18">
      <w:pPr>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 xml:space="preserve">En el gráfico 7 se indica la previsión para el período comprendido entre 2015 y 2017.  La previsión de las renovaciones se calcula de modo similar, aplicando los modelos regresivos y el modelo de transferencia.  Además de los modelos </w:t>
      </w:r>
      <w:proofErr w:type="spellStart"/>
      <w:r w:rsidRPr="007C6477">
        <w:rPr>
          <w:sz w:val="20"/>
        </w:rPr>
        <w:t>autorregresivos</w:t>
      </w:r>
      <w:proofErr w:type="spellEnd"/>
      <w:r w:rsidRPr="007C6477">
        <w:rPr>
          <w:sz w:val="20"/>
        </w:rPr>
        <w:t xml:space="preserve"> que aplicamos a las series temporales sobre renovaciones, también utilizamos un modelo regresivo para las renovaciones y los registros.  El modelo regresivo parte del supuesto que la primera renovación está vinculada a un registro con un período de protección diez años, mientras que las renovaciones subsiguientes están vinculadas a renovaciones anteriores con períodos de protección de diez años.  El modelo de transferencia toma el conjunto de registros que serán potencialmente objeto de renovación y aplica un porcentaje calculado en base a los años anteriores.  Luego se combinan los resultados obtenidos mediante los diferentes modelos.</w:t>
      </w:r>
    </w:p>
    <w:p w:rsidR="00236E18" w:rsidRPr="007C6477" w:rsidRDefault="00236E18" w:rsidP="00236E18">
      <w:pPr>
        <w:widowControl w:val="0"/>
      </w:pPr>
    </w:p>
    <w:p w:rsidR="00236E18" w:rsidRPr="005D7081" w:rsidRDefault="00236E18" w:rsidP="00236E18">
      <w:pPr>
        <w:keepNext/>
        <w:widowControl w:val="0"/>
        <w:jc w:val="center"/>
        <w:rPr>
          <w:sz w:val="20"/>
        </w:rPr>
      </w:pPr>
      <w:r w:rsidRPr="005D7081">
        <w:rPr>
          <w:sz w:val="20"/>
        </w:rPr>
        <w:t>Gráfico 7.  Previsión de la demanda de renovaciones en virtud del Sistema de Madrid</w:t>
      </w:r>
    </w:p>
    <w:p w:rsidR="00236E18" w:rsidRPr="007C6477" w:rsidRDefault="00236E18" w:rsidP="00236E18">
      <w:pPr>
        <w:widowControl w:val="0"/>
        <w:rPr>
          <w:sz w:val="20"/>
        </w:rPr>
      </w:pPr>
      <w:r w:rsidRPr="00B37E9B">
        <w:rPr>
          <w:noProof/>
          <w:lang w:val="en-US" w:eastAsia="en-US"/>
        </w:rPr>
        <w:drawing>
          <wp:inline distT="0" distB="0" distL="0" distR="0" wp14:anchorId="4FCB384E" wp14:editId="423BE65F">
            <wp:extent cx="5760085" cy="3064540"/>
            <wp:effectExtent l="0" t="0" r="0" b="2540"/>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760085" cy="3064540"/>
                    </a:xfrm>
                    <a:prstGeom prst="rect">
                      <a:avLst/>
                    </a:prstGeom>
                    <a:noFill/>
                    <a:ln>
                      <a:noFill/>
                    </a:ln>
                  </pic:spPr>
                </pic:pic>
              </a:graphicData>
            </a:graphic>
          </wp:inline>
        </w:drawing>
      </w:r>
    </w:p>
    <w:p w:rsidR="00236E18" w:rsidRPr="007C6477" w:rsidRDefault="00236E18" w:rsidP="00236E18">
      <w:pPr>
        <w:widowControl w:val="0"/>
        <w:jc w:val="center"/>
        <w:rPr>
          <w:sz w:val="20"/>
        </w:rPr>
      </w:pPr>
      <w:r w:rsidRPr="007C6477">
        <w:rPr>
          <w:noProof/>
          <w:lang w:val="en-US" w:eastAsia="en-US"/>
        </w:rPr>
        <w:lastRenderedPageBreak/>
        <w:drawing>
          <wp:inline distT="0" distB="0" distL="0" distR="0" wp14:anchorId="4CCE8515" wp14:editId="29D459D6">
            <wp:extent cx="4666615" cy="724535"/>
            <wp:effectExtent l="0" t="0" r="63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666615" cy="724535"/>
                    </a:xfrm>
                    <a:prstGeom prst="rect">
                      <a:avLst/>
                    </a:prstGeom>
                    <a:noFill/>
                    <a:ln>
                      <a:noFill/>
                    </a:ln>
                  </pic:spPr>
                </pic:pic>
              </a:graphicData>
            </a:graphic>
          </wp:inline>
        </w:drawing>
      </w:r>
    </w:p>
    <w:p w:rsidR="00236E18" w:rsidRPr="007C6477" w:rsidRDefault="00236E18" w:rsidP="00236E18">
      <w:pPr>
        <w:widowControl w:val="0"/>
        <w:rPr>
          <w:sz w:val="20"/>
        </w:rPr>
      </w:pPr>
    </w:p>
    <w:p w:rsidR="00236E18" w:rsidRPr="007C6477" w:rsidRDefault="00236E18" w:rsidP="00236E18">
      <w:pPr>
        <w:widowControl w:val="0"/>
        <w:rPr>
          <w:sz w:val="20"/>
        </w:rPr>
      </w:pPr>
    </w:p>
    <w:p w:rsidR="00236E18" w:rsidRPr="005D7081" w:rsidRDefault="00236E18" w:rsidP="00236E18">
      <w:pPr>
        <w:widowControl w:val="0"/>
        <w:spacing w:after="60"/>
        <w:jc w:val="center"/>
        <w:rPr>
          <w:sz w:val="20"/>
        </w:rPr>
      </w:pPr>
      <w:r w:rsidRPr="005D7081">
        <w:rPr>
          <w:sz w:val="20"/>
        </w:rPr>
        <w:t>Distribución probabilística de las renovaciones</w:t>
      </w:r>
    </w:p>
    <w:p w:rsidR="00236E18" w:rsidRPr="007C6477" w:rsidRDefault="00236E18" w:rsidP="00236E18">
      <w:pPr>
        <w:widowControl w:val="0"/>
        <w:jc w:val="center"/>
        <w:rPr>
          <w:sz w:val="20"/>
        </w:rPr>
      </w:pPr>
      <w:r w:rsidRPr="007C6477">
        <w:rPr>
          <w:noProof/>
          <w:lang w:val="en-US" w:eastAsia="en-US"/>
        </w:rPr>
        <w:drawing>
          <wp:inline distT="0" distB="0" distL="0" distR="0" wp14:anchorId="05813F68" wp14:editId="4A6A3759">
            <wp:extent cx="4594309" cy="2594718"/>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4594555" cy="2594857"/>
                    </a:xfrm>
                    <a:prstGeom prst="rect">
                      <a:avLst/>
                    </a:prstGeom>
                    <a:noFill/>
                    <a:ln>
                      <a:noFill/>
                    </a:ln>
                  </pic:spPr>
                </pic:pic>
              </a:graphicData>
            </a:graphic>
          </wp:inline>
        </w:drawing>
      </w:r>
    </w:p>
    <w:p w:rsidR="00236E18" w:rsidRPr="007C6477" w:rsidRDefault="00236E18" w:rsidP="00236E18">
      <w:pPr>
        <w:keepNext/>
        <w:widowControl w:val="0"/>
        <w:spacing w:after="60"/>
        <w:jc w:val="center"/>
        <w:rPr>
          <w:sz w:val="20"/>
        </w:rPr>
      </w:pPr>
      <w:r w:rsidRPr="007C6477">
        <w:rPr>
          <w:sz w:val="20"/>
        </w:rPr>
        <w:t>Proyecciones correspondientes a las renovaciones en virtud del Sistema de Madrid</w:t>
      </w:r>
    </w:p>
    <w:p w:rsidR="00236E18" w:rsidRPr="007C6477" w:rsidRDefault="00236E18" w:rsidP="00236E18">
      <w:pPr>
        <w:widowControl w:val="0"/>
        <w:jc w:val="center"/>
        <w:rPr>
          <w:sz w:val="20"/>
        </w:rPr>
      </w:pPr>
      <w:r w:rsidRPr="007C6477">
        <w:rPr>
          <w:noProof/>
          <w:lang w:val="en-US" w:eastAsia="en-US"/>
        </w:rPr>
        <w:drawing>
          <wp:inline distT="0" distB="0" distL="0" distR="0" wp14:anchorId="375806E6" wp14:editId="470D8131">
            <wp:extent cx="2932981" cy="2932981"/>
            <wp:effectExtent l="0" t="0" r="1270" b="127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932992" cy="2932992"/>
                    </a:xfrm>
                    <a:prstGeom prst="rect">
                      <a:avLst/>
                    </a:prstGeom>
                    <a:noFill/>
                    <a:ln>
                      <a:noFill/>
                    </a:ln>
                  </pic:spPr>
                </pic:pic>
              </a:graphicData>
            </a:graphic>
          </wp:inline>
        </w:drawing>
      </w:r>
    </w:p>
    <w:p w:rsidR="00236E18" w:rsidRPr="007C6477" w:rsidRDefault="00236E18" w:rsidP="00236E18">
      <w:pPr>
        <w:widowControl w:val="0"/>
        <w:rPr>
          <w:sz w:val="20"/>
        </w:rPr>
      </w:pPr>
    </w:p>
    <w:p w:rsidR="00236E18" w:rsidRPr="007C6477" w:rsidRDefault="00236E18" w:rsidP="00236E18">
      <w:pPr>
        <w:widowControl w:val="0"/>
        <w:rPr>
          <w:sz w:val="20"/>
        </w:rPr>
      </w:pPr>
    </w:p>
    <w:p w:rsidR="00236E18" w:rsidRPr="007C6477" w:rsidRDefault="00236E18" w:rsidP="00236E18">
      <w:pPr>
        <w:widowControl w:val="0"/>
        <w:rPr>
          <w:i/>
          <w:sz w:val="20"/>
        </w:rPr>
      </w:pPr>
      <w:r w:rsidRPr="007C6477">
        <w:rPr>
          <w:i/>
          <w:sz w:val="20"/>
        </w:rPr>
        <w:t>Ingresos previstos en concepto de tasas en el Sistema de Madrid</w:t>
      </w:r>
    </w:p>
    <w:p w:rsidR="00236E18" w:rsidRPr="007C6477" w:rsidRDefault="00236E18" w:rsidP="00236E18">
      <w:pPr>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Los ingresos procedentes de las tasas aplicables en el Sistema de Madrid tienen su origen en tres categorías de servicios prestados por la OMPI en el marco de ese sistema, a saber</w:t>
      </w:r>
      <w:proofErr w:type="gramStart"/>
      <w:r w:rsidRPr="007C6477">
        <w:rPr>
          <w:sz w:val="20"/>
        </w:rPr>
        <w:t>:  a</w:t>
      </w:r>
      <w:proofErr w:type="gramEnd"/>
      <w:r w:rsidRPr="007C6477">
        <w:rPr>
          <w:sz w:val="20"/>
        </w:rPr>
        <w:t>) la inscripción de registros internacionales;  b) la inscripción de renovaciones;  c) la inscripción de designaciones posteriores;  y d) otros servicios, en particular diferentes tipos de modificaciones y la emisión de extractos.</w:t>
      </w:r>
    </w:p>
    <w:p w:rsidR="00236E18" w:rsidRPr="007C6477" w:rsidRDefault="00236E18" w:rsidP="00236E18">
      <w:pPr>
        <w:widowControl w:val="0"/>
        <w:tabs>
          <w:tab w:val="left" w:pos="540"/>
        </w:tabs>
        <w:jc w:val="both"/>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En el cuadro 8 que figura a continuación se indican los ingresos previstos generados por las tasas del Sistema de Madrid para el período comprendido entre 2015 y 2017, atribuibles a cada una de las tres categorías de servicios.  La previsión de ingresos ha sido calculada a partir del número de registros internacionales y renovaciones que cabe esperar sean inscritos entre 2015 y 2017.</w:t>
      </w:r>
    </w:p>
    <w:p w:rsidR="00236E18" w:rsidRPr="007C6477" w:rsidRDefault="00236E18" w:rsidP="00236E18">
      <w:pPr>
        <w:widowControl w:val="0"/>
        <w:tabs>
          <w:tab w:val="left" w:pos="540"/>
        </w:tabs>
        <w:jc w:val="both"/>
        <w:rPr>
          <w:sz w:val="18"/>
          <w:szCs w:val="18"/>
        </w:rPr>
      </w:pPr>
    </w:p>
    <w:p w:rsidR="00236E18" w:rsidRPr="005D7081" w:rsidRDefault="00236E18" w:rsidP="00236E18">
      <w:pPr>
        <w:keepNext/>
        <w:widowControl w:val="0"/>
        <w:tabs>
          <w:tab w:val="left" w:pos="540"/>
        </w:tabs>
        <w:jc w:val="center"/>
        <w:rPr>
          <w:sz w:val="20"/>
        </w:rPr>
      </w:pPr>
      <w:r w:rsidRPr="005D7081">
        <w:rPr>
          <w:sz w:val="20"/>
        </w:rPr>
        <w:t>Gráfico 8.  Previsión de ingresos por las tasas del Sistema de Madrid, por categoría</w:t>
      </w:r>
    </w:p>
    <w:p w:rsidR="00236E18" w:rsidRPr="007C6477" w:rsidRDefault="00236E18" w:rsidP="00236E18">
      <w:pPr>
        <w:keepNext/>
        <w:widowControl w:val="0"/>
        <w:tabs>
          <w:tab w:val="left" w:pos="540"/>
        </w:tabs>
        <w:jc w:val="center"/>
        <w:rPr>
          <w:sz w:val="18"/>
          <w:szCs w:val="18"/>
        </w:rPr>
      </w:pPr>
    </w:p>
    <w:p w:rsidR="00236E18" w:rsidRPr="007C6477" w:rsidRDefault="00236E18" w:rsidP="00236E18">
      <w:pPr>
        <w:widowControl w:val="0"/>
        <w:tabs>
          <w:tab w:val="left" w:pos="540"/>
        </w:tabs>
        <w:rPr>
          <w:sz w:val="18"/>
          <w:szCs w:val="18"/>
        </w:rPr>
      </w:pPr>
      <w:r w:rsidRPr="00B37E9B">
        <w:rPr>
          <w:noProof/>
          <w:lang w:val="en-US" w:eastAsia="en-US"/>
        </w:rPr>
        <w:drawing>
          <wp:inline distT="0" distB="0" distL="0" distR="0" wp14:anchorId="709F6867" wp14:editId="2E751FF2">
            <wp:extent cx="5493385" cy="3111500"/>
            <wp:effectExtent l="0" t="0" r="0" b="0"/>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493385" cy="3111500"/>
                    </a:xfrm>
                    <a:prstGeom prst="rect">
                      <a:avLst/>
                    </a:prstGeom>
                    <a:noFill/>
                    <a:ln>
                      <a:noFill/>
                    </a:ln>
                  </pic:spPr>
                </pic:pic>
              </a:graphicData>
            </a:graphic>
          </wp:inline>
        </w:drawing>
      </w:r>
    </w:p>
    <w:p w:rsidR="00236E18" w:rsidRPr="007C6477" w:rsidRDefault="00236E18" w:rsidP="00236E18">
      <w:pPr>
        <w:widowControl w:val="0"/>
        <w:jc w:val="center"/>
        <w:rPr>
          <w:sz w:val="20"/>
        </w:rPr>
      </w:pPr>
    </w:p>
    <w:p w:rsidR="00236E18" w:rsidRPr="007C6477" w:rsidRDefault="00236E18" w:rsidP="00236E18">
      <w:pPr>
        <w:widowControl w:val="0"/>
        <w:jc w:val="center"/>
        <w:rPr>
          <w:sz w:val="20"/>
        </w:rPr>
      </w:pPr>
      <w:r w:rsidRPr="007C6477">
        <w:rPr>
          <w:noProof/>
          <w:lang w:val="en-US" w:eastAsia="en-US"/>
        </w:rPr>
        <w:drawing>
          <wp:inline distT="0" distB="0" distL="0" distR="0" wp14:anchorId="7A0BF385" wp14:editId="378A281B">
            <wp:extent cx="4566919" cy="1259456"/>
            <wp:effectExtent l="0" t="0" r="571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566733" cy="1259405"/>
                    </a:xfrm>
                    <a:prstGeom prst="rect">
                      <a:avLst/>
                    </a:prstGeom>
                    <a:noFill/>
                    <a:ln>
                      <a:noFill/>
                    </a:ln>
                  </pic:spPr>
                </pic:pic>
              </a:graphicData>
            </a:graphic>
          </wp:inline>
        </w:drawing>
      </w:r>
    </w:p>
    <w:p w:rsidR="00236E18" w:rsidRPr="005D7081" w:rsidRDefault="00236E18" w:rsidP="00236E18">
      <w:pPr>
        <w:spacing w:after="60"/>
        <w:ind w:left="851"/>
        <w:rPr>
          <w:sz w:val="18"/>
          <w:szCs w:val="18"/>
        </w:rPr>
      </w:pPr>
      <w:r w:rsidRPr="00E34525">
        <w:rPr>
          <w:sz w:val="18"/>
          <w:szCs w:val="18"/>
        </w:rPr>
        <w:t>*</w:t>
      </w:r>
      <w:r>
        <w:rPr>
          <w:sz w:val="18"/>
          <w:szCs w:val="18"/>
        </w:rPr>
        <w:t xml:space="preserve">  </w:t>
      </w:r>
      <w:r>
        <w:rPr>
          <w:sz w:val="16"/>
          <w:szCs w:val="18"/>
        </w:rPr>
        <w:t>Las cifras corresponden a previsiones</w:t>
      </w:r>
      <w:r w:rsidRPr="005D7081">
        <w:rPr>
          <w:sz w:val="16"/>
          <w:szCs w:val="18"/>
        </w:rPr>
        <w:t>.</w:t>
      </w:r>
    </w:p>
    <w:p w:rsidR="00236E18" w:rsidRPr="007C6477" w:rsidRDefault="00236E18" w:rsidP="00236E18">
      <w:pPr>
        <w:widowControl w:val="0"/>
        <w:spacing w:after="60"/>
        <w:jc w:val="center"/>
        <w:rPr>
          <w:sz w:val="18"/>
          <w:szCs w:val="18"/>
        </w:rPr>
      </w:pPr>
    </w:p>
    <w:p w:rsidR="00236E18" w:rsidRPr="007C6477" w:rsidRDefault="00236E18" w:rsidP="00236E18">
      <w:pPr>
        <w:widowControl w:val="0"/>
        <w:spacing w:after="60"/>
        <w:jc w:val="center"/>
        <w:rPr>
          <w:sz w:val="18"/>
          <w:szCs w:val="18"/>
        </w:rPr>
      </w:pPr>
    </w:p>
    <w:p w:rsidR="00236E18" w:rsidRPr="007C6477" w:rsidRDefault="00236E18" w:rsidP="00236E18">
      <w:pPr>
        <w:widowControl w:val="0"/>
        <w:spacing w:after="60"/>
        <w:jc w:val="center"/>
        <w:rPr>
          <w:sz w:val="18"/>
          <w:szCs w:val="18"/>
        </w:rPr>
      </w:pPr>
    </w:p>
    <w:p w:rsidR="00236E18" w:rsidRPr="005D7081" w:rsidRDefault="00236E18" w:rsidP="00236E18">
      <w:pPr>
        <w:widowControl w:val="0"/>
        <w:spacing w:after="60"/>
        <w:jc w:val="center"/>
        <w:rPr>
          <w:noProof/>
          <w:sz w:val="20"/>
        </w:rPr>
      </w:pPr>
      <w:r w:rsidRPr="005D7081">
        <w:rPr>
          <w:sz w:val="20"/>
        </w:rPr>
        <w:t>Distribución probabilística de los ingresos</w:t>
      </w:r>
    </w:p>
    <w:p w:rsidR="00236E18" w:rsidRPr="007C6477" w:rsidRDefault="00236E18" w:rsidP="00236E18">
      <w:pPr>
        <w:widowControl w:val="0"/>
        <w:spacing w:after="60"/>
        <w:jc w:val="center"/>
        <w:rPr>
          <w:sz w:val="20"/>
        </w:rPr>
      </w:pPr>
      <w:r w:rsidRPr="007C6477">
        <w:rPr>
          <w:noProof/>
          <w:lang w:val="en-US" w:eastAsia="en-US"/>
        </w:rPr>
        <w:drawing>
          <wp:inline distT="0" distB="0" distL="0" distR="0" wp14:anchorId="2254B315" wp14:editId="2666F742">
            <wp:extent cx="4619320" cy="22860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4633173" cy="2292855"/>
                    </a:xfrm>
                    <a:prstGeom prst="rect">
                      <a:avLst/>
                    </a:prstGeom>
                    <a:noFill/>
                    <a:ln>
                      <a:noFill/>
                    </a:ln>
                  </pic:spPr>
                </pic:pic>
              </a:graphicData>
            </a:graphic>
          </wp:inline>
        </w:drawing>
      </w:r>
    </w:p>
    <w:p w:rsidR="00236E18" w:rsidRPr="007C6477" w:rsidRDefault="00236E18" w:rsidP="00236E18">
      <w:pPr>
        <w:widowControl w:val="0"/>
        <w:jc w:val="center"/>
        <w:rPr>
          <w:sz w:val="20"/>
        </w:rPr>
      </w:pPr>
    </w:p>
    <w:p w:rsidR="00236E18" w:rsidRPr="005D7081" w:rsidRDefault="00236E18" w:rsidP="00236E18">
      <w:pPr>
        <w:keepNext/>
        <w:keepLines/>
        <w:widowControl w:val="0"/>
        <w:spacing w:after="60"/>
        <w:jc w:val="center"/>
        <w:rPr>
          <w:sz w:val="20"/>
        </w:rPr>
      </w:pPr>
      <w:r w:rsidRPr="005D7081">
        <w:rPr>
          <w:sz w:val="20"/>
        </w:rPr>
        <w:lastRenderedPageBreak/>
        <w:t>Proyecciones correspondientes a los ingresos del Sistema de Madrid</w:t>
      </w:r>
    </w:p>
    <w:p w:rsidR="00236E18" w:rsidRPr="007C6477" w:rsidRDefault="00236E18" w:rsidP="00236E18">
      <w:pPr>
        <w:keepNext/>
        <w:keepLines/>
        <w:widowControl w:val="0"/>
        <w:jc w:val="center"/>
        <w:rPr>
          <w:sz w:val="20"/>
        </w:rPr>
      </w:pPr>
      <w:r w:rsidRPr="007C6477">
        <w:rPr>
          <w:noProof/>
          <w:lang w:val="en-US" w:eastAsia="en-US"/>
        </w:rPr>
        <w:drawing>
          <wp:inline distT="0" distB="0" distL="0" distR="0" wp14:anchorId="778016C2" wp14:editId="07F60418">
            <wp:extent cx="2973088" cy="2861604"/>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975492" cy="2863918"/>
                    </a:xfrm>
                    <a:prstGeom prst="rect">
                      <a:avLst/>
                    </a:prstGeom>
                    <a:noFill/>
                    <a:ln>
                      <a:noFill/>
                    </a:ln>
                  </pic:spPr>
                </pic:pic>
              </a:graphicData>
            </a:graphic>
          </wp:inline>
        </w:drawing>
      </w:r>
    </w:p>
    <w:p w:rsidR="00236E18" w:rsidRPr="007C6477" w:rsidRDefault="00236E18" w:rsidP="00236E18">
      <w:pPr>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En el cuadro que figura a continuación se da información sobre el número real y la previsión de registros y renovaciones para el período comprendido entre 2012 y 2017, y sobre la evolución real y prevista de la tasa promedio pagadera en ese período.  La tasa promedio se calcula dividiendo el importe total de ingresos del Sistema de Madrid entre el número total de registros y renovaciones de cada año.</w:t>
      </w:r>
    </w:p>
    <w:p w:rsidR="00236E18" w:rsidRPr="007C6477" w:rsidRDefault="00236E18" w:rsidP="00236E18">
      <w:pPr>
        <w:widowControl w:val="0"/>
        <w:jc w:val="both"/>
        <w:rPr>
          <w:sz w:val="20"/>
        </w:rPr>
      </w:pPr>
    </w:p>
    <w:p w:rsidR="00236E18" w:rsidRPr="005D7081" w:rsidRDefault="00236E18" w:rsidP="00236E18">
      <w:pPr>
        <w:widowControl w:val="0"/>
        <w:jc w:val="center"/>
        <w:rPr>
          <w:sz w:val="20"/>
        </w:rPr>
      </w:pPr>
      <w:r w:rsidRPr="005D7081">
        <w:rPr>
          <w:sz w:val="20"/>
        </w:rPr>
        <w:t>Cuadro 16.  Total de los ingresos generados por las tasas y tasa promedio del Sistema de Madrid</w:t>
      </w:r>
    </w:p>
    <w:p w:rsidR="00236E18" w:rsidRPr="007C6477" w:rsidRDefault="00236E18" w:rsidP="00236E18">
      <w:pPr>
        <w:widowControl w:val="0"/>
        <w:jc w:val="center"/>
        <w:rPr>
          <w:sz w:val="20"/>
        </w:rPr>
      </w:pPr>
    </w:p>
    <w:p w:rsidR="00236E18" w:rsidRPr="007C6477" w:rsidRDefault="00236E18" w:rsidP="00236E18">
      <w:pPr>
        <w:widowControl w:val="0"/>
        <w:rPr>
          <w:sz w:val="20"/>
        </w:rPr>
      </w:pPr>
      <w:r w:rsidRPr="002235B4">
        <w:rPr>
          <w:noProof/>
          <w:lang w:val="en-US" w:eastAsia="en-US"/>
        </w:rPr>
        <w:drawing>
          <wp:inline distT="0" distB="0" distL="0" distR="0" wp14:anchorId="5E1082C0" wp14:editId="3A74F0BE">
            <wp:extent cx="5760085" cy="887799"/>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760085" cy="887799"/>
                    </a:xfrm>
                    <a:prstGeom prst="rect">
                      <a:avLst/>
                    </a:prstGeom>
                    <a:noFill/>
                    <a:ln>
                      <a:noFill/>
                    </a:ln>
                  </pic:spPr>
                </pic:pic>
              </a:graphicData>
            </a:graphic>
          </wp:inline>
        </w:drawing>
      </w:r>
    </w:p>
    <w:p w:rsidR="00236E18" w:rsidRPr="007C6477" w:rsidRDefault="00236E18" w:rsidP="00236E18">
      <w:pPr>
        <w:widowControl w:val="0"/>
        <w:jc w:val="center"/>
        <w:rPr>
          <w:sz w:val="20"/>
        </w:rPr>
      </w:pPr>
    </w:p>
    <w:p w:rsidR="00236E18" w:rsidRPr="007C6477" w:rsidRDefault="00236E18" w:rsidP="00236E18">
      <w:pPr>
        <w:pStyle w:val="ListParagraph"/>
        <w:widowControl w:val="0"/>
        <w:numPr>
          <w:ilvl w:val="0"/>
          <w:numId w:val="46"/>
        </w:numPr>
        <w:jc w:val="both"/>
        <w:rPr>
          <w:rFonts w:ascii="Arial" w:hAnsi="Arial" w:cs="Arial"/>
          <w:sz w:val="20"/>
          <w:lang w:val="es-ES"/>
        </w:rPr>
      </w:pPr>
      <w:r w:rsidRPr="007C6477">
        <w:rPr>
          <w:rFonts w:ascii="Arial" w:hAnsi="Arial" w:cs="Arial"/>
          <w:sz w:val="20"/>
          <w:lang w:val="es-ES"/>
        </w:rPr>
        <w:t>Para el bienio 2014/15 se adoptó por primera vez un nuevo modelo de previsión para pronosticar las actividades de registro realizadas en el marco de los sistemas de Madrid y de la Haya, similar al que se utiliza para las previsiones de las actividades del PCT.  Este modelo más sofisticado toma en cuenta no solo la actividad en el marco del Sistema de Madrid, sino también la actividad relativa a la presentación de solicitudes y registro de marcas en otras Oficinas, así como también datos de previsión del FMI.  Dada la incertidumbre económica mundial que reina actualmente y hasta tanto se adquiera más experiencia en el uso del nuevo modelo de previsión, se estimó prudente calcular ligeramente a la baja las previsiones en virtud del Sistema de Madrid que se calcularon con el nuevo modelo.  En el cuadro que figura a continuación se indican las previsiones a la baja que sirven de base para el presupuesto por programas para 2016/17.</w:t>
      </w:r>
    </w:p>
    <w:p w:rsidR="00236E18" w:rsidRPr="007C6477" w:rsidRDefault="00236E18" w:rsidP="00236E18">
      <w:pPr>
        <w:widowControl w:val="0"/>
        <w:rPr>
          <w:sz w:val="20"/>
        </w:rPr>
      </w:pPr>
    </w:p>
    <w:p w:rsidR="00236E18" w:rsidRPr="005D7081" w:rsidRDefault="00236E18" w:rsidP="00236E18">
      <w:pPr>
        <w:widowControl w:val="0"/>
        <w:jc w:val="center"/>
        <w:rPr>
          <w:sz w:val="20"/>
        </w:rPr>
      </w:pPr>
      <w:r w:rsidRPr="005D7081">
        <w:rPr>
          <w:sz w:val="20"/>
        </w:rPr>
        <w:t xml:space="preserve">Cuadro 17.  Total de los ingresos generados por las tasas y tasa promedio del Sistema de Madrid (Base para el presupuesto por programas </w:t>
      </w:r>
      <w:r>
        <w:rPr>
          <w:sz w:val="20"/>
        </w:rPr>
        <w:t>de</w:t>
      </w:r>
      <w:r w:rsidRPr="005D7081">
        <w:rPr>
          <w:sz w:val="20"/>
        </w:rPr>
        <w:t> 2016/2017)</w:t>
      </w:r>
    </w:p>
    <w:p w:rsidR="00236E18" w:rsidRPr="007C6477" w:rsidRDefault="00236E18" w:rsidP="00236E18">
      <w:pPr>
        <w:widowControl w:val="0"/>
        <w:rPr>
          <w:sz w:val="20"/>
        </w:rPr>
      </w:pPr>
    </w:p>
    <w:p w:rsidR="00236E18" w:rsidRPr="007C6477" w:rsidRDefault="00236E18" w:rsidP="00236E18">
      <w:pPr>
        <w:pStyle w:val="ListParagraph"/>
        <w:widowControl w:val="0"/>
        <w:ind w:left="0"/>
        <w:rPr>
          <w:rFonts w:ascii="Arial" w:hAnsi="Arial" w:cs="Arial"/>
          <w:sz w:val="20"/>
          <w:lang w:val="es-ES"/>
        </w:rPr>
      </w:pPr>
      <w:r w:rsidRPr="002235B4">
        <w:rPr>
          <w:noProof/>
          <w:lang w:eastAsia="en-US"/>
        </w:rPr>
        <w:drawing>
          <wp:inline distT="0" distB="0" distL="0" distR="0" wp14:anchorId="49175908" wp14:editId="1FBF63EC">
            <wp:extent cx="5760085" cy="887799"/>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760085" cy="887799"/>
                    </a:xfrm>
                    <a:prstGeom prst="rect">
                      <a:avLst/>
                    </a:prstGeom>
                    <a:noFill/>
                    <a:ln>
                      <a:noFill/>
                    </a:ln>
                  </pic:spPr>
                </pic:pic>
              </a:graphicData>
            </a:graphic>
          </wp:inline>
        </w:drawing>
      </w:r>
    </w:p>
    <w:p w:rsidR="00236E18" w:rsidRPr="007C6477" w:rsidRDefault="00236E18" w:rsidP="00236E18">
      <w:pPr>
        <w:widowControl w:val="0"/>
        <w:rPr>
          <w:sz w:val="20"/>
        </w:rPr>
      </w:pPr>
    </w:p>
    <w:p w:rsidR="00236E18" w:rsidRPr="007C6477" w:rsidRDefault="00236E18" w:rsidP="00236E18">
      <w:pPr>
        <w:widowControl w:val="0"/>
        <w:rPr>
          <w:sz w:val="20"/>
        </w:rPr>
      </w:pPr>
    </w:p>
    <w:p w:rsidR="00236E18" w:rsidRPr="007C6477" w:rsidRDefault="00236E18" w:rsidP="00236E18">
      <w:pPr>
        <w:keepNext/>
        <w:keepLines/>
        <w:widowControl w:val="0"/>
        <w:rPr>
          <w:b/>
          <w:sz w:val="20"/>
        </w:rPr>
      </w:pPr>
      <w:r w:rsidRPr="007C6477">
        <w:rPr>
          <w:b/>
          <w:sz w:val="20"/>
        </w:rPr>
        <w:lastRenderedPageBreak/>
        <w:t xml:space="preserve">Sistema de </w:t>
      </w:r>
      <w:r>
        <w:rPr>
          <w:b/>
          <w:sz w:val="20"/>
        </w:rPr>
        <w:t>La Haya</w:t>
      </w:r>
    </w:p>
    <w:p w:rsidR="00236E18" w:rsidRPr="007C6477" w:rsidRDefault="00236E18" w:rsidP="00236E18">
      <w:pPr>
        <w:keepNext/>
        <w:keepLines/>
        <w:widowControl w:val="0"/>
        <w:rPr>
          <w:sz w:val="20"/>
        </w:rPr>
      </w:pPr>
    </w:p>
    <w:p w:rsidR="00236E18" w:rsidRPr="007C6477" w:rsidRDefault="00236E18" w:rsidP="00236E18">
      <w:pPr>
        <w:keepNext/>
        <w:keepLines/>
        <w:widowControl w:val="0"/>
        <w:rPr>
          <w:i/>
          <w:sz w:val="20"/>
        </w:rPr>
      </w:pPr>
      <w:r w:rsidRPr="007C6477">
        <w:rPr>
          <w:i/>
          <w:sz w:val="20"/>
        </w:rPr>
        <w:t xml:space="preserve">Sistema de </w:t>
      </w:r>
      <w:r>
        <w:rPr>
          <w:i/>
          <w:sz w:val="20"/>
        </w:rPr>
        <w:t>La Haya</w:t>
      </w:r>
      <w:r w:rsidRPr="007C6477">
        <w:rPr>
          <w:i/>
          <w:sz w:val="20"/>
        </w:rPr>
        <w:t xml:space="preserve"> – Previsión de la demanda de registros internacionales</w:t>
      </w:r>
    </w:p>
    <w:p w:rsidR="00236E18" w:rsidRPr="007C6477" w:rsidRDefault="00236E18" w:rsidP="00236E18">
      <w:pPr>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 xml:space="preserve">En el gráfico 9 se indica la previsión para el período comprendido entre 2015 y 2017.  La adhesión de China, Japón, la República de Corea, la Federación de Rusia y los Estados Unidos de América al Sistema de la Haya prevista a partir del 2015 tendrá repercusiones considerables, pudiendo traer aparejado un aumento de las solicitudes presentadas y de los ingresos.  Para realizar una previsión del número de registros del Sistema de </w:t>
      </w:r>
      <w:r>
        <w:rPr>
          <w:sz w:val="20"/>
        </w:rPr>
        <w:t>La Haya</w:t>
      </w:r>
      <w:r w:rsidRPr="007C6477">
        <w:rPr>
          <w:sz w:val="20"/>
        </w:rPr>
        <w:t xml:space="preserve"> se utilizan diferentes modelos, entre ellos los modelos </w:t>
      </w:r>
      <w:proofErr w:type="spellStart"/>
      <w:r w:rsidRPr="007C6477">
        <w:rPr>
          <w:sz w:val="20"/>
        </w:rPr>
        <w:t>autorregresivos</w:t>
      </w:r>
      <w:proofErr w:type="spellEnd"/>
      <w:r w:rsidRPr="007C6477">
        <w:rPr>
          <w:sz w:val="20"/>
        </w:rPr>
        <w:t xml:space="preserve">, los modelos econométricos y los modelos de transferencia.  Los modelos </w:t>
      </w:r>
      <w:proofErr w:type="spellStart"/>
      <w:r w:rsidRPr="007C6477">
        <w:rPr>
          <w:sz w:val="20"/>
        </w:rPr>
        <w:t>autorregresivos</w:t>
      </w:r>
      <w:proofErr w:type="spellEnd"/>
      <w:r w:rsidRPr="007C6477">
        <w:rPr>
          <w:sz w:val="20"/>
        </w:rPr>
        <w:t xml:space="preserve"> se aplican a los registros.  Los modelos econométricos se basan en los datos sobre el PIB real y previsto publicados por el Fondo Monetario Internacional.  Luego se combinan los resultados obtenidos mediante cada uno de los modelos, para minimizar la incertidumbre que resulta de la aplicación de cada uno de ellos por separado.</w:t>
      </w:r>
    </w:p>
    <w:p w:rsidR="00236E18" w:rsidRPr="007C6477" w:rsidRDefault="00236E18" w:rsidP="00236E18">
      <w:pPr>
        <w:widowControl w:val="0"/>
        <w:tabs>
          <w:tab w:val="left" w:pos="540"/>
        </w:tabs>
        <w:jc w:val="both"/>
        <w:rPr>
          <w:sz w:val="20"/>
        </w:rPr>
      </w:pPr>
    </w:p>
    <w:p w:rsidR="00236E18" w:rsidRPr="005D7081" w:rsidRDefault="00236E18" w:rsidP="00236E18">
      <w:pPr>
        <w:keepNext/>
        <w:widowControl w:val="0"/>
        <w:jc w:val="center"/>
        <w:rPr>
          <w:sz w:val="20"/>
        </w:rPr>
      </w:pPr>
      <w:r w:rsidRPr="005D7081">
        <w:rPr>
          <w:sz w:val="20"/>
        </w:rPr>
        <w:t xml:space="preserve">Gráfico 9.  </w:t>
      </w:r>
      <w:r w:rsidRPr="005D7081">
        <w:rPr>
          <w:rFonts w:eastAsiaTheme="minorHAnsi"/>
          <w:sz w:val="20"/>
        </w:rPr>
        <w:t>Registros y renovaciones en virtud del Sistema de La Haya</w:t>
      </w:r>
    </w:p>
    <w:p w:rsidR="00236E18" w:rsidRPr="007C6477" w:rsidRDefault="00236E18" w:rsidP="00236E18">
      <w:pPr>
        <w:widowControl w:val="0"/>
        <w:rPr>
          <w:sz w:val="20"/>
        </w:rPr>
      </w:pPr>
      <w:r w:rsidRPr="00B37E9B">
        <w:rPr>
          <w:noProof/>
          <w:lang w:val="en-US" w:eastAsia="en-US"/>
        </w:rPr>
        <w:drawing>
          <wp:inline distT="0" distB="0" distL="0" distR="0" wp14:anchorId="6A30A728" wp14:editId="67898A09">
            <wp:extent cx="5493385" cy="2995930"/>
            <wp:effectExtent l="0" t="0" r="0" b="0"/>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493385" cy="2995930"/>
                    </a:xfrm>
                    <a:prstGeom prst="rect">
                      <a:avLst/>
                    </a:prstGeom>
                    <a:noFill/>
                    <a:ln>
                      <a:noFill/>
                    </a:ln>
                  </pic:spPr>
                </pic:pic>
              </a:graphicData>
            </a:graphic>
          </wp:inline>
        </w:drawing>
      </w:r>
    </w:p>
    <w:p w:rsidR="00236E18" w:rsidRPr="007C6477" w:rsidRDefault="00236E18" w:rsidP="00236E18">
      <w:pPr>
        <w:widowControl w:val="0"/>
        <w:jc w:val="center"/>
        <w:rPr>
          <w:sz w:val="20"/>
        </w:rPr>
      </w:pPr>
      <w:r w:rsidRPr="007C6477">
        <w:rPr>
          <w:noProof/>
          <w:lang w:val="en-US" w:eastAsia="en-US"/>
        </w:rPr>
        <w:drawing>
          <wp:inline distT="0" distB="0" distL="0" distR="0" wp14:anchorId="5C25A5BB" wp14:editId="2B53E681">
            <wp:extent cx="4785587" cy="73342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788205" cy="733826"/>
                    </a:xfrm>
                    <a:prstGeom prst="rect">
                      <a:avLst/>
                    </a:prstGeom>
                    <a:noFill/>
                    <a:ln>
                      <a:noFill/>
                    </a:ln>
                  </pic:spPr>
                </pic:pic>
              </a:graphicData>
            </a:graphic>
          </wp:inline>
        </w:drawing>
      </w:r>
    </w:p>
    <w:p w:rsidR="00236E18" w:rsidRPr="007C6477" w:rsidRDefault="00236E18" w:rsidP="00236E18">
      <w:pPr>
        <w:widowControl w:val="0"/>
        <w:jc w:val="center"/>
        <w:rPr>
          <w:sz w:val="20"/>
        </w:rPr>
      </w:pPr>
    </w:p>
    <w:p w:rsidR="00236E18" w:rsidRPr="007C6477" w:rsidRDefault="00236E18" w:rsidP="00236E18">
      <w:pPr>
        <w:widowControl w:val="0"/>
        <w:jc w:val="center"/>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 xml:space="preserve">Habida cuenta de la adhesión de nuevos Estados miembros prevista a partir de 2014, se aplicó un modelo de transferencia para evaluar cómo incidiría la adhesión en el número de registros.  El modelo utiliza los datos sobre las solicitudes que los miembros actuales del Sistema de Madrid presentarían a través de la vía de París en los nuevos países miembros y viceversa.  Concretamente, se calculan los índices de transferencia para luego calcular el número de solicitudes adicionales que presentarían los miembros actuales con motivo de la adhesión de nuevos miembros.  Además, se aplican los "índices de transferencia" promedio de los miembros actuales del Sistema de </w:t>
      </w:r>
      <w:r>
        <w:rPr>
          <w:sz w:val="20"/>
        </w:rPr>
        <w:t>La Haya</w:t>
      </w:r>
      <w:r w:rsidRPr="007C6477">
        <w:rPr>
          <w:sz w:val="20"/>
        </w:rPr>
        <w:t xml:space="preserve"> para calcular el potencial de presentación de solicitudes de los nuevos miembros.  Cabe señalar que los "índices de transferencia" reales están adaptados a cada país.  Aplicar los "índices de transferencia" promedio a los nuevos miembros es probablemente el mejor enfoque posible, pero a su vez aumenta la incertidumbre de los valores de previsión.  La previsión actual parte del supuesto que las adhesiones tendrán lugar de la siguiente manera:  </w:t>
      </w:r>
    </w:p>
    <w:p w:rsidR="00236E18" w:rsidRPr="007C6477" w:rsidRDefault="00236E18" w:rsidP="00236E18">
      <w:pPr>
        <w:widowControl w:val="0"/>
        <w:jc w:val="center"/>
        <w:rPr>
          <w:sz w:val="20"/>
        </w:rPr>
      </w:pPr>
    </w:p>
    <w:p w:rsidR="00236E18" w:rsidRPr="007C6477" w:rsidRDefault="00236E18" w:rsidP="00236E18">
      <w:pPr>
        <w:widowControl w:val="0"/>
        <w:jc w:val="center"/>
        <w:rPr>
          <w:sz w:val="20"/>
        </w:rPr>
      </w:pPr>
      <w:r w:rsidRPr="007C6477">
        <w:rPr>
          <w:noProof/>
          <w:sz w:val="20"/>
          <w:lang w:val="en-US" w:eastAsia="en-US"/>
        </w:rPr>
        <mc:AlternateContent>
          <mc:Choice Requires="wpc">
            <w:drawing>
              <wp:inline distT="0" distB="0" distL="0" distR="0" wp14:anchorId="2299D8DF" wp14:editId="0321A9F9">
                <wp:extent cx="2431353" cy="644837"/>
                <wp:effectExtent l="0" t="0" r="7620" b="22225"/>
                <wp:docPr id="181" name="Canvas 1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81" name="Rectangle 5"/>
                        <wps:cNvSpPr>
                          <a:spLocks noChangeArrowheads="1"/>
                        </wps:cNvSpPr>
                        <wps:spPr bwMode="auto">
                          <a:xfrm>
                            <a:off x="22860" y="7620"/>
                            <a:ext cx="1214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Pr="00176299" w:rsidRDefault="00236E18" w:rsidP="00236E18">
                              <w:r>
                                <w:rPr>
                                  <w:color w:val="000000"/>
                                  <w:sz w:val="16"/>
                                  <w:szCs w:val="16"/>
                                </w:rPr>
                                <w:t>Nuevos Estados miembros</w:t>
                              </w:r>
                            </w:p>
                          </w:txbxContent>
                        </wps:txbx>
                        <wps:bodyPr rot="0" vert="horz" wrap="none" lIns="0" tIns="0" rIns="0" bIns="0" anchor="t" anchorCtr="0">
                          <a:spAutoFit/>
                        </wps:bodyPr>
                      </wps:wsp>
                      <wps:wsp>
                        <wps:cNvPr id="982" name="Rectangle 6"/>
                        <wps:cNvSpPr>
                          <a:spLocks noChangeArrowheads="1"/>
                        </wps:cNvSpPr>
                        <wps:spPr bwMode="auto">
                          <a:xfrm>
                            <a:off x="22860" y="134620"/>
                            <a:ext cx="8985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Pr="00176299" w:rsidRDefault="00236E18" w:rsidP="00236E18">
                              <w:r>
                                <w:rPr>
                                  <w:color w:val="000000"/>
                                  <w:sz w:val="16"/>
                                  <w:szCs w:val="16"/>
                                </w:rPr>
                                <w:t>República de Corea</w:t>
                              </w:r>
                            </w:p>
                          </w:txbxContent>
                        </wps:txbx>
                        <wps:bodyPr rot="0" vert="horz" wrap="none" lIns="0" tIns="0" rIns="0" bIns="0" anchor="t" anchorCtr="0">
                          <a:spAutoFit/>
                        </wps:bodyPr>
                      </wps:wsp>
                      <wps:wsp>
                        <wps:cNvPr id="64" name="Rectangle 7"/>
                        <wps:cNvSpPr>
                          <a:spLocks noChangeArrowheads="1"/>
                        </wps:cNvSpPr>
                        <wps:spPr bwMode="auto">
                          <a:xfrm>
                            <a:off x="1714500" y="134620"/>
                            <a:ext cx="6045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color w:val="000000"/>
                                  <w:sz w:val="16"/>
                                  <w:szCs w:val="16"/>
                                </w:rPr>
                                <w:t>Julio de 2014</w:t>
                              </w:r>
                            </w:p>
                          </w:txbxContent>
                        </wps:txbx>
                        <wps:bodyPr rot="0" vert="horz" wrap="none" lIns="0" tIns="0" rIns="0" bIns="0" anchor="t" anchorCtr="0">
                          <a:spAutoFit/>
                        </wps:bodyPr>
                      </wps:wsp>
                      <wps:wsp>
                        <wps:cNvPr id="67" name="Rectangle 8"/>
                        <wps:cNvSpPr>
                          <a:spLocks noChangeArrowheads="1"/>
                        </wps:cNvSpPr>
                        <wps:spPr bwMode="auto">
                          <a:xfrm>
                            <a:off x="22860" y="262255"/>
                            <a:ext cx="2768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color w:val="000000"/>
                                  <w:sz w:val="16"/>
                                  <w:szCs w:val="16"/>
                                </w:rPr>
                                <w:t>Japón</w:t>
                              </w:r>
                            </w:p>
                          </w:txbxContent>
                        </wps:txbx>
                        <wps:bodyPr rot="0" vert="horz" wrap="none" lIns="0" tIns="0" rIns="0" bIns="0" anchor="t" anchorCtr="0">
                          <a:spAutoFit/>
                        </wps:bodyPr>
                      </wps:wsp>
                      <wps:wsp>
                        <wps:cNvPr id="68" name="Rectangle 9"/>
                        <wps:cNvSpPr>
                          <a:spLocks noChangeArrowheads="1"/>
                        </wps:cNvSpPr>
                        <wps:spPr bwMode="auto">
                          <a:xfrm>
                            <a:off x="1674495" y="262255"/>
                            <a:ext cx="6445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color w:val="000000"/>
                                  <w:sz w:val="16"/>
                                  <w:szCs w:val="16"/>
                                </w:rPr>
                                <w:t>Mayo de 2015</w:t>
                              </w:r>
                            </w:p>
                          </w:txbxContent>
                        </wps:txbx>
                        <wps:bodyPr rot="0" vert="horz" wrap="none" lIns="0" tIns="0" rIns="0" bIns="0" anchor="t" anchorCtr="0">
                          <a:spAutoFit/>
                        </wps:bodyPr>
                      </wps:wsp>
                      <wps:wsp>
                        <wps:cNvPr id="69" name="Rectangle 10"/>
                        <wps:cNvSpPr>
                          <a:spLocks noChangeArrowheads="1"/>
                        </wps:cNvSpPr>
                        <wps:spPr bwMode="auto">
                          <a:xfrm>
                            <a:off x="22860" y="389255"/>
                            <a:ext cx="12541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Pr="00176299" w:rsidRDefault="00236E18" w:rsidP="00236E18">
                              <w:r>
                                <w:rPr>
                                  <w:color w:val="000000"/>
                                  <w:sz w:val="16"/>
                                  <w:szCs w:val="16"/>
                                </w:rPr>
                                <w:t>Estados Unidos de América</w:t>
                              </w:r>
                            </w:p>
                          </w:txbxContent>
                        </wps:txbx>
                        <wps:bodyPr rot="0" vert="horz" wrap="none" lIns="0" tIns="0" rIns="0" bIns="0" anchor="t" anchorCtr="0">
                          <a:spAutoFit/>
                        </wps:bodyPr>
                      </wps:wsp>
                      <wps:wsp>
                        <wps:cNvPr id="76" name="Rectangle 11"/>
                        <wps:cNvSpPr>
                          <a:spLocks noChangeArrowheads="1"/>
                        </wps:cNvSpPr>
                        <wps:spPr bwMode="auto">
                          <a:xfrm>
                            <a:off x="1674498" y="388691"/>
                            <a:ext cx="6445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color w:val="000000"/>
                                  <w:sz w:val="16"/>
                                  <w:szCs w:val="16"/>
                                </w:rPr>
                                <w:t>Mayo de 2015</w:t>
                              </w:r>
                            </w:p>
                          </w:txbxContent>
                        </wps:txbx>
                        <wps:bodyPr rot="0" vert="horz" wrap="none" lIns="0" tIns="0" rIns="0" bIns="0" anchor="t" anchorCtr="0">
                          <a:spAutoFit/>
                        </wps:bodyPr>
                      </wps:wsp>
                      <wps:wsp>
                        <wps:cNvPr id="78" name="Rectangle 12"/>
                        <wps:cNvSpPr>
                          <a:spLocks noChangeArrowheads="1"/>
                        </wps:cNvSpPr>
                        <wps:spPr bwMode="auto">
                          <a:xfrm>
                            <a:off x="22860" y="516890"/>
                            <a:ext cx="26606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color w:val="000000"/>
                                  <w:sz w:val="16"/>
                                  <w:szCs w:val="16"/>
                                </w:rPr>
                                <w:t>China</w:t>
                              </w:r>
                            </w:p>
                          </w:txbxContent>
                        </wps:txbx>
                        <wps:bodyPr rot="0" vert="horz" wrap="none" lIns="0" tIns="0" rIns="0" bIns="0" anchor="t" anchorCtr="0">
                          <a:spAutoFit/>
                        </wps:bodyPr>
                      </wps:wsp>
                      <wps:wsp>
                        <wps:cNvPr id="81" name="Rectangle 13"/>
                        <wps:cNvSpPr>
                          <a:spLocks noChangeArrowheads="1"/>
                        </wps:cNvSpPr>
                        <wps:spPr bwMode="auto">
                          <a:xfrm>
                            <a:off x="2092974" y="516890"/>
                            <a:ext cx="2260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18" w:rsidRDefault="00236E18" w:rsidP="00236E18">
                              <w:r>
                                <w:rPr>
                                  <w:color w:val="000000"/>
                                  <w:sz w:val="16"/>
                                  <w:szCs w:val="16"/>
                                </w:rPr>
                                <w:t>2018</w:t>
                              </w:r>
                            </w:p>
                          </w:txbxContent>
                        </wps:txbx>
                        <wps:bodyPr rot="0" vert="horz" wrap="none" lIns="0" tIns="0" rIns="0" bIns="0" anchor="t" anchorCtr="0">
                          <a:spAutoFit/>
                        </wps:bodyPr>
                      </wps:wsp>
                      <wps:wsp>
                        <wps:cNvPr id="82" name="Rectangle 14"/>
                        <wps:cNvSpPr>
                          <a:spLocks noChangeArrowheads="1"/>
                        </wps:cNvSpPr>
                        <wps:spPr bwMode="auto">
                          <a:xfrm>
                            <a:off x="0" y="0"/>
                            <a:ext cx="762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15"/>
                        <wps:cNvSpPr>
                          <a:spLocks noChangeArrowheads="1"/>
                        </wps:cNvSpPr>
                        <wps:spPr bwMode="auto">
                          <a:xfrm>
                            <a:off x="1403985" y="0"/>
                            <a:ext cx="762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16"/>
                        <wps:cNvCnPr/>
                        <wps:spPr bwMode="auto">
                          <a:xfrm>
                            <a:off x="7620" y="0"/>
                            <a:ext cx="23698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Rectangle 17"/>
                        <wps:cNvSpPr>
                          <a:spLocks noChangeArrowheads="1"/>
                        </wps:cNvSpPr>
                        <wps:spPr bwMode="auto">
                          <a:xfrm>
                            <a:off x="7620" y="0"/>
                            <a:ext cx="23698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18"/>
                        <wps:cNvSpPr>
                          <a:spLocks noChangeArrowheads="1"/>
                        </wps:cNvSpPr>
                        <wps:spPr bwMode="auto">
                          <a:xfrm>
                            <a:off x="2369820" y="0"/>
                            <a:ext cx="762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19"/>
                        <wps:cNvCnPr/>
                        <wps:spPr bwMode="auto">
                          <a:xfrm>
                            <a:off x="7620" y="127000"/>
                            <a:ext cx="23698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Rectangle 20"/>
                        <wps:cNvSpPr>
                          <a:spLocks noChangeArrowheads="1"/>
                        </wps:cNvSpPr>
                        <wps:spPr bwMode="auto">
                          <a:xfrm>
                            <a:off x="7620" y="127000"/>
                            <a:ext cx="23698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21"/>
                        <wps:cNvCnPr/>
                        <wps:spPr bwMode="auto">
                          <a:xfrm>
                            <a:off x="7620" y="254635"/>
                            <a:ext cx="23698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Rectangle 22"/>
                        <wps:cNvSpPr>
                          <a:spLocks noChangeArrowheads="1"/>
                        </wps:cNvSpPr>
                        <wps:spPr bwMode="auto">
                          <a:xfrm>
                            <a:off x="7620" y="254635"/>
                            <a:ext cx="23698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23"/>
                        <wps:cNvCnPr/>
                        <wps:spPr bwMode="auto">
                          <a:xfrm>
                            <a:off x="7620" y="381635"/>
                            <a:ext cx="23698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Rectangle 24"/>
                        <wps:cNvSpPr>
                          <a:spLocks noChangeArrowheads="1"/>
                        </wps:cNvSpPr>
                        <wps:spPr bwMode="auto">
                          <a:xfrm>
                            <a:off x="7620" y="381635"/>
                            <a:ext cx="23698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25"/>
                        <wps:cNvCnPr/>
                        <wps:spPr bwMode="auto">
                          <a:xfrm>
                            <a:off x="7620" y="509270"/>
                            <a:ext cx="23698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Rectangle 26"/>
                        <wps:cNvSpPr>
                          <a:spLocks noChangeArrowheads="1"/>
                        </wps:cNvSpPr>
                        <wps:spPr bwMode="auto">
                          <a:xfrm>
                            <a:off x="7620" y="509270"/>
                            <a:ext cx="23698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27"/>
                        <wps:cNvCnPr/>
                        <wps:spPr bwMode="auto">
                          <a:xfrm>
                            <a:off x="0" y="0"/>
                            <a:ext cx="0" cy="643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Rectangle 28"/>
                        <wps:cNvSpPr>
                          <a:spLocks noChangeArrowheads="1"/>
                        </wps:cNvSpPr>
                        <wps:spPr bwMode="auto">
                          <a:xfrm>
                            <a:off x="0" y="0"/>
                            <a:ext cx="7620" cy="643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Line 29"/>
                        <wps:cNvCnPr/>
                        <wps:spPr bwMode="auto">
                          <a:xfrm>
                            <a:off x="1403985" y="7620"/>
                            <a:ext cx="0" cy="636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Rectangle 30"/>
                        <wps:cNvSpPr>
                          <a:spLocks noChangeArrowheads="1"/>
                        </wps:cNvSpPr>
                        <wps:spPr bwMode="auto">
                          <a:xfrm>
                            <a:off x="1403985" y="7620"/>
                            <a:ext cx="7620" cy="636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31"/>
                        <wps:cNvCnPr/>
                        <wps:spPr bwMode="auto">
                          <a:xfrm>
                            <a:off x="7620" y="636270"/>
                            <a:ext cx="23698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Rectangle 32"/>
                        <wps:cNvSpPr>
                          <a:spLocks noChangeArrowheads="1"/>
                        </wps:cNvSpPr>
                        <wps:spPr bwMode="auto">
                          <a:xfrm>
                            <a:off x="7620" y="636270"/>
                            <a:ext cx="23698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Line 33"/>
                        <wps:cNvCnPr/>
                        <wps:spPr bwMode="auto">
                          <a:xfrm>
                            <a:off x="2369820" y="7620"/>
                            <a:ext cx="0" cy="636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Rectangle 34"/>
                        <wps:cNvSpPr>
                          <a:spLocks noChangeArrowheads="1"/>
                        </wps:cNvSpPr>
                        <wps:spPr bwMode="auto">
                          <a:xfrm>
                            <a:off x="2369820" y="7620"/>
                            <a:ext cx="7620" cy="636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Line 35"/>
                        <wps:cNvCnPr/>
                        <wps:spPr bwMode="auto">
                          <a:xfrm>
                            <a:off x="0" y="64389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85" name="Rectangle 36"/>
                        <wps:cNvSpPr>
                          <a:spLocks noChangeArrowheads="1"/>
                        </wps:cNvSpPr>
                        <wps:spPr bwMode="auto">
                          <a:xfrm>
                            <a:off x="0" y="643890"/>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Line 37"/>
                        <wps:cNvCnPr/>
                        <wps:spPr bwMode="auto">
                          <a:xfrm>
                            <a:off x="1403985" y="64389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87" name="Rectangle 38"/>
                        <wps:cNvSpPr>
                          <a:spLocks noChangeArrowheads="1"/>
                        </wps:cNvSpPr>
                        <wps:spPr bwMode="auto">
                          <a:xfrm>
                            <a:off x="1403985" y="643890"/>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Line 39"/>
                        <wps:cNvCnPr/>
                        <wps:spPr bwMode="auto">
                          <a:xfrm>
                            <a:off x="2369820" y="64389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89" name="Rectangle 40"/>
                        <wps:cNvSpPr>
                          <a:spLocks noChangeArrowheads="1"/>
                        </wps:cNvSpPr>
                        <wps:spPr bwMode="auto">
                          <a:xfrm>
                            <a:off x="2369820" y="643890"/>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Line 41"/>
                        <wps:cNvCnPr/>
                        <wps:spPr bwMode="auto">
                          <a:xfrm>
                            <a:off x="2377440"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91" name="Rectangle 42"/>
                        <wps:cNvSpPr>
                          <a:spLocks noChangeArrowheads="1"/>
                        </wps:cNvSpPr>
                        <wps:spPr bwMode="auto">
                          <a:xfrm>
                            <a:off x="2377440" y="0"/>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 name="Line 43"/>
                        <wps:cNvCnPr/>
                        <wps:spPr bwMode="auto">
                          <a:xfrm>
                            <a:off x="2377440" y="12700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993" name="Rectangle 44"/>
                        <wps:cNvSpPr>
                          <a:spLocks noChangeArrowheads="1"/>
                        </wps:cNvSpPr>
                        <wps:spPr bwMode="auto">
                          <a:xfrm>
                            <a:off x="2377440" y="127000"/>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4" name="Line 45"/>
                        <wps:cNvCnPr/>
                        <wps:spPr bwMode="auto">
                          <a:xfrm>
                            <a:off x="2377440" y="25463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995" name="Rectangle 46"/>
                        <wps:cNvSpPr>
                          <a:spLocks noChangeArrowheads="1"/>
                        </wps:cNvSpPr>
                        <wps:spPr bwMode="auto">
                          <a:xfrm>
                            <a:off x="2377440" y="254635"/>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6" name="Line 47"/>
                        <wps:cNvCnPr/>
                        <wps:spPr bwMode="auto">
                          <a:xfrm>
                            <a:off x="2377440" y="38163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997" name="Rectangle 48"/>
                        <wps:cNvSpPr>
                          <a:spLocks noChangeArrowheads="1"/>
                        </wps:cNvSpPr>
                        <wps:spPr bwMode="auto">
                          <a:xfrm>
                            <a:off x="2377440" y="381635"/>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8" name="Line 49"/>
                        <wps:cNvCnPr/>
                        <wps:spPr bwMode="auto">
                          <a:xfrm>
                            <a:off x="2377440" y="50927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999" name="Rectangle 50"/>
                        <wps:cNvSpPr>
                          <a:spLocks noChangeArrowheads="1"/>
                        </wps:cNvSpPr>
                        <wps:spPr bwMode="auto">
                          <a:xfrm>
                            <a:off x="2377440" y="509270"/>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 name="Line 51"/>
                        <wps:cNvCnPr/>
                        <wps:spPr bwMode="auto">
                          <a:xfrm>
                            <a:off x="2377440" y="63627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001" name="Rectangle 52"/>
                        <wps:cNvSpPr>
                          <a:spLocks noChangeArrowheads="1"/>
                        </wps:cNvSpPr>
                        <wps:spPr bwMode="auto">
                          <a:xfrm>
                            <a:off x="2377440" y="636270"/>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181" o:spid="_x0000_s1068" editas="canvas" style="width:191.45pt;height:50.75pt;mso-position-horizontal-relative:char;mso-position-vertical-relative:line" coordsize="24307,6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">
                <v:shape id="_x0000_s1069" type="#_x0000_t75" style="position:absolute;width:24307;height:6445;visibility:visible;mso-wrap-style:square">
                  <v:fill o:detectmouseclick="t"/>
                  <v:path o:connecttype="none"/>
                </v:shape>
                <v:rect id="Rectangle 5" o:spid="_x0000_s1070" style="position:absolute;left:228;top:76;width:1214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pAHMIA&#10;AADcAAAADwAAAGRycy9kb3ducmV2LnhtbESPzYoCMRCE7wu+Q2jB25rRg8yORhFBcGUvjj5AM+n5&#10;waQzJFlnfHsjLOyxqKqvqM1utEY8yIfOsYLFPANBXDndcaPgdj1+5iBCRNZoHJOCJwXYbScfGyy0&#10;G/hCjzI2IkE4FKigjbEvpAxVSxbD3PXEyaudtxiT9I3UHocEt0Yus2wlLXacFlrs6dBSdS9/rQJ5&#10;LY9DXhqfufOy/jHfp0tNTqnZdNyvQUQa43/4r33SCr7yBb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kAcwgAAANwAAAAPAAAAAAAAAAAAAAAAAJgCAABkcnMvZG93&#10;bnJldi54bWxQSwUGAAAAAAQABAD1AAAAhwMAAAAA&#10;" filled="f" stroked="f">
                  <v:textbox style="mso-fit-shape-to-text:t" inset="0,0,0,0">
                    <w:txbxContent>
                      <w:p w:rsidR="00236E18" w:rsidRPr="00176299" w:rsidRDefault="00236E18" w:rsidP="00236E18">
                        <w:r>
                          <w:rPr>
                            <w:color w:val="000000"/>
                            <w:sz w:val="16"/>
                            <w:szCs w:val="16"/>
                          </w:rPr>
                          <w:t>Nuevos Estados miembros</w:t>
                        </w:r>
                      </w:p>
                    </w:txbxContent>
                  </v:textbox>
                </v:rect>
                <v:rect id="Rectangle 6" o:spid="_x0000_s1071" style="position:absolute;left:228;top:1346;width:898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ea8IA&#10;AADcAAAADwAAAGRycy9kb3ducmV2LnhtbESP3WoCMRSE7wu+QziCdzXbvZDt1iilIKh449oHOGzO&#10;/tDkZEmiu769EYReDjPzDbPeTtaIG/nQO1bwscxAENdO99wq+L3s3gsQISJrNI5JwZ0CbDeztzWW&#10;2o18plsVW5EgHEpU0MU4lFKGuiOLYekG4uQ1zluMSfpWao9jglsj8yxbSYs9p4UOB/rpqP6rrlaB&#10;vFS7saiMz9wxb07msD835JRazKfvLxCRpvgffrX3WsFnkcP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SN5rwgAAANwAAAAPAAAAAAAAAAAAAAAAAJgCAABkcnMvZG93&#10;bnJldi54bWxQSwUGAAAAAAQABAD1AAAAhwMAAAAA&#10;" filled="f" stroked="f">
                  <v:textbox style="mso-fit-shape-to-text:t" inset="0,0,0,0">
                    <w:txbxContent>
                      <w:p w:rsidR="00236E18" w:rsidRPr="00176299" w:rsidRDefault="00236E18" w:rsidP="00236E18">
                        <w:r>
                          <w:rPr>
                            <w:color w:val="000000"/>
                            <w:sz w:val="16"/>
                            <w:szCs w:val="16"/>
                          </w:rPr>
                          <w:t>República de Corea</w:t>
                        </w:r>
                      </w:p>
                    </w:txbxContent>
                  </v:textbox>
                </v:rect>
                <v:rect id="Rectangle 7" o:spid="_x0000_s1072" style="position:absolute;left:17145;top:1346;width:604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236E18" w:rsidRDefault="00236E18" w:rsidP="00236E18">
                        <w:r>
                          <w:rPr>
                            <w:color w:val="000000"/>
                            <w:sz w:val="16"/>
                            <w:szCs w:val="16"/>
                          </w:rPr>
                          <w:t>Julio de 2014</w:t>
                        </w:r>
                      </w:p>
                    </w:txbxContent>
                  </v:textbox>
                </v:rect>
                <v:rect id="Rectangle 8" o:spid="_x0000_s1073" style="position:absolute;left:228;top:2622;width:276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236E18" w:rsidRDefault="00236E18" w:rsidP="00236E18">
                        <w:r>
                          <w:rPr>
                            <w:color w:val="000000"/>
                            <w:sz w:val="16"/>
                            <w:szCs w:val="16"/>
                          </w:rPr>
                          <w:t>Japón</w:t>
                        </w:r>
                      </w:p>
                    </w:txbxContent>
                  </v:textbox>
                </v:rect>
                <v:rect id="Rectangle 9" o:spid="_x0000_s1074" style="position:absolute;left:16744;top:2622;width:644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236E18" w:rsidRDefault="00236E18" w:rsidP="00236E18">
                        <w:r>
                          <w:rPr>
                            <w:color w:val="000000"/>
                            <w:sz w:val="16"/>
                            <w:szCs w:val="16"/>
                          </w:rPr>
                          <w:t>Mayo de 2015</w:t>
                        </w:r>
                      </w:p>
                    </w:txbxContent>
                  </v:textbox>
                </v:rect>
                <v:rect id="Rectangle 10" o:spid="_x0000_s1075" style="position:absolute;left:228;top:3892;width:1254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rsidR="00236E18" w:rsidRPr="00176299" w:rsidRDefault="00236E18" w:rsidP="00236E18">
                        <w:r>
                          <w:rPr>
                            <w:color w:val="000000"/>
                            <w:sz w:val="16"/>
                            <w:szCs w:val="16"/>
                          </w:rPr>
                          <w:t>Estados Unidos de América</w:t>
                        </w:r>
                      </w:p>
                    </w:txbxContent>
                  </v:textbox>
                </v:rect>
                <v:rect id="Rectangle 11" o:spid="_x0000_s1076" style="position:absolute;left:16744;top:3886;width:644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236E18" w:rsidRDefault="00236E18" w:rsidP="00236E18">
                        <w:r>
                          <w:rPr>
                            <w:color w:val="000000"/>
                            <w:sz w:val="16"/>
                            <w:szCs w:val="16"/>
                          </w:rPr>
                          <w:t>Mayo de 2015</w:t>
                        </w:r>
                      </w:p>
                    </w:txbxContent>
                  </v:textbox>
                </v:rect>
                <v:rect id="Rectangle 12" o:spid="_x0000_s1077" style="position:absolute;left:228;top:5168;width:266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rsidR="00236E18" w:rsidRDefault="00236E18" w:rsidP="00236E18">
                        <w:r>
                          <w:rPr>
                            <w:color w:val="000000"/>
                            <w:sz w:val="16"/>
                            <w:szCs w:val="16"/>
                          </w:rPr>
                          <w:t>China</w:t>
                        </w:r>
                      </w:p>
                    </w:txbxContent>
                  </v:textbox>
                </v:rect>
                <v:rect id="Rectangle 13" o:spid="_x0000_s1078" style="position:absolute;left:20929;top:5168;width:226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236E18" w:rsidRDefault="00236E18" w:rsidP="00236E18">
                        <w:r>
                          <w:rPr>
                            <w:color w:val="000000"/>
                            <w:sz w:val="16"/>
                            <w:szCs w:val="16"/>
                          </w:rPr>
                          <w:t>2018</w:t>
                        </w:r>
                      </w:p>
                    </w:txbxContent>
                  </v:textbox>
                </v:rect>
                <v:rect id="Rectangle 14" o:spid="_x0000_s1079" style="position:absolute;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mfcMA&#10;AADbAAAADwAAAGRycy9kb3ducmV2LnhtbESPQWsCMRSE74L/ITyhN83qQWVrFBVaCgVBrdLjY/O6&#10;CW5elk2qu//eCILHYWa+YRar1lXiSk2wnhWMRxkI4sJry6WCn+PHcA4iRGSNlWdS0FGA1bLfW2Cu&#10;/Y33dD3EUiQIhxwVmBjrXMpQGHIYRr4mTt6fbxzGJJtS6gZvCe4qOcmyqXRoOS0YrGlrqLgc/p2C&#10;7+5sT1M9xtPvedeZ2efGumyv1NugXb+DiNTGV/jZ/tIK5hN4fEk/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umfcMAAADbAAAADwAAAAAAAAAAAAAAAACYAgAAZHJzL2Rv&#10;d25yZXYueG1sUEsFBgAAAAAEAAQA9QAAAIgDAAAAAA==&#10;" fillcolor="#dadcdd" stroked="f"/>
                <v:rect id="Rectangle 15" o:spid="_x0000_s1080" style="position:absolute;left:14039;width:77;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cD5sMA&#10;AADbAAAADwAAAGRycy9kb3ducmV2LnhtbESP3WoCMRSE7wu+QzhC72rWClZWo2hBKRQK/uLlYXPc&#10;BDcnyybq7ts3hYKXw8x8w8wWravEnZpgPSsYDjIQxIXXlksFh/36bQIiRGSNlWdS0FGAxbz3MsNc&#10;+wdv6b6LpUgQDjkqMDHWuZShMOQwDHxNnLyLbxzGJJtS6gYfCe4q+Z5lY+nQclowWNOnoeK6uzkF&#10;393JHsd6iMfz6aczH5uVddlWqdd+u5yCiNTGZ/i//aUVTEbw9yX9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cD5sMAAADbAAAADwAAAAAAAAAAAAAAAACYAgAAZHJzL2Rv&#10;d25yZXYueG1sUEsFBgAAAAAEAAQA9QAAAIgDAAAAAA==&#10;" fillcolor="#dadcdd" stroked="f"/>
                <v:line id="Line 16" o:spid="_x0000_s1081" style="position:absolute;visibility:visible;mso-wrap-style:square" from="76,0" to="23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YerMMAAADbAAAADwAAAGRycy9kb3ducmV2LnhtbESPQWvCQBSE74X+h+UVetONpWqMrlJK&#10;RXvTqODxkX0mi9m3Ibtq/PduQehxmJlvmNmis7W4UuuNYwWDfgKCuHDacKlgv1v2UhA+IGusHZOC&#10;O3lYzF9fZphpd+MtXfNQighhn6GCKoQmk9IXFVn0fdcQR+/kWoshyraUusVbhNtafiTJSFo0HBcq&#10;bOi7ouKcX6wCsxmthr/jw+Qgf1ZhcEzPqbF7pd7fuq8piEBd+A8/22utIP2Evy/xB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2HqzDAAAA2wAAAA8AAAAAAAAAAAAA&#10;AAAAoQIAAGRycy9kb3ducmV2LnhtbFBLBQYAAAAABAAEAPkAAACRAwAAAAA=&#10;" strokeweight="0"/>
                <v:rect id="Rectangle 17" o:spid="_x0000_s1082" style="position:absolute;left:76;width:2369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v:rect id="Rectangle 18" o:spid="_x0000_s1083" style="position:absolute;left:23698;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CgfsMA&#10;AADbAAAADwAAAGRycy9kb3ducmV2LnhtbESPQWsCMRSE7wX/Q3hCbzVrD1tZjaKCRSgI2ioeH5vn&#10;Jrh5WTZRd/+9KRR6HGbmG2a26Fwt7tQG61nBeJSBIC69tlwp+PnevE1AhIissfZMCnoKsJgPXmZY&#10;aP/gPd0PsRIJwqFABSbGppAylIYchpFviJN38a3DmGRbSd3iI8FdLd+zLJcOLacFgw2tDZXXw80p&#10;+OpP9pjrMR7Pp11vPj5X1mV7pV6H3XIKIlIX/8N/7a1WMMnh90v6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CgfsMAAADbAAAADwAAAAAAAAAAAAAAAACYAgAAZHJzL2Rv&#10;d25yZXYueG1sUEsFBgAAAAAEAAQA9QAAAIgDAAAAAA==&#10;" fillcolor="#dadcdd" stroked="f"/>
                <v:line id="Line 19" o:spid="_x0000_s1084" style="position:absolute;visibility:visible;mso-wrap-style:square" from="76,1270" to="23774,1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SA28IAAADbAAAADwAAAGRycy9kb3ducmV2LnhtbESPQYvCMBSE74L/IbwFb5oqrHarUUR2&#10;UW/qKnh8NG/bYPNSmqzWf28EweMwM98ws0VrK3GlxhvHCoaDBARx7rThQsHx96efgvABWWPlmBTc&#10;ycNi3u3MMNPuxnu6HkIhIoR9hgrKEOpMSp+XZNEPXE0cvT/XWAxRNoXUDd4i3FZylCRjadFwXCix&#10;plVJ+eXwbxWY3Xj9uZ2cvk7yex2G5/SSGntUqvfRLqcgArXhHX61N1pBOoHnl/gD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SA28IAAADbAAAADwAAAAAAAAAAAAAA&#10;AAChAgAAZHJzL2Rvd25yZXYueG1sUEsFBgAAAAAEAAQA+QAAAJADAAAAAA==&#10;" strokeweight="0"/>
                <v:rect id="Rectangle 20" o:spid="_x0000_s1085" style="position:absolute;left:76;top:1270;width:2369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O348IA&#10;AADbAAAADwAAAGRycy9kb3ducmV2LnhtbERPy4rCMBTdD/gP4QruxlRxhlqNooIwmwFfC91dm2tb&#10;bG5qktHOfL1ZDLg8nPd03ppa3Mn5yrKCQT8BQZxbXXGh4LBfv6cgfEDWWFsmBb/kYT7rvE0x0/bB&#10;W7rvQiFiCPsMFZQhNJmUPi/JoO/bhjhyF+sMhghdIbXDRww3tRwmyac0WHFsKLGhVUn5dfdjFCzH&#10;6fK2GfH33/Z8otPxfP0Y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7fjwgAAANsAAAAPAAAAAAAAAAAAAAAAAJgCAABkcnMvZG93&#10;bnJldi54bWxQSwUGAAAAAAQABAD1AAAAhwMAAAAA&#10;" fillcolor="black" stroked="f"/>
                <v:line id="Line 21" o:spid="_x0000_s1086" style="position:absolute;visibility:visible;mso-wrap-style:square" from="76,2546" to="23774,2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exMsQAAADbAAAADwAAAGRycy9kb3ducmV2LnhtbESPQWvCQBSE7wX/w/KE3urGQm0SXUWk&#10;kvbWRgWPj+wzWcy+DdnVpP++Wyj0OMzMN8xqM9pW3Kn3xrGC+SwBQVw5bbhWcDzsn1IQPiBrbB2T&#10;gm/ysFlPHlaYazfwF93LUIsIYZ+jgiaELpfSVw1Z9DPXEUfv4nqLIcq+lrrHIcJtK5+TZCEtGo4L&#10;DXa0a6i6ljerwHwuipeP11N2km9FmJ/Ta2rsUanH6bhdggg0hv/wX/tdK0gz+P0Sf4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t7EyxAAAANsAAAAPAAAAAAAAAAAA&#10;AAAAAKECAABkcnMvZG93bnJldi54bWxQSwUGAAAAAAQABAD5AAAAkgMAAAAA&#10;" strokeweight="0"/>
                <v:rect id="Rectangle 22" o:spid="_x0000_s1087" style="position:absolute;left:76;top:2546;width:2369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wtOMMA&#10;AADbAAAADwAAAGRycy9kb3ducmV2LnhtbERPz2vCMBS+C/sfwhvspqkyh3amMgcDL8Lsdpi3Z/Ns&#10;S5uXLom2+tcvh4HHj+/3aj2YVlzI+dqygukkAUFcWF1zqeD762O8AOEDssbWMim4kod19jBaYapt&#10;z3u65KEUMYR9igqqELpUSl9UZNBPbEccuZN1BkOErpTaYR/DTStnSfIiDdYcGyrs6L2iosnPRsFm&#10;udj8fj7z7rY/Hujwc2zmM5co9fQ4vL2CCDSEu/jfvdUKlnF9/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wtOMMAAADbAAAADwAAAAAAAAAAAAAAAACYAgAAZHJzL2Rv&#10;d25yZXYueG1sUEsFBgAAAAAEAAQA9QAAAIgDAAAAAA==&#10;" fillcolor="black" stroked="f"/>
                <v:line id="Line 23" o:spid="_x0000_s1088" style="position:absolute;visibility:visible;mso-wrap-style:square" from="76,3816" to="23774,3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q1nsQAAADbAAAADwAAAGRycy9kb3ducmV2LnhtbESPQWvCQBSE7wX/w/IKvdWNQm2SuoqI&#10;kvZWo0KPj+xrsph9G7KrSf99t1DwOMzMN8xyPdpW3Kj3xrGC2TQBQVw5bbhWcDrun1MQPiBrbB2T&#10;gh/ysF5NHpaYazfwgW5lqEWEsM9RQRNCl0vpq4Ys+qnriKP37XqLIcq+lrrHIcJtK+dJspAWDceF&#10;BjvaNlRdyqtVYD4XxcvH6zk7y10RZl/pJTX2pNTT47h5AxFoDPfwf/tdK8jm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rWexAAAANsAAAAPAAAAAAAAAAAA&#10;AAAAAKECAABkcnMvZG93bnJldi54bWxQSwUGAAAAAAQABAD5AAAAkgMAAAAA&#10;" strokeweight="0"/>
                <v:rect id="Rectangle 24" o:spid="_x0000_s1089" style="position:absolute;left:76;top:3816;width:2369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zT8UA&#10;AADbAAAADwAAAGRycy9kb3ducmV2LnhtbESPT2sCMRTE74V+h/AK3mq2WkVXo1RB8CLUPwe9PTev&#10;u4ubl20SdeunbwTB4zAzv2HG08ZU4kLOl5YVfLQTEMSZ1SXnCnbbxfsAhA/IGivLpOCPPEwnry9j&#10;TLW98poum5CLCGGfooIihDqV0mcFGfRtWxNH78c6gyFKl0vt8BrhppKdJOlLgyXHhQJrmheUnTZn&#10;o2A2HMx+vz95dVsfD3TYH0+9jkuUar01XyMQgZrwDD/aS61g2IX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rNPxQAAANsAAAAPAAAAAAAAAAAAAAAAAJgCAABkcnMv&#10;ZG93bnJldi54bWxQSwUGAAAAAAQABAD1AAAAigMAAAAA&#10;" fillcolor="black" stroked="f"/>
                <v:line id="Line 25" o:spid="_x0000_s1090" style="position:absolute;visibility:visible;mso-wrap-style:square" from="76,5092" to="23774,5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IccQAAADbAAAADwAAAGRycy9kb3ducmV2LnhtbESPQWvCQBSE70L/w/IKvenGUm2MrlJK&#10;i3qzUcHjI/tMFrNvQ3ar8d+7guBxmJlvmNmis7U4U+uNYwXDQQKCuHDacKlgt/3tpyB8QNZYOyYF&#10;V/KwmL/0Zphpd+E/OuehFBHCPkMFVQhNJqUvKrLoB64hjt7RtRZDlG0pdYuXCLe1fE+SsbRoOC5U&#10;2NB3RcUp/7cKzGa8HK0/95O9/FmG4SE9pcbulHp77b6mIAJ14Rl+tFdaweQD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b4hxxAAAANsAAAAPAAAAAAAAAAAA&#10;AAAAAKECAABkcnMvZG93bnJldi54bWxQSwUGAAAAAAQABAD5AAAAkgMAAAAA&#10;" strokeweight="0"/>
                <v:rect id="Rectangle 26" o:spid="_x0000_s1091" style="position:absolute;left:76;top:5092;width:2369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VlscA&#10;AADcAAAADwAAAGRycy9kb3ducmV2LnhtbESPQU/CQBCF7yb+h82YeJOtKAZqFyImJF5MAD3Abdod&#10;24bubN1doPrrnQOJt5m8N+99UywG16kThdh6NnA/ykARV962XBv4/FjdTUHFhGyx80wGfijCYn59&#10;VWBu/Zk3dNqmWkkIxxwNNCn1udaxashhHPmeWLQvHxwmWUOtbcCzhLtOj7PsSTtsWRoa7Om1oeqw&#10;PToDy9l0+b1+5PffTbmn/a48TMYhM+b2Znh5BpVoSP/my/WbFfwHoZV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3lZbHAAAA3AAAAA8AAAAAAAAAAAAAAAAAmAIAAGRy&#10;cy9kb3ducmV2LnhtbFBLBQYAAAAABAAEAPUAAACMAwAAAAA=&#10;" fillcolor="black" stroked="f"/>
                <v:line id="Line 27" o:spid="_x0000_s1092" style="position:absolute;visibility:visible;mso-wrap-style:square" from="0,0" to="0,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Bi28IAAADcAAAADwAAAGRycy9kb3ducmV2LnhtbERPTWvCQBC9C/0PyxR6001Ka2N0lSKK&#10;9qZWweOQHZPF7GzIrpr+e7cgeJvH+5zJrLO1uFLrjWMF6SABQVw4bbhUsP9d9jMQPiBrrB2Tgj/y&#10;MJu+9CaYa3fjLV13oRQxhH2OCqoQmlxKX1Rk0Q9cQxy5k2sthgjbUuoWbzHc1vI9SYbSouHYUGFD&#10;84qK8+5iFZjNcPX583UYHeRiFdJjds6M3Sv19tp9j0EE6sJT/HCvdZz/kcL/M/EC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6Bi28IAAADcAAAADwAAAAAAAAAAAAAA&#10;AAChAgAAZHJzL2Rvd25yZXYueG1sUEsFBgAAAAAEAAQA+QAAAJADAAAAAA==&#10;" strokeweight="0"/>
                <v:rect id="Rectangle 28" o:spid="_x0000_s1093" style="position:absolute;width:76;height:6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yNYcQA&#10;AADcAAAADwAAAGRycy9kb3ducmV2LnhtbERPS2vCQBC+F/wPyxS81U2DFZu6ES0IXgRfh3obs9Mk&#10;JDub7q6a9te7hUJv8/E9ZzbvTSuu5HxtWcHzKAFBXFhdc6ngeFg9TUH4gKyxtUwKvsnDPB88zDDT&#10;9sY7uu5DKWII+wwVVCF0mZS+qMigH9mOOHKf1hkMEbpSaoe3GG5amSbJRBqsOTZU2NF7RUWzvxgF&#10;y9fp8ms75s3P7nyi08e5eUldotTwsV+8gQjUh3/xn3ut4/xJC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sjWHEAAAA3AAAAA8AAAAAAAAAAAAAAAAAmAIAAGRycy9k&#10;b3ducmV2LnhtbFBLBQYAAAAABAAEAPUAAACJAwAAAAA=&#10;" fillcolor="black" stroked="f"/>
                <v:line id="Line 29" o:spid="_x0000_s1094" style="position:absolute;visibility:visible;mso-wrap-style:square" from="14039,76" to="14039,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KdI8MAAADcAAAADwAAAGRycy9kb3ducmV2LnhtbERPS2vCQBC+F/oflin0phuljWnqGkQU&#10;7a31AT0O2WmymJ0N2TWm/94tCL3Nx/eceTHYRvTUeeNYwWScgCAunTZcKTgeNqMMhA/IGhvHpOCX&#10;PBSLx4c55tpd+Yv6fahEDGGfo4I6hDaX0pc1WfRj1xJH7sd1FkOEXSV1h9cYbhs5TZJUWjQcG2ps&#10;aVVTed5frALzmW5fP2ant5Ncb8PkOztnxh6Ven4alu8gAg3hX3x373Scn77A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inSPDAAAA3AAAAA8AAAAAAAAAAAAA&#10;AAAAoQIAAGRycy9kb3ducmV2LnhtbFBLBQYAAAAABAAEAPkAAACRAwAAAAA=&#10;" strokeweight="0"/>
                <v:rect id="Rectangle 30" o:spid="_x0000_s1095" style="position:absolute;left:14039;top:76;width:77;height:6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eLYsQA&#10;AADcAAAADwAAAGRycy9kb3ducmV2LnhtbERPS2vCQBC+F/wPyxR6q5uKDRrdiBaEXgq+Dnobs2MS&#10;kp1Nd7ea9te7hUJv8/E9Z77oTSuu5HxtWcHLMAFBXFhdc6ngsF8/T0D4gKyxtUwKvsnDIh88zDHT&#10;9sZbuu5CKWII+wwVVCF0mZS+qMigH9qOOHIX6wyGCF0ptcNbDDetHCVJKg3WHBsq7OitoqLZfRkF&#10;q+lk9bkZ88fP9nyi0/HcvI5cotTTY7+cgQjUh3/xn/tdx/lpC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Xi2LEAAAA3AAAAA8AAAAAAAAAAAAAAAAAmAIAAGRycy9k&#10;b3ducmV2LnhtbFBLBQYAAAAABAAEAPUAAACJAwAAAAA=&#10;" fillcolor="black" stroked="f"/>
                <v:line id="Line 31" o:spid="_x0000_s1096" style="position:absolute;visibility:visible;mso-wrap-style:square" from="76,6362" to="23774,6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ADVMMAAADcAAAADwAAAGRycy9kb3ducmV2LnhtbERPS2vCQBC+F/wPywi91Y2CMUY3IlKx&#10;vbU+wOOQHZMl2dmQ3Wr677uFQm/z8T1nvRlsK+7Ue+NYwXSSgCAunTZcKTif9i8ZCB+QNbaOScE3&#10;edgUo6c15to9+JPux1CJGMI+RwV1CF0upS9rsugnriOO3M31FkOEfSV1j48Ybls5S5JUWjQcG2rs&#10;aFdT2Ry/rALzkR7m74vL8iJfD2F6zZrM2LNSz+NhuwIRaAj/4j/3m47z0wX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wA1TDAAAA3AAAAA8AAAAAAAAAAAAA&#10;AAAAoQIAAGRycy9kb3ducmV2LnhtbFBLBQYAAAAABAAEAPkAAACRAwAAAAA=&#10;" strokeweight="0"/>
                <v:rect id="Rectangle 32" o:spid="_x0000_s1097" style="position:absolute;left:76;top:6362;width:2369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17MQA&#10;AADcAAAADwAAAGRycy9kb3ducmV2LnhtbERPS2sCMRC+C/6HMEJvmlXasq5GUUHopVAfB72Nm3F3&#10;cTNZk1RXf31TKPQ2H99zpvPW1OJGzleWFQwHCQji3OqKCwX73bqfgvABWWNtmRQ8yMN81u1MMdP2&#10;zhu6bUMhYgj7DBWUITSZlD4vyaAf2IY4cmfrDIYIXSG1w3sMN7UcJcm7NFhxbCixoVVJ+WX7bRQs&#10;x+ny+vXKn8/N6UjHw+nyNnKJUi+9djEBEagN/+I/94eO89Mh/D4TL5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y9ezEAAAA3AAAAA8AAAAAAAAAAAAAAAAAmAIAAGRycy9k&#10;b3ducmV2LnhtbFBLBQYAAAAABAAEAPUAAACJAwAAAAA=&#10;" fillcolor="black" stroked="f"/>
                <v:line id="Line 33" o:spid="_x0000_s1098" style="position:absolute;visibility:visible;mso-wrap-style:square" from="23698,76" to="23698,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GNsMAAADcAAAADwAAAGRycy9kb3ducmV2LnhtbERPTWvCQBC9F/wPywi9NRuFpjG6iogl&#10;7a2NCh6H7JgsZmdDdqvpv+8WCr3N433OajPaTtxo8MaxglmSgiCunTbcKDgeXp9yED4ga+wck4Jv&#10;8rBZTx5WWGh350+6VaERMYR9gQraEPpCSl+3ZNEnrieO3MUNFkOEQyP1gPcYbjs5T9NMWjQcG1rs&#10;addSfa2+rALzkZXP7y+nxUnuyzA759fc2KNSj9NxuwQRaAz/4j/3m47z8zn8PhMv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LRjbDAAAA3AAAAA8AAAAAAAAAAAAA&#10;AAAAoQIAAGRycy9kb3ducmV2LnhtbFBLBQYAAAAABAAEAPkAAACRAwAAAAA=&#10;" strokeweight="0"/>
                <v:rect id="Rectangle 34" o:spid="_x0000_s1099" style="position:absolute;left:23698;top:76;width:76;height:6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zOAMQA&#10;AADcAAAADwAAAGRycy9kb3ducmV2LnhtbERPTWsCMRC9F/ofwhS81Wy1lnU1igqCF6FaD3obN9Pd&#10;xc1kTaJu/fVNQehtHu9zxtPW1OJKzleWFbx1ExDEudUVFwp2X8vXFIQPyBpry6TghzxMJ89PY8y0&#10;vfGGrttQiBjCPkMFZQhNJqXPSzLou7Yhjty3dQZDhK6Q2uEthpta9pLkQxqsODaU2NCipPy0vRgF&#10;82E6P3++8/q+OR7osD+eBj2XKNV5aWcjEIHa8C9+uFc6zk/78PdMvEB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szgDEAAAA3AAAAA8AAAAAAAAAAAAAAAAAmAIAAGRycy9k&#10;b3ducmV2LnhtbFBLBQYAAAAABAAEAPUAAACJAwAAAAA=&#10;" fillcolor="black" stroked="f"/>
                <v:line id="Line 35" o:spid="_x0000_s1100" style="position:absolute;visibility:visible;mso-wrap-style:square" from="0,6438" to="6,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G58MAAADcAAAADwAAAGRycy9kb3ducmV2LnhtbERPS2vCQBC+C/0PyxS8iNn4oIToKiUi&#10;9NBDTStex+yYxGZnQ3bV+O+7gtDbfHzPWa5704grda62rGASxSCIC6trLhX8fG/HCQjnkTU2lknB&#10;nRysVy+DJaba3nhH19yXIoSwS1FB5X2bSumKigy6yLbEgTvZzqAPsCul7vAWwk0jp3H8Jg3WHBoq&#10;bCmrqPjNL0bB6JCMZrjPz9mknGZ0/vo8bnZOqeFr/74A4an3/+Kn+0OH+ckcHs+EC+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P/RufDAAAA3AAAAA8AAAAAAAAAAAAA&#10;AAAAoQIAAGRycy9kb3ducmV2LnhtbFBLBQYAAAAABAAEAPkAAACRAwAAAAA=&#10;" strokecolor="#dadcdd" strokeweight="0"/>
                <v:rect id="Rectangle 36" o:spid="_x0000_s1101" style="position:absolute;top:6438;width:76;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RYr8IA&#10;AADcAAAADwAAAGRycy9kb3ducmV2LnhtbERP22oCMRB9L/gPYYS+1awFraxG0YJSKBS84uOwGTfB&#10;zWTZRN39+6ZQ8G0O5zqzResqcacmWM8KhoMMBHHhteVSwWG/fpuACBFZY+WZFHQUYDHvvcww1/7B&#10;W7rvYilSCIccFZgY61zKUBhyGAa+Jk7cxTcOY4JNKXWDjxTuKvmeZWPp0HJqMFjTp6Hiurs5Bd/d&#10;yR7HeojH8+mnMx+blXXZVqnXfrucgojUxqf43/2l0/zJCP6eSR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JFivwgAAANwAAAAPAAAAAAAAAAAAAAAAAJgCAABkcnMvZG93&#10;bnJldi54bWxQSwUGAAAAAAQABAD1AAAAhwMAAAAA&#10;" fillcolor="#dadcdd" stroked="f"/>
                <v:line id="Line 37" o:spid="_x0000_s1102" style="position:absolute;visibility:visible;mso-wrap-style:square" from="14039,6438" to="14046,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F9C8QAAADcAAAADwAAAGRycy9kb3ducmV2LnhtbERPTWvCQBC9C/6HZYRegtloIYQ0q0hK&#10;oYcealrxOmanSTQ7G7JbTf99t1DwNo/3OcV2Mr240ug6ywpWcQKCuLa640bB58fLMgPhPLLG3jIp&#10;+CEH2818VmCu7Y33dK18I0IIuxwVtN4PuZSubsmgi+1AHLgvOxr0AY6N1CPeQrjp5TpJUmmw49DQ&#10;4kBlS/Wl+jYKomMWPeKhOperZl3S+f3t9Lx3Sj0spt0TCE+Tv4v/3a86zM9S+HsmXC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YX0LxAAAANwAAAAPAAAAAAAAAAAA&#10;AAAAAKECAABkcnMvZG93bnJldi54bWxQSwUGAAAAAAQABAD5AAAAkgMAAAAA&#10;" strokecolor="#dadcdd" strokeweight="0"/>
                <v:rect id="Rectangle 38" o:spid="_x0000_s1103" style="position:absolute;left:14039;top:6438;width:77;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pjQ8IA&#10;AADcAAAADwAAAGRycy9kb3ducmV2LnhtbERP32vCMBB+H+x/CCfsbabdg0pnLDqYDISBOmWPR3Nr&#10;gs2lNFHb/94MBN/u4/t587J3jbhQF6xnBfk4A0FceW25VvCz/3ydgQgRWWPjmRQMFKBcPD/NsdD+&#10;ylu67GItUgiHAhWYGNtCylAZchjGviVO3J/vHMYEu1rqDq8p3DXyLcsm0qHl1GCwpQ9D1Wl3dgo2&#10;w9EeJjrHw+/xezDT9cq6bKvUy6hfvoOI1MeH+O7+0mn+bAr/z6QL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umNDwgAAANwAAAAPAAAAAAAAAAAAAAAAAJgCAABkcnMvZG93&#10;bnJldi54bWxQSwUGAAAAAAQABAD1AAAAhwMAAAAA&#10;" fillcolor="#dadcdd" stroked="f"/>
                <v:line id="Line 39" o:spid="_x0000_s1104" style="position:absolute;visibility:visible;mso-wrap-style:square" from="23698,6438" to="23704,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JM4sYAAADcAAAADwAAAGRycy9kb3ducmV2LnhtbESPQWvCQBCF7wX/wzKCF9GNCiVEVykp&#10;BQ8eatrS65gdk9jsbMiumv5751DobYb35r1vNrvBtepGfWg8G1jME1DEpbcNVwY+P95mKagQkS22&#10;nsnALwXYbUdPG8ysv/ORbkWslIRwyNBAHWOXaR3KmhyGue+IRTv73mGUta+07fEu4a7VyyR51g4b&#10;loYaO8prKn+KqzMw/U6nK/wqLvmiWuZ0eT+cXo/BmMl4eFmDijTEf/Pf9d4Kfiq08oxMoL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yTOLGAAAA3AAAAA8AAAAAAAAA&#10;AAAAAAAAoQIAAGRycy9kb3ducmV2LnhtbFBLBQYAAAAABAAEAPkAAACUAwAAAAA=&#10;" strokecolor="#dadcdd" strokeweight="0"/>
                <v:rect id="Rectangle 40" o:spid="_x0000_s1105" style="position:absolute;left:23698;top:6438;width:76;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SqsIA&#10;AADcAAAADwAAAGRycy9kb3ducmV2LnhtbERPTWsCMRC9F/wPYYTealYPalejVMFSEARtlR6HzbgJ&#10;3UyWTaq7/94Igrd5vM+ZL1tXiQs1wXpWMBxkIIgLry2XCn6+N29TECEia6w8k4KOAiwXvZc55tpf&#10;eU+XQyxFCuGQowITY51LGQpDDsPA18SJO/vGYUywKaVu8JrCXSVHWTaWDi2nBoM1rQ0Vf4d/p2Db&#10;nexxrId4/D3tOjP5XFmX7ZV67bcfMxCR2vgUP9xfOs2fvsP9mXSB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VKqwgAAANwAAAAPAAAAAAAAAAAAAAAAAJgCAABkcnMvZG93&#10;bnJldi54bWxQSwUGAAAAAAQABAD1AAAAhwMAAAAA&#10;" fillcolor="#dadcdd" stroked="f"/>
                <v:line id="Line 41" o:spid="_x0000_s1106" style="position:absolute;visibility:visible;mso-wrap-style:square" from="23774,0" to="237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3WOcYAAADcAAAADwAAAGRycy9kb3ducmV2LnhtbESPQWvCQBCF7wX/wzKCF6kbLRSbuopE&#10;BA891GjpdZqdJrHZ2ZBdNf5751DwNsN78943i1XvGnWhLtSeDUwnCSjiwtuaSwPHw/Z5DipEZIuN&#10;ZzJwowCr5eBpgan1V97TJY+lkhAOKRqoYmxTrUNRkcMw8S2xaL++cxhl7UptO7xKuGv0LEletcOa&#10;paHClrKKir/87AyMv+fjF/zKT9m0nGV0+vz42eyDMaNhv34HFamPD/P/9c4K/pvgyzMygV7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d1jnGAAAA3AAAAA8AAAAAAAAA&#10;AAAAAAAAoQIAAGRycy9kb3ducmV2LnhtbFBLBQYAAAAABAAEAPkAAACUAwAAAAA=&#10;" strokecolor="#dadcdd" strokeweight="0"/>
                <v:rect id="Rectangle 42" o:spid="_x0000_s1107" style="position:absolute;left:23774;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IccIA&#10;AADcAAAADwAAAGRycy9kb3ducmV2LnhtbERPTWsCMRC9C/6HMEJvmt0ebLs1ihZaBEFQq/Q4bMZN&#10;cDNZNqnu/vtGKHibx/uc2aJztbhSG6xnBfkkA0Fcem25UvB9+By/gggRWWPtmRT0FGAxHw5mWGh/&#10;4x1d97ESKYRDgQpMjE0hZSgNOQwT3xAn7uxbhzHBtpK6xVsKd7V8zrKpdGg5NRhs6MNQedn/OgWb&#10;/mSPU53j8ee07c3L18q6bKfU06hbvoOI1MWH+N+91mn+Ww73Z9IF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xshxwgAAANwAAAAPAAAAAAAAAAAAAAAAAJgCAABkcnMvZG93&#10;bnJldi54bWxQSwUGAAAAAAQABAD1AAAAhwMAAAAA&#10;" fillcolor="#dadcdd" stroked="f"/>
                <v:line id="Line 43" o:spid="_x0000_s1108" style="position:absolute;visibility:visible;mso-wrap-style:square" from="23774,1270" to="23780,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205sUAAADcAAAADwAAAGRycy9kb3ducmV2LnhtbESPQWvCQBSE74L/YXlCL6IbI4hGV5GU&#10;Qg89aFrx+sw+k2j2bchuNf57t1DwOMzMN8xq05la3Kh1lWUFk3EEgji3uuJCwc/3x2gOwnlkjbVl&#10;UvAgB5t1v7fCRNs77+mW+UIECLsEFZTeN4mULi/JoBvbhjh4Z9sa9EG2hdQt3gPc1DKOopk0WHFY&#10;KLGhtKT8mv0aBcPjfDjFQ3ZJJ0Wc0mX3dXrfO6XeBt12CcJT51/h//anVrBYxPB3JhwBu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205sUAAADcAAAADwAAAAAAAAAA&#10;AAAAAAChAgAAZHJzL2Rvd25yZXYueG1sUEsFBgAAAAAEAAQA+QAAAJMDAAAAAA==&#10;" strokecolor="#dadcdd" strokeweight="0"/>
                <v:rect id="Rectangle 44" o:spid="_x0000_s1109" style="position:absolute;left:23774;top:1270;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aqrsUA&#10;AADcAAAADwAAAGRycy9kb3ducmV2LnhtbESP3WoCMRSE7wu+QzhC72rWCrauRtGCpVAQ/MXLw+a4&#10;CW5Olk2qu2/fCIVeDjPzDTNbtK4SN2qC9axgOMhAEBdeWy4VHPbrl3cQISJrrDyTgo4CLOa9pxnm&#10;2t95S7ddLEWCcMhRgYmxzqUMhSGHYeBr4uRdfOMwJtmUUjd4T3BXydcsG0uHltOCwZo+DBXX3Y9T&#10;8N2d7HGsh3g8nzadeftcWZdtlXrut8spiEht/A//tb+0gslkBI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RqquxQAAANwAAAAPAAAAAAAAAAAAAAAAAJgCAABkcnMv&#10;ZG93bnJldi54bWxQSwUGAAAAAAQABAD1AAAAigMAAAAA&#10;" fillcolor="#dadcdd" stroked="f"/>
                <v:line id="Line 45" o:spid="_x0000_s1110" style="position:absolute;visibility:visible;mso-wrap-style:square" from="23774,2546" to="23780,2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iJCcYAAADcAAAADwAAAGRycy9kb3ducmV2LnhtbESPT2vCQBTE74V+h+UVvIhu1FI0ZpWS&#10;InjwUFPF6zP7mj/Nvg3ZVeO37wqFHoeZ+Q2TrHvTiCt1rrKsYDKOQBDnVldcKDh8bUZzEM4ja2ws&#10;k4I7OVivnp8SjLW98Z6umS9EgLCLUUHpfRtL6fKSDLqxbYmD9207gz7IrpC6w1uAm0ZOo+hNGqw4&#10;LJTYUlpS/pNdjILhaT6c4TGr00kxTan+3J0/9k6pwUv/vgThqff/4b/2VitYLF7hcSYc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4iQnGAAAA3AAAAA8AAAAAAAAA&#10;AAAAAAAAoQIAAGRycy9kb3ducmV2LnhtbFBLBQYAAAAABAAEAPkAAACUAwAAAAA=&#10;" strokecolor="#dadcdd" strokeweight="0"/>
                <v:rect id="Rectangle 46" o:spid="_x0000_s1111" style="position:absolute;left:23774;top:2546;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XQcUA&#10;AADcAAAADwAAAGRycy9kb3ducmV2LnhtbESP3WoCMRSE7wu+QzhC72rWgrauRtGCpVAQ/MXLw+a4&#10;CW5Olk2qu2/fCIVeDjPzDTNbtK4SN2qC9axgOMhAEBdeWy4VHPbrl3cQISJrrDyTgo4CLOa9pxnm&#10;2t95S7ddLEWCcMhRgYmxzqUMhSGHYeBr4uRdfOMwJtmUUjd4T3BXydcsG0uHltOCwZo+DBXX3Y9T&#10;8N2d7HGsh3g8nzadeftcWZdtlXrut8spiEht/A//tb+0gslkBI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45dBxQAAANwAAAAPAAAAAAAAAAAAAAAAAJgCAABkcnMv&#10;ZG93bnJldi54bWxQSwUGAAAAAAQABAD1AAAAigMAAAAA&#10;" fillcolor="#dadcdd" stroked="f"/>
                <v:line id="Line 47" o:spid="_x0000_s1112" style="position:absolute;visibility:visible;mso-wrap-style:square" from="23774,3816" to="23780,3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ay5cUAAADcAAAADwAAAGRycy9kb3ducmV2LnhtbESPQYvCMBSE74L/ITzBi2iqgmg1ytJF&#10;8OBB6y5en83btm7zUpqo3X+/EQSPw8x8w6w2ranEnRpXWlYwHkUgiDOrS84VfJ22wzkI55E1VpZJ&#10;wR852Ky7nRXG2j74SPfU5yJA2MWooPC+jqV0WUEG3cjWxMH7sY1BH2STS93gI8BNJSdRNJMGSw4L&#10;BdaUFJT9pjejYHCeD6b4nV6TcT5J6HrYXz6PTql+r/1YgvDU+nf41d5pBYvFDJ5nw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6ay5cUAAADcAAAADwAAAAAAAAAA&#10;AAAAAAChAgAAZHJzL2Rvd25yZXYueG1sUEsFBgAAAAAEAAQA+QAAAJMDAAAAAA==&#10;" strokecolor="#dadcdd" strokeweight="0"/>
                <v:rect id="Rectangle 48" o:spid="_x0000_s1113" style="position:absolute;left:23774;top:3816;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2srcQA&#10;AADcAAAADwAAAGRycy9kb3ducmV2LnhtbESPQWsCMRSE7wX/Q3hCbzVrD1pXo6hQKQgFrYrHx+a5&#10;CW5elk3U3X9vCoUeh5n5hpktWleJOzXBelYwHGQgiAuvLZcKDj+fbx8gQkTWWHkmBR0FWMx7LzPM&#10;tX/wju77WIoE4ZCjAhNjnUsZCkMOw8DXxMm7+MZhTLIppW7wkeCuku9ZNpIOLacFgzWtDRXX/c0p&#10;2HYnexzpIR7Pp+/OjDcr67KdUq/9djkFEamN/+G/9pdWMJmM4fdMOg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9rK3EAAAA3AAAAA8AAAAAAAAAAAAAAAAAmAIAAGRycy9k&#10;b3ducmV2LnhtbFBLBQYAAAAABAAEAPUAAACJAwAAAAA=&#10;" fillcolor="#dadcdd" stroked="f"/>
                <v:line id="Line 49" o:spid="_x0000_s1114" style="position:absolute;visibility:visible;mso-wrap-style:square" from="23774,5092" to="23780,5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WDDMQAAADcAAAADwAAAGRycy9kb3ducmV2LnhtbERPTWvCQBC9F/oflil4CXWjQompq5QU&#10;oQcPTVR6nWbHJJqdDdltkv777qHg8fG+N7vJtGKg3jWWFSzmMQji0uqGKwWn4/45AeE8ssbWMin4&#10;JQe77ePDBlNtR85pKHwlQgi7FBXU3neplK6syaCb2444cBfbG/QB9pXUPY4h3LRyGccv0mDDoaHG&#10;jrKaylvxYxREX0m0wnNxzRbVMqPr5+H7PXdKzZ6mt1cQniZ/F/+7P7SC9TqsDWfCEZD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dYMMxAAAANwAAAAPAAAAAAAAAAAA&#10;AAAAAKECAABkcnMvZG93bnJldi54bWxQSwUGAAAAAAQABAD5AAAAkgMAAAAA&#10;" strokecolor="#dadcdd" strokeweight="0"/>
                <v:rect id="Rectangle 50" o:spid="_x0000_s1115" style="position:absolute;left:23774;top:5092;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6dRMUA&#10;AADcAAAADwAAAGRycy9kb3ducmV2LnhtbESPQWsCMRSE7wX/Q3hCbzWrB3W3RlGhpVAoaLvS42Pz&#10;ugndvCybVHf/vSkIHoeZ+YZZbXrXiDN1wXpWMJ1kIIgrry3XCr4+X56WIEJE1th4JgUDBdisRw8r&#10;LLS/8IHOx1iLBOFQoAITY1tIGSpDDsPEt8TJ+/Gdw5hkV0vd4SXBXSNnWTaXDi2nBYMt7Q1Vv8c/&#10;p+B9ONlyrqdYfp8+BrN43VmXHZR6HPfbZxCR+ngP39pvWkGe5/B/Jh0B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rp1ExQAAANwAAAAPAAAAAAAAAAAAAAAAAJgCAABkcnMv&#10;ZG93bnJldi54bWxQSwUGAAAAAAQABAD1AAAAigMAAAAA&#10;" fillcolor="#dadcdd" stroked="f"/>
                <v:line id="Line 51" o:spid="_x0000_s1116" style="position:absolute;visibility:visible;mso-wrap-style:square" from="23774,6362" to="23780,6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szscAAADdAAAADwAAAGRycy9kb3ducmV2LnhtbESPQWvCQBCF74X+h2UKXkR3tVAkukqJ&#10;CD14qGnF65gdk9jsbMhuNf33nUOhtxnem/e+WW0G36ob9bEJbGE2NaCIy+Aarix8fuwmC1AxITts&#10;A5OFH4qwWT8+rDBz4c4HuhWpUhLCMUMLdUpdpnUsa/IYp6EjFu0Seo9J1r7Srse7hPtWz4150R4b&#10;loYaO8prKr+Kb29hfFqMn/FYXPNZNc/p+r4/bw/R2tHT8LoElWhI/+a/6zcn+MYIv3wjI+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y+zOxwAAAN0AAAAPAAAAAAAA&#10;AAAAAAAAAKECAABkcnMvZG93bnJldi54bWxQSwUGAAAAAAQABAD5AAAAlQMAAAAA&#10;" strokecolor="#dadcdd" strokeweight="0"/>
                <v:rect id="Rectangle 52" o:spid="_x0000_s1117" style="position:absolute;left:23774;top:6362;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lJ1sMA&#10;AADdAAAADwAAAGRycy9kb3ducmV2LnhtbERPTWsCMRC9C/0PYYTeNNkebNkaRQsthUJBreJx2Iyb&#10;4GaybFLd/feNIPQ2j/c582XvG3GhLrrAGoqpAkFcBeO41vCze5+8gIgJ2WATmDQMFGG5eBjNsTTh&#10;yhu6bFMtcgjHEjXYlNpSylhZ8hinoSXO3Cl0HlOGXS1Nh9cc7hv5pNRMenScGyy29GapOm9/vYav&#10;4eD2M1Pg/nj4Huzzx9p5tdH6cdyvXkEk6tO/+O7+NHm+UgXcvskn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lJ1sMAAADdAAAADwAAAAAAAAAAAAAAAACYAgAAZHJzL2Rv&#10;d25yZXYueG1sUEsFBgAAAAAEAAQA9QAAAIgDAAAAAA==&#10;" fillcolor="#dadcdd" stroked="f"/>
                <w10:anchorlock/>
              </v:group>
            </w:pict>
          </mc:Fallback>
        </mc:AlternateContent>
      </w:r>
    </w:p>
    <w:p w:rsidR="00236E18" w:rsidRDefault="00236E18" w:rsidP="00236E18">
      <w:pPr>
        <w:keepNext/>
        <w:keepLines/>
        <w:widowControl w:val="0"/>
        <w:jc w:val="center"/>
        <w:rPr>
          <w:sz w:val="20"/>
        </w:rPr>
      </w:pPr>
    </w:p>
    <w:p w:rsidR="00236E18" w:rsidRPr="007C6477" w:rsidRDefault="00236E18" w:rsidP="00236E18">
      <w:pPr>
        <w:keepNext/>
        <w:keepLines/>
        <w:widowControl w:val="0"/>
        <w:jc w:val="center"/>
        <w:rPr>
          <w:sz w:val="20"/>
        </w:rPr>
      </w:pPr>
    </w:p>
    <w:p w:rsidR="00236E18" w:rsidRPr="007C6477" w:rsidRDefault="00236E18" w:rsidP="00236E18">
      <w:pPr>
        <w:keepNext/>
        <w:keepLines/>
        <w:widowControl w:val="0"/>
        <w:jc w:val="center"/>
        <w:rPr>
          <w:sz w:val="20"/>
        </w:rPr>
      </w:pPr>
      <w:r w:rsidRPr="007C6477">
        <w:rPr>
          <w:noProof/>
          <w:lang w:val="en-US" w:eastAsia="en-US"/>
        </w:rPr>
        <w:drawing>
          <wp:inline distT="0" distB="0" distL="0" distR="0" wp14:anchorId="3739A9FC" wp14:editId="3A3B02D6">
            <wp:extent cx="5760085" cy="654065"/>
            <wp:effectExtent l="0" t="0" r="0" b="0"/>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760085" cy="654065"/>
                    </a:xfrm>
                    <a:prstGeom prst="rect">
                      <a:avLst/>
                    </a:prstGeom>
                    <a:noFill/>
                    <a:ln>
                      <a:noFill/>
                    </a:ln>
                  </pic:spPr>
                </pic:pic>
              </a:graphicData>
            </a:graphic>
          </wp:inline>
        </w:drawing>
      </w:r>
    </w:p>
    <w:p w:rsidR="00236E18" w:rsidRPr="007C6477" w:rsidRDefault="00236E18" w:rsidP="00236E18">
      <w:pPr>
        <w:keepNext/>
        <w:keepLines/>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 xml:space="preserve">Se combinaron las cifras antes mencionadas con los resultados obtenidos mediante los modelos </w:t>
      </w:r>
      <w:proofErr w:type="spellStart"/>
      <w:r w:rsidRPr="007C6477">
        <w:rPr>
          <w:sz w:val="20"/>
        </w:rPr>
        <w:t>autorregresivos</w:t>
      </w:r>
      <w:proofErr w:type="spellEnd"/>
      <w:r w:rsidRPr="007C6477">
        <w:rPr>
          <w:sz w:val="20"/>
        </w:rPr>
        <w:t>.  Es probable que el número de solicitudes se ubique dentro de esos límites asociados a un valor de probabilidad.  En el gráfico y el cuadro que figuran a continuación se suministra la distribución probabilística de las diferentes proyecciones.</w:t>
      </w:r>
    </w:p>
    <w:p w:rsidR="00236E18" w:rsidRPr="007C6477" w:rsidRDefault="00236E18" w:rsidP="00236E18">
      <w:pPr>
        <w:widowControl w:val="0"/>
        <w:jc w:val="center"/>
        <w:rPr>
          <w:sz w:val="20"/>
        </w:rPr>
      </w:pPr>
    </w:p>
    <w:p w:rsidR="00236E18" w:rsidRPr="007C6477" w:rsidRDefault="00236E18" w:rsidP="00236E18">
      <w:pPr>
        <w:widowControl w:val="0"/>
        <w:jc w:val="center"/>
        <w:rPr>
          <w:sz w:val="18"/>
          <w:szCs w:val="18"/>
        </w:rPr>
      </w:pPr>
    </w:p>
    <w:p w:rsidR="00236E18" w:rsidRPr="005D7081" w:rsidRDefault="00236E18" w:rsidP="00236E18">
      <w:pPr>
        <w:widowControl w:val="0"/>
        <w:jc w:val="center"/>
        <w:rPr>
          <w:sz w:val="20"/>
        </w:rPr>
      </w:pPr>
      <w:r w:rsidRPr="005D7081">
        <w:rPr>
          <w:sz w:val="20"/>
        </w:rPr>
        <w:t>Distribución probabilística de las solicitudes</w:t>
      </w:r>
    </w:p>
    <w:p w:rsidR="00236E18" w:rsidRPr="007C6477" w:rsidRDefault="00236E18" w:rsidP="00236E18">
      <w:pPr>
        <w:widowControl w:val="0"/>
        <w:jc w:val="center"/>
        <w:rPr>
          <w:sz w:val="20"/>
        </w:rPr>
      </w:pPr>
      <w:r w:rsidRPr="007C6477">
        <w:rPr>
          <w:noProof/>
          <w:lang w:val="en-US" w:eastAsia="en-US"/>
        </w:rPr>
        <w:drawing>
          <wp:inline distT="0" distB="0" distL="0" distR="0" wp14:anchorId="2561FA11" wp14:editId="3AC32F79">
            <wp:extent cx="4512593" cy="2552700"/>
            <wp:effectExtent l="0" t="0" r="254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4522840" cy="2558496"/>
                    </a:xfrm>
                    <a:prstGeom prst="rect">
                      <a:avLst/>
                    </a:prstGeom>
                    <a:noFill/>
                    <a:ln>
                      <a:noFill/>
                    </a:ln>
                  </pic:spPr>
                </pic:pic>
              </a:graphicData>
            </a:graphic>
          </wp:inline>
        </w:drawing>
      </w:r>
    </w:p>
    <w:p w:rsidR="00236E18" w:rsidRPr="007C6477" w:rsidRDefault="00236E18" w:rsidP="00236E18">
      <w:pPr>
        <w:widowControl w:val="0"/>
        <w:jc w:val="center"/>
        <w:rPr>
          <w:sz w:val="20"/>
        </w:rPr>
      </w:pPr>
    </w:p>
    <w:p w:rsidR="00236E18" w:rsidRPr="005D7081" w:rsidRDefault="00236E18" w:rsidP="00236E18">
      <w:pPr>
        <w:widowControl w:val="0"/>
        <w:spacing w:after="120"/>
        <w:jc w:val="center"/>
        <w:rPr>
          <w:sz w:val="20"/>
        </w:rPr>
      </w:pPr>
      <w:r w:rsidRPr="005D7081">
        <w:rPr>
          <w:sz w:val="20"/>
        </w:rPr>
        <w:t>Proyecciones correspondientes a los registros en virtud del Sistema de La Haya</w:t>
      </w:r>
    </w:p>
    <w:p w:rsidR="00236E18" w:rsidRPr="007C6477" w:rsidRDefault="00236E18" w:rsidP="00236E18">
      <w:pPr>
        <w:widowControl w:val="0"/>
        <w:jc w:val="center"/>
      </w:pPr>
      <w:r w:rsidRPr="007C6477">
        <w:rPr>
          <w:noProof/>
          <w:lang w:val="en-US" w:eastAsia="en-US"/>
        </w:rPr>
        <w:drawing>
          <wp:inline distT="0" distB="0" distL="0" distR="0" wp14:anchorId="14219DC6" wp14:editId="68AE5F43">
            <wp:extent cx="3431424" cy="2800350"/>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435875" cy="2803982"/>
                    </a:xfrm>
                    <a:prstGeom prst="rect">
                      <a:avLst/>
                    </a:prstGeom>
                    <a:noFill/>
                    <a:ln>
                      <a:noFill/>
                    </a:ln>
                  </pic:spPr>
                </pic:pic>
              </a:graphicData>
            </a:graphic>
          </wp:inline>
        </w:drawing>
      </w:r>
    </w:p>
    <w:p w:rsidR="00236E18" w:rsidRPr="007C6477" w:rsidRDefault="00236E18" w:rsidP="00236E18">
      <w:pPr>
        <w:widowControl w:val="0"/>
        <w:jc w:val="center"/>
      </w:pPr>
    </w:p>
    <w:p w:rsidR="00236E18" w:rsidRPr="007C6477" w:rsidRDefault="00236E18" w:rsidP="00236E18">
      <w:pPr>
        <w:keepNext/>
        <w:keepLines/>
        <w:widowControl w:val="0"/>
        <w:rPr>
          <w:i/>
          <w:sz w:val="20"/>
        </w:rPr>
      </w:pPr>
      <w:r w:rsidRPr="007C6477">
        <w:rPr>
          <w:i/>
          <w:sz w:val="20"/>
        </w:rPr>
        <w:lastRenderedPageBreak/>
        <w:t xml:space="preserve">Sistema de </w:t>
      </w:r>
      <w:r>
        <w:rPr>
          <w:i/>
          <w:sz w:val="20"/>
        </w:rPr>
        <w:t>La Haya</w:t>
      </w:r>
      <w:r w:rsidRPr="007C6477">
        <w:rPr>
          <w:i/>
          <w:sz w:val="20"/>
        </w:rPr>
        <w:t xml:space="preserve"> - Previsión de la demanda de renovaciones</w:t>
      </w:r>
    </w:p>
    <w:p w:rsidR="00236E18" w:rsidRPr="007C6477" w:rsidRDefault="00236E18" w:rsidP="00236E18">
      <w:pPr>
        <w:keepNext/>
        <w:keepLines/>
        <w:widowControl w:val="0"/>
        <w:rPr>
          <w:sz w:val="20"/>
        </w:rPr>
      </w:pPr>
    </w:p>
    <w:p w:rsidR="00236E18" w:rsidRPr="007C6477" w:rsidRDefault="00236E18" w:rsidP="00236E18">
      <w:pPr>
        <w:keepNext/>
        <w:keepLines/>
        <w:widowControl w:val="0"/>
        <w:numPr>
          <w:ilvl w:val="0"/>
          <w:numId w:val="46"/>
        </w:numPr>
        <w:tabs>
          <w:tab w:val="left" w:pos="540"/>
        </w:tabs>
        <w:jc w:val="both"/>
        <w:rPr>
          <w:sz w:val="20"/>
        </w:rPr>
      </w:pPr>
      <w:r w:rsidRPr="007C6477">
        <w:rPr>
          <w:sz w:val="20"/>
        </w:rPr>
        <w:t xml:space="preserve">La estimación del número de renovaciones se basa en distintos modelos regresivos.  Además de aplicar los modelos </w:t>
      </w:r>
      <w:proofErr w:type="spellStart"/>
      <w:r w:rsidRPr="007C6477">
        <w:rPr>
          <w:sz w:val="20"/>
        </w:rPr>
        <w:t>autorregresivos</w:t>
      </w:r>
      <w:proofErr w:type="spellEnd"/>
      <w:r w:rsidRPr="007C6477">
        <w:rPr>
          <w:sz w:val="20"/>
        </w:rPr>
        <w:t>, se tiene en cuenta el vínculo existente entre los registros, las renovaciones y las prolongaciones de renovaciones con períodos de protección de cinco años, puesto que los registros y las renovaciones efectuadas cinco años atrás se sumarán al total de renovaciones efectuadas en el año en curso.</w:t>
      </w:r>
    </w:p>
    <w:p w:rsidR="00236E18" w:rsidRPr="007C6477" w:rsidRDefault="00236E18" w:rsidP="00236E18">
      <w:pPr>
        <w:widowControl w:val="0"/>
        <w:tabs>
          <w:tab w:val="left" w:pos="540"/>
        </w:tabs>
        <w:jc w:val="both"/>
        <w:rPr>
          <w:sz w:val="20"/>
        </w:rPr>
      </w:pPr>
    </w:p>
    <w:p w:rsidR="00236E18" w:rsidRPr="007C6477" w:rsidRDefault="00236E18" w:rsidP="00236E18">
      <w:pPr>
        <w:keepNext/>
        <w:widowControl w:val="0"/>
        <w:tabs>
          <w:tab w:val="left" w:pos="540"/>
        </w:tabs>
        <w:spacing w:after="60"/>
        <w:jc w:val="center"/>
        <w:rPr>
          <w:sz w:val="20"/>
        </w:rPr>
      </w:pPr>
      <w:r w:rsidRPr="007C6477">
        <w:rPr>
          <w:sz w:val="20"/>
        </w:rPr>
        <w:t xml:space="preserve">Gráfico 10.  Previsión de las renovaciones en virtud del Sistema de </w:t>
      </w:r>
      <w:r>
        <w:rPr>
          <w:sz w:val="20"/>
        </w:rPr>
        <w:t>La Haya</w:t>
      </w:r>
    </w:p>
    <w:p w:rsidR="00236E18" w:rsidRPr="007C6477" w:rsidRDefault="00236E18" w:rsidP="00236E18">
      <w:pPr>
        <w:widowControl w:val="0"/>
        <w:rPr>
          <w:sz w:val="20"/>
        </w:rPr>
      </w:pPr>
      <w:r w:rsidRPr="00D74262">
        <w:rPr>
          <w:noProof/>
          <w:lang w:val="en-US" w:eastAsia="en-US"/>
        </w:rPr>
        <w:drawing>
          <wp:inline distT="0" distB="0" distL="0" distR="0" wp14:anchorId="3700FAB3" wp14:editId="3B9E74D4">
            <wp:extent cx="5499735" cy="3111500"/>
            <wp:effectExtent l="0" t="0" r="5715" b="0"/>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499735" cy="3111500"/>
                    </a:xfrm>
                    <a:prstGeom prst="rect">
                      <a:avLst/>
                    </a:prstGeom>
                    <a:noFill/>
                    <a:ln>
                      <a:noFill/>
                    </a:ln>
                  </pic:spPr>
                </pic:pic>
              </a:graphicData>
            </a:graphic>
          </wp:inline>
        </w:drawing>
      </w:r>
    </w:p>
    <w:p w:rsidR="00236E18" w:rsidRPr="007C6477" w:rsidRDefault="00236E18" w:rsidP="00236E18">
      <w:pPr>
        <w:widowControl w:val="0"/>
        <w:jc w:val="center"/>
        <w:rPr>
          <w:sz w:val="20"/>
        </w:rPr>
      </w:pPr>
      <w:r w:rsidRPr="007C6477">
        <w:rPr>
          <w:noProof/>
          <w:lang w:val="en-US" w:eastAsia="en-US"/>
        </w:rPr>
        <w:drawing>
          <wp:inline distT="0" distB="0" distL="0" distR="0" wp14:anchorId="6DB6A1D4" wp14:editId="126B2AC5">
            <wp:extent cx="4464789" cy="723900"/>
            <wp:effectExtent l="0" t="0" r="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485625" cy="727278"/>
                    </a:xfrm>
                    <a:prstGeom prst="rect">
                      <a:avLst/>
                    </a:prstGeom>
                    <a:noFill/>
                    <a:ln>
                      <a:noFill/>
                    </a:ln>
                  </pic:spPr>
                </pic:pic>
              </a:graphicData>
            </a:graphic>
          </wp:inline>
        </w:drawing>
      </w:r>
    </w:p>
    <w:p w:rsidR="00236E18" w:rsidRPr="007C6477" w:rsidRDefault="00236E18" w:rsidP="00236E18">
      <w:pPr>
        <w:widowControl w:val="0"/>
        <w:jc w:val="center"/>
        <w:rPr>
          <w:sz w:val="20"/>
        </w:rPr>
      </w:pPr>
    </w:p>
    <w:p w:rsidR="00236E18" w:rsidRPr="007C6477" w:rsidRDefault="00236E18" w:rsidP="00236E18">
      <w:pPr>
        <w:widowControl w:val="0"/>
        <w:jc w:val="center"/>
        <w:rPr>
          <w:sz w:val="20"/>
        </w:rPr>
      </w:pPr>
    </w:p>
    <w:p w:rsidR="00236E18" w:rsidRPr="005D7081" w:rsidRDefault="00236E18" w:rsidP="00236E18">
      <w:pPr>
        <w:widowControl w:val="0"/>
        <w:spacing w:after="120"/>
        <w:jc w:val="center"/>
        <w:rPr>
          <w:sz w:val="20"/>
        </w:rPr>
      </w:pPr>
      <w:r w:rsidRPr="005D7081">
        <w:rPr>
          <w:sz w:val="20"/>
        </w:rPr>
        <w:t>Distribución probabilística de las renovaciones</w:t>
      </w:r>
    </w:p>
    <w:p w:rsidR="00236E18" w:rsidRPr="007C6477" w:rsidRDefault="00236E18" w:rsidP="00236E18">
      <w:pPr>
        <w:widowControl w:val="0"/>
        <w:jc w:val="center"/>
        <w:rPr>
          <w:sz w:val="20"/>
        </w:rPr>
      </w:pPr>
      <w:r w:rsidRPr="007C6477">
        <w:rPr>
          <w:noProof/>
          <w:lang w:val="en-US" w:eastAsia="en-US"/>
        </w:rPr>
        <w:drawing>
          <wp:inline distT="0" distB="0" distL="0" distR="0" wp14:anchorId="64519521" wp14:editId="28D30F5F">
            <wp:extent cx="4546271" cy="2571750"/>
            <wp:effectExtent l="0" t="0" r="6985"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4554622" cy="2576474"/>
                    </a:xfrm>
                    <a:prstGeom prst="rect">
                      <a:avLst/>
                    </a:prstGeom>
                    <a:noFill/>
                    <a:ln>
                      <a:noFill/>
                    </a:ln>
                  </pic:spPr>
                </pic:pic>
              </a:graphicData>
            </a:graphic>
          </wp:inline>
        </w:drawing>
      </w:r>
    </w:p>
    <w:p w:rsidR="00236E18" w:rsidRPr="007C6477" w:rsidRDefault="00236E18" w:rsidP="00236E18">
      <w:pPr>
        <w:widowControl w:val="0"/>
        <w:jc w:val="center"/>
        <w:rPr>
          <w:sz w:val="20"/>
        </w:rPr>
      </w:pPr>
    </w:p>
    <w:p w:rsidR="00236E18" w:rsidRPr="005D7081" w:rsidRDefault="00236E18" w:rsidP="00236E18">
      <w:pPr>
        <w:keepNext/>
        <w:widowControl w:val="0"/>
        <w:spacing w:after="120"/>
        <w:jc w:val="center"/>
        <w:rPr>
          <w:sz w:val="20"/>
        </w:rPr>
      </w:pPr>
      <w:r w:rsidRPr="005D7081">
        <w:rPr>
          <w:sz w:val="20"/>
        </w:rPr>
        <w:lastRenderedPageBreak/>
        <w:t>Proyecciones correspondientes a las renovaciones en virtud del Sistema de La Haya</w:t>
      </w:r>
    </w:p>
    <w:p w:rsidR="00236E18" w:rsidRPr="007C6477" w:rsidRDefault="00236E18" w:rsidP="00236E18">
      <w:pPr>
        <w:widowControl w:val="0"/>
        <w:jc w:val="center"/>
        <w:rPr>
          <w:sz w:val="20"/>
        </w:rPr>
      </w:pPr>
      <w:r w:rsidRPr="007C6477">
        <w:rPr>
          <w:noProof/>
          <w:lang w:val="en-US" w:eastAsia="en-US"/>
        </w:rPr>
        <w:drawing>
          <wp:inline distT="0" distB="0" distL="0" distR="0" wp14:anchorId="25F4C8E3" wp14:editId="3ACB6124">
            <wp:extent cx="3198885" cy="2743200"/>
            <wp:effectExtent l="0" t="0" r="1905"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201431" cy="2745384"/>
                    </a:xfrm>
                    <a:prstGeom prst="rect">
                      <a:avLst/>
                    </a:prstGeom>
                    <a:noFill/>
                    <a:ln>
                      <a:noFill/>
                    </a:ln>
                  </pic:spPr>
                </pic:pic>
              </a:graphicData>
            </a:graphic>
          </wp:inline>
        </w:drawing>
      </w:r>
    </w:p>
    <w:p w:rsidR="00236E18" w:rsidRPr="007C6477" w:rsidRDefault="00236E18" w:rsidP="00236E18">
      <w:pPr>
        <w:widowControl w:val="0"/>
        <w:rPr>
          <w:sz w:val="20"/>
        </w:rPr>
      </w:pPr>
    </w:p>
    <w:p w:rsidR="00236E18" w:rsidRPr="007C6477" w:rsidRDefault="00236E18" w:rsidP="00236E18">
      <w:pPr>
        <w:widowControl w:val="0"/>
        <w:rPr>
          <w:sz w:val="20"/>
        </w:rPr>
      </w:pPr>
    </w:p>
    <w:p w:rsidR="00236E18" w:rsidRPr="007C6477" w:rsidRDefault="00236E18" w:rsidP="00236E18">
      <w:pPr>
        <w:widowControl w:val="0"/>
        <w:rPr>
          <w:i/>
          <w:sz w:val="20"/>
        </w:rPr>
      </w:pPr>
      <w:r w:rsidRPr="007C6477">
        <w:rPr>
          <w:i/>
          <w:sz w:val="20"/>
        </w:rPr>
        <w:t xml:space="preserve">Previsión de ingresos del Sistema de </w:t>
      </w:r>
      <w:r>
        <w:rPr>
          <w:i/>
          <w:sz w:val="20"/>
        </w:rPr>
        <w:t>La Haya</w:t>
      </w:r>
    </w:p>
    <w:p w:rsidR="00236E18" w:rsidRPr="007C6477" w:rsidRDefault="00236E18" w:rsidP="00236E18">
      <w:pPr>
        <w:widowControl w:val="0"/>
        <w:rPr>
          <w:sz w:val="20"/>
        </w:rPr>
      </w:pPr>
    </w:p>
    <w:p w:rsidR="00236E18" w:rsidRPr="007C6477" w:rsidRDefault="00236E18" w:rsidP="00236E18">
      <w:pPr>
        <w:widowControl w:val="0"/>
        <w:numPr>
          <w:ilvl w:val="0"/>
          <w:numId w:val="46"/>
        </w:numPr>
        <w:tabs>
          <w:tab w:val="left" w:pos="540"/>
        </w:tabs>
        <w:jc w:val="both"/>
        <w:rPr>
          <w:sz w:val="20"/>
        </w:rPr>
      </w:pPr>
      <w:r w:rsidRPr="007C6477">
        <w:rPr>
          <w:sz w:val="20"/>
        </w:rPr>
        <w:t xml:space="preserve">Los ingresos generados en el marco del Sistema de </w:t>
      </w:r>
      <w:r>
        <w:rPr>
          <w:sz w:val="20"/>
        </w:rPr>
        <w:t>La Haya</w:t>
      </w:r>
      <w:r w:rsidRPr="007C6477">
        <w:rPr>
          <w:sz w:val="20"/>
        </w:rPr>
        <w:t xml:space="preserve"> se calculan sobre la base de la tabla de tasas vigente.  Los principales componentes de dicha tabla son la tasa de base y la tasa de renovación.  Estos dos componentes suponen casi un 90% de los ingresos.  Las demás tasas se engloban en la categoría "Otros".</w:t>
      </w:r>
    </w:p>
    <w:p w:rsidR="00236E18" w:rsidRPr="007C6477" w:rsidRDefault="00236E18" w:rsidP="00236E18">
      <w:pPr>
        <w:widowControl w:val="0"/>
        <w:rPr>
          <w:sz w:val="20"/>
        </w:rPr>
      </w:pPr>
    </w:p>
    <w:p w:rsidR="00236E18" w:rsidRPr="007C6477" w:rsidRDefault="00236E18" w:rsidP="00236E18">
      <w:pPr>
        <w:widowControl w:val="0"/>
        <w:jc w:val="center"/>
        <w:rPr>
          <w:sz w:val="20"/>
        </w:rPr>
      </w:pPr>
      <w:r w:rsidRPr="007C6477">
        <w:rPr>
          <w:sz w:val="20"/>
        </w:rPr>
        <w:t xml:space="preserve">Gráfico 11.  Previsión de ingresos generados por las tasas del Sistema de </w:t>
      </w:r>
      <w:r>
        <w:rPr>
          <w:sz w:val="20"/>
        </w:rPr>
        <w:t>La Haya</w:t>
      </w:r>
      <w:r w:rsidRPr="007C6477">
        <w:rPr>
          <w:sz w:val="20"/>
        </w:rPr>
        <w:t>, por categoría</w:t>
      </w:r>
    </w:p>
    <w:p w:rsidR="00236E18" w:rsidRPr="007C6477" w:rsidRDefault="00236E18" w:rsidP="00236E18">
      <w:pPr>
        <w:widowControl w:val="0"/>
        <w:rPr>
          <w:sz w:val="20"/>
        </w:rPr>
      </w:pPr>
    </w:p>
    <w:p w:rsidR="00236E18" w:rsidRPr="007C6477" w:rsidRDefault="00236E18" w:rsidP="00236E18">
      <w:pPr>
        <w:widowControl w:val="0"/>
        <w:rPr>
          <w:sz w:val="20"/>
        </w:rPr>
      </w:pPr>
      <w:r w:rsidRPr="00D74262">
        <w:rPr>
          <w:noProof/>
          <w:lang w:val="en-US" w:eastAsia="en-US"/>
        </w:rPr>
        <w:drawing>
          <wp:inline distT="0" distB="0" distL="0" distR="0" wp14:anchorId="06741210" wp14:editId="2DE5B353">
            <wp:extent cx="5499735" cy="3111500"/>
            <wp:effectExtent l="0" t="0" r="5715" b="0"/>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499735" cy="3111500"/>
                    </a:xfrm>
                    <a:prstGeom prst="rect">
                      <a:avLst/>
                    </a:prstGeom>
                    <a:noFill/>
                    <a:ln>
                      <a:noFill/>
                    </a:ln>
                  </pic:spPr>
                </pic:pic>
              </a:graphicData>
            </a:graphic>
          </wp:inline>
        </w:drawing>
      </w:r>
    </w:p>
    <w:p w:rsidR="00236E18" w:rsidRPr="007C6477" w:rsidRDefault="00236E18" w:rsidP="00236E18">
      <w:pPr>
        <w:widowControl w:val="0"/>
        <w:jc w:val="center"/>
        <w:rPr>
          <w:sz w:val="20"/>
        </w:rPr>
      </w:pPr>
      <w:r w:rsidRPr="007C6477">
        <w:rPr>
          <w:noProof/>
          <w:lang w:val="en-US" w:eastAsia="en-US"/>
        </w:rPr>
        <w:drawing>
          <wp:inline distT="0" distB="0" distL="0" distR="0" wp14:anchorId="5DC1E893" wp14:editId="7304476F">
            <wp:extent cx="4623248" cy="1162050"/>
            <wp:effectExtent l="0" t="0" r="6350"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4642330" cy="1166846"/>
                    </a:xfrm>
                    <a:prstGeom prst="rect">
                      <a:avLst/>
                    </a:prstGeom>
                    <a:noFill/>
                    <a:ln>
                      <a:noFill/>
                    </a:ln>
                  </pic:spPr>
                </pic:pic>
              </a:graphicData>
            </a:graphic>
          </wp:inline>
        </w:drawing>
      </w:r>
    </w:p>
    <w:p w:rsidR="00236E18" w:rsidRPr="00E34525" w:rsidRDefault="00236E18" w:rsidP="00236E18">
      <w:pPr>
        <w:ind w:left="1134"/>
        <w:rPr>
          <w:sz w:val="16"/>
          <w:rPrChange w:id="151" w:author="NETTER Iza" w:date="2015-05-12T16:53:00Z">
            <w:rPr/>
          </w:rPrChange>
        </w:rPr>
        <w:pPrChange w:id="152" w:author="NETTER Iza" w:date="2015-05-12T16:53:00Z">
          <w:pPr>
            <w:jc w:val="center"/>
          </w:pPr>
        </w:pPrChange>
      </w:pPr>
      <w:r w:rsidRPr="00E34525">
        <w:rPr>
          <w:sz w:val="16"/>
          <w:rPrChange w:id="153" w:author="NETTER Iza" w:date="2015-05-12T16:53:00Z">
            <w:rPr>
              <w:sz w:val="20"/>
            </w:rPr>
          </w:rPrChange>
        </w:rPr>
        <w:t xml:space="preserve">*  </w:t>
      </w:r>
      <w:r>
        <w:rPr>
          <w:sz w:val="16"/>
        </w:rPr>
        <w:t>Las cifras corresponden a previsiones.</w:t>
      </w:r>
    </w:p>
    <w:p w:rsidR="00236E18" w:rsidRPr="007C6477" w:rsidRDefault="00236E18" w:rsidP="00236E18">
      <w:pPr>
        <w:widowControl w:val="0"/>
        <w:spacing w:after="120"/>
        <w:jc w:val="center"/>
        <w:rPr>
          <w:sz w:val="18"/>
          <w:szCs w:val="18"/>
        </w:rPr>
      </w:pPr>
    </w:p>
    <w:p w:rsidR="00236E18" w:rsidRPr="005D7081" w:rsidRDefault="00236E18" w:rsidP="00236E18">
      <w:pPr>
        <w:keepNext/>
        <w:widowControl w:val="0"/>
        <w:spacing w:after="120"/>
        <w:jc w:val="center"/>
        <w:rPr>
          <w:sz w:val="20"/>
        </w:rPr>
      </w:pPr>
      <w:r w:rsidRPr="005D7081">
        <w:rPr>
          <w:sz w:val="20"/>
        </w:rPr>
        <w:t>Distribución probabilística de los ingresos</w:t>
      </w:r>
    </w:p>
    <w:p w:rsidR="00236E18" w:rsidRPr="007C6477" w:rsidRDefault="00236E18" w:rsidP="00236E18">
      <w:pPr>
        <w:keepNext/>
        <w:widowControl w:val="0"/>
        <w:jc w:val="center"/>
        <w:rPr>
          <w:sz w:val="20"/>
        </w:rPr>
      </w:pPr>
      <w:r w:rsidRPr="007C6477">
        <w:rPr>
          <w:noProof/>
          <w:lang w:val="en-US" w:eastAsia="en-US"/>
        </w:rPr>
        <w:drawing>
          <wp:inline distT="0" distB="0" distL="0" distR="0" wp14:anchorId="28EB4EFA" wp14:editId="6641A4C9">
            <wp:extent cx="4726031" cy="2390775"/>
            <wp:effectExtent l="0" t="0" r="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4735794" cy="2395714"/>
                    </a:xfrm>
                    <a:prstGeom prst="rect">
                      <a:avLst/>
                    </a:prstGeom>
                    <a:noFill/>
                    <a:ln>
                      <a:noFill/>
                    </a:ln>
                  </pic:spPr>
                </pic:pic>
              </a:graphicData>
            </a:graphic>
          </wp:inline>
        </w:drawing>
      </w:r>
    </w:p>
    <w:p w:rsidR="00236E18" w:rsidRPr="007C6477" w:rsidRDefault="00236E18" w:rsidP="00236E18">
      <w:pPr>
        <w:widowControl w:val="0"/>
        <w:jc w:val="center"/>
        <w:rPr>
          <w:sz w:val="20"/>
        </w:rPr>
      </w:pPr>
    </w:p>
    <w:p w:rsidR="00236E18" w:rsidRPr="007C6477" w:rsidRDefault="00236E18" w:rsidP="00236E18">
      <w:pPr>
        <w:widowControl w:val="0"/>
        <w:jc w:val="center"/>
        <w:rPr>
          <w:sz w:val="20"/>
        </w:rPr>
      </w:pPr>
    </w:p>
    <w:p w:rsidR="00236E18" w:rsidRPr="007C6477" w:rsidRDefault="00236E18" w:rsidP="00236E18">
      <w:pPr>
        <w:widowControl w:val="0"/>
        <w:spacing w:after="120"/>
        <w:jc w:val="center"/>
        <w:rPr>
          <w:sz w:val="20"/>
        </w:rPr>
      </w:pPr>
      <w:r w:rsidRPr="007C6477">
        <w:rPr>
          <w:sz w:val="20"/>
        </w:rPr>
        <w:t xml:space="preserve">Proyecciones correspondientes a los ingresos del Sistema de </w:t>
      </w:r>
      <w:r>
        <w:rPr>
          <w:sz w:val="20"/>
        </w:rPr>
        <w:t>La Haya</w:t>
      </w:r>
    </w:p>
    <w:p w:rsidR="00236E18" w:rsidRPr="007C6477" w:rsidRDefault="00236E18" w:rsidP="00236E18">
      <w:pPr>
        <w:widowControl w:val="0"/>
        <w:jc w:val="center"/>
      </w:pPr>
      <w:r w:rsidRPr="007C6477">
        <w:rPr>
          <w:noProof/>
          <w:lang w:val="en-US" w:eastAsia="en-US"/>
        </w:rPr>
        <w:drawing>
          <wp:inline distT="0" distB="0" distL="0" distR="0" wp14:anchorId="5C6BB2AB" wp14:editId="2AB244C8">
            <wp:extent cx="3209925" cy="2651377"/>
            <wp:effectExtent l="0" t="0" r="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210615" cy="2651947"/>
                    </a:xfrm>
                    <a:prstGeom prst="rect">
                      <a:avLst/>
                    </a:prstGeom>
                    <a:noFill/>
                    <a:ln>
                      <a:noFill/>
                    </a:ln>
                  </pic:spPr>
                </pic:pic>
              </a:graphicData>
            </a:graphic>
          </wp:inline>
        </w:drawing>
      </w:r>
    </w:p>
    <w:p w:rsidR="00236E18" w:rsidRPr="007C6477" w:rsidRDefault="00236E18" w:rsidP="00236E18">
      <w:pPr>
        <w:widowControl w:val="0"/>
        <w:jc w:val="center"/>
      </w:pPr>
    </w:p>
    <w:p w:rsidR="00236E18" w:rsidRPr="007C6477" w:rsidRDefault="00236E18" w:rsidP="00236E18">
      <w:pPr>
        <w:widowControl w:val="0"/>
        <w:jc w:val="center"/>
      </w:pPr>
    </w:p>
    <w:p w:rsidR="00236E18" w:rsidRPr="007C6477" w:rsidRDefault="00236E18" w:rsidP="00236E18">
      <w:pPr>
        <w:widowControl w:val="0"/>
        <w:numPr>
          <w:ilvl w:val="0"/>
          <w:numId w:val="46"/>
        </w:numPr>
        <w:tabs>
          <w:tab w:val="left" w:pos="540"/>
        </w:tabs>
        <w:jc w:val="both"/>
        <w:rPr>
          <w:sz w:val="20"/>
        </w:rPr>
      </w:pPr>
      <w:r w:rsidRPr="007C6477">
        <w:rPr>
          <w:sz w:val="20"/>
        </w:rPr>
        <w:t xml:space="preserve">Las estimaciones de ingresos para el período comprendido entre 2015 y 2017, que figuran en el gráfico que se expone a continuación, se basan en el número previsto de registros y renovaciones internacionales.  Cabe señalar que la estimación de los ingresos que se muestra a continuación se basa en el supuesto de que en los próximos años no habrá cambios en la tabla de tasas pagaderas a la Oficina Internacional en virtud del Sistema de </w:t>
      </w:r>
      <w:r>
        <w:rPr>
          <w:sz w:val="20"/>
        </w:rPr>
        <w:t>La Haya</w:t>
      </w:r>
      <w:r w:rsidRPr="007C6477">
        <w:rPr>
          <w:sz w:val="20"/>
        </w:rPr>
        <w:t>.</w:t>
      </w:r>
    </w:p>
    <w:p w:rsidR="00236E18" w:rsidRPr="007C6477" w:rsidRDefault="00236E18" w:rsidP="00236E18">
      <w:pPr>
        <w:widowControl w:val="0"/>
        <w:tabs>
          <w:tab w:val="left" w:pos="540"/>
        </w:tabs>
        <w:jc w:val="both"/>
        <w:rPr>
          <w:sz w:val="20"/>
        </w:rPr>
      </w:pPr>
    </w:p>
    <w:p w:rsidR="00236E18" w:rsidRPr="007C6477" w:rsidRDefault="00236E18" w:rsidP="00236E18">
      <w:pPr>
        <w:widowControl w:val="0"/>
        <w:jc w:val="center"/>
        <w:rPr>
          <w:sz w:val="20"/>
        </w:rPr>
      </w:pPr>
      <w:r w:rsidRPr="00B37E9B">
        <w:rPr>
          <w:sz w:val="20"/>
        </w:rPr>
        <w:t>Cuadro 18.  Total de ingresos generados por las tasas y tasa promedio</w:t>
      </w:r>
    </w:p>
    <w:p w:rsidR="00236E18" w:rsidRPr="007C6477" w:rsidRDefault="00236E18" w:rsidP="00236E18">
      <w:pPr>
        <w:widowControl w:val="0"/>
        <w:jc w:val="center"/>
        <w:rPr>
          <w:sz w:val="20"/>
        </w:rPr>
      </w:pPr>
    </w:p>
    <w:p w:rsidR="00236E18" w:rsidRPr="007C6477" w:rsidRDefault="00236E18" w:rsidP="00236E18">
      <w:pPr>
        <w:widowControl w:val="0"/>
        <w:rPr>
          <w:sz w:val="20"/>
        </w:rPr>
      </w:pPr>
      <w:r w:rsidRPr="00B37E9B">
        <w:rPr>
          <w:noProof/>
          <w:lang w:val="en-US" w:eastAsia="en-US"/>
        </w:rPr>
        <w:drawing>
          <wp:inline distT="0" distB="0" distL="0" distR="0" wp14:anchorId="0FE4FD75" wp14:editId="5EDC35E9">
            <wp:extent cx="5760085" cy="871412"/>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760085" cy="871412"/>
                    </a:xfrm>
                    <a:prstGeom prst="rect">
                      <a:avLst/>
                    </a:prstGeom>
                    <a:noFill/>
                    <a:ln>
                      <a:noFill/>
                    </a:ln>
                  </pic:spPr>
                </pic:pic>
              </a:graphicData>
            </a:graphic>
          </wp:inline>
        </w:drawing>
      </w:r>
    </w:p>
    <w:p w:rsidR="00236E18" w:rsidRPr="007C6477" w:rsidRDefault="00236E18" w:rsidP="00236E18">
      <w:pPr>
        <w:widowControl w:val="0"/>
        <w:rPr>
          <w:sz w:val="20"/>
        </w:rPr>
      </w:pPr>
    </w:p>
    <w:p w:rsidR="00236E18" w:rsidRDefault="00236E18" w:rsidP="00236E18">
      <w:pPr>
        <w:rPr>
          <w:rFonts w:eastAsia="Times New Roman"/>
          <w:iCs/>
          <w:szCs w:val="22"/>
          <w:lang w:eastAsia="en-US"/>
        </w:rPr>
      </w:pPr>
      <w:r>
        <w:rPr>
          <w:b/>
          <w:caps/>
        </w:rPr>
        <w:br w:type="page"/>
      </w:r>
    </w:p>
    <w:p w:rsidR="00236E18" w:rsidRPr="00B50008" w:rsidRDefault="00236E18" w:rsidP="00236E18">
      <w:pPr>
        <w:pStyle w:val="StyleHeading3ComplexItalic"/>
        <w:keepNext w:val="0"/>
        <w:widowControl w:val="0"/>
        <w:tabs>
          <w:tab w:val="clear" w:pos="1985"/>
          <w:tab w:val="left" w:pos="-1843"/>
        </w:tabs>
        <w:ind w:left="1560" w:hanging="1560"/>
        <w:rPr>
          <w:caps w:val="0"/>
          <w:lang w:val="es-ES"/>
        </w:rPr>
      </w:pPr>
      <w:bookmarkStart w:id="154" w:name="_Toc431573583"/>
      <w:bookmarkStart w:id="155" w:name="_Toc431573984"/>
      <w:r w:rsidRPr="00B50008">
        <w:rPr>
          <w:caps w:val="0"/>
          <w:lang w:val="es-ES"/>
        </w:rPr>
        <w:lastRenderedPageBreak/>
        <w:t>ANEXO V</w:t>
      </w:r>
      <w:r w:rsidRPr="00B50008">
        <w:rPr>
          <w:caps w:val="0"/>
          <w:lang w:val="es-ES"/>
        </w:rPr>
        <w:tab/>
        <w:t>INDICADORES DE LAS OPERACIONES DEL PCT</w:t>
      </w:r>
      <w:bookmarkEnd w:id="154"/>
      <w:bookmarkEnd w:id="155"/>
    </w:p>
    <w:p w:rsidR="00236E18" w:rsidRPr="00B50008" w:rsidRDefault="00236E18" w:rsidP="00236E18">
      <w:pPr>
        <w:widowControl w:val="0"/>
        <w:rPr>
          <w:sz w:val="20"/>
        </w:rPr>
      </w:pPr>
    </w:p>
    <w:p w:rsidR="00236E18" w:rsidRPr="00B50008" w:rsidRDefault="00236E18" w:rsidP="00236E18">
      <w:pPr>
        <w:widowControl w:val="0"/>
        <w:rPr>
          <w:sz w:val="20"/>
        </w:rPr>
      </w:pPr>
    </w:p>
    <w:p w:rsidR="00236E18" w:rsidRPr="00B50008" w:rsidRDefault="00236E18" w:rsidP="00236E18">
      <w:pPr>
        <w:widowControl w:val="0"/>
        <w:rPr>
          <w:sz w:val="20"/>
        </w:rPr>
      </w:pPr>
      <w:r w:rsidRPr="00B50008">
        <w:rPr>
          <w:sz w:val="20"/>
        </w:rPr>
        <w:t>INDICADORES DE RENDIMIENTO CON RESPECTO AL RESULTADO PREVISTO</w:t>
      </w:r>
    </w:p>
    <w:p w:rsidR="00236E18" w:rsidRPr="00B50008" w:rsidRDefault="00236E18" w:rsidP="00236E18">
      <w:pPr>
        <w:widowControl w:val="0"/>
        <w:rPr>
          <w:sz w:val="20"/>
        </w:rPr>
      </w:pPr>
      <w:r w:rsidRPr="00B50008">
        <w:rPr>
          <w:sz w:val="20"/>
        </w:rPr>
        <w:t>“MEJORA DE LA PRODUCTIVIDAD Y DE LA CALIDAD DE LOS SERVICIOS EN LAS OPERACIONES DEL SISTEMA DEL PCT”</w:t>
      </w:r>
    </w:p>
    <w:p w:rsidR="00236E18" w:rsidRPr="00B50008" w:rsidRDefault="00236E18" w:rsidP="00236E18">
      <w:pPr>
        <w:widowControl w:val="0"/>
        <w:rPr>
          <w:bCs/>
          <w:szCs w:val="22"/>
        </w:rPr>
      </w:pPr>
    </w:p>
    <w:p w:rsidR="00236E18" w:rsidRPr="00B50008" w:rsidRDefault="00236E18" w:rsidP="00236E18">
      <w:pPr>
        <w:widowControl w:val="0"/>
        <w:rPr>
          <w:b/>
          <w:sz w:val="20"/>
        </w:rPr>
      </w:pPr>
      <w:r w:rsidRPr="00B50008">
        <w:rPr>
          <w:b/>
          <w:sz w:val="20"/>
        </w:rPr>
        <w:t>Generalidades</w:t>
      </w:r>
    </w:p>
    <w:p w:rsidR="00236E18" w:rsidRPr="00B50008" w:rsidRDefault="00236E18" w:rsidP="00236E18">
      <w:pPr>
        <w:widowControl w:val="0"/>
        <w:rPr>
          <w:b/>
          <w:sz w:val="20"/>
        </w:rPr>
      </w:pPr>
    </w:p>
    <w:p w:rsidR="00236E18" w:rsidRPr="00B50008" w:rsidRDefault="00236E18" w:rsidP="00236E18">
      <w:pPr>
        <w:widowControl w:val="0"/>
        <w:numPr>
          <w:ilvl w:val="0"/>
          <w:numId w:val="49"/>
        </w:numPr>
        <w:rPr>
          <w:sz w:val="20"/>
        </w:rPr>
      </w:pPr>
      <w:r w:rsidRPr="00B50008">
        <w:rPr>
          <w:sz w:val="20"/>
        </w:rPr>
        <w:t>Como referencia de los indicadores de rendimiento en lo que respecta al resultado previsto “Mejora de la productividad y de la calidad de los servicios en las operaciones del Sistema del PCT”, es necesario considerar la evolución de los siguientes factores:</w:t>
      </w:r>
    </w:p>
    <w:p w:rsidR="00236E18" w:rsidRPr="00B50008" w:rsidRDefault="00236E18" w:rsidP="00236E18">
      <w:pPr>
        <w:widowControl w:val="0"/>
        <w:rPr>
          <w:sz w:val="20"/>
        </w:rPr>
      </w:pPr>
    </w:p>
    <w:p w:rsidR="00236E18" w:rsidRPr="00B50008" w:rsidRDefault="00236E18" w:rsidP="00236E18">
      <w:pPr>
        <w:widowControl w:val="0"/>
        <w:numPr>
          <w:ilvl w:val="0"/>
          <w:numId w:val="48"/>
        </w:numPr>
        <w:tabs>
          <w:tab w:val="clear" w:pos="720"/>
          <w:tab w:val="num" w:pos="1100"/>
        </w:tabs>
        <w:spacing w:after="60"/>
        <w:ind w:left="1208" w:hanging="658"/>
        <w:rPr>
          <w:sz w:val="20"/>
        </w:rPr>
      </w:pPr>
      <w:r w:rsidRPr="00B50008">
        <w:rPr>
          <w:sz w:val="20"/>
        </w:rPr>
        <w:t>volúmenes de trabajo del PCT;</w:t>
      </w:r>
    </w:p>
    <w:p w:rsidR="00236E18" w:rsidRPr="00B50008" w:rsidRDefault="00236E18" w:rsidP="00236E18">
      <w:pPr>
        <w:widowControl w:val="0"/>
        <w:numPr>
          <w:ilvl w:val="0"/>
          <w:numId w:val="48"/>
        </w:numPr>
        <w:tabs>
          <w:tab w:val="clear" w:pos="720"/>
          <w:tab w:val="num" w:pos="1100"/>
        </w:tabs>
        <w:spacing w:after="60"/>
        <w:ind w:left="1208" w:hanging="658"/>
        <w:rPr>
          <w:sz w:val="20"/>
        </w:rPr>
      </w:pPr>
      <w:r w:rsidRPr="00B50008">
        <w:rPr>
          <w:sz w:val="20"/>
        </w:rPr>
        <w:t>distribución de idiomas con respecto al volumen de trabajo;</w:t>
      </w:r>
    </w:p>
    <w:p w:rsidR="00236E18" w:rsidRPr="00B50008" w:rsidRDefault="00236E18" w:rsidP="00236E18">
      <w:pPr>
        <w:widowControl w:val="0"/>
        <w:numPr>
          <w:ilvl w:val="0"/>
          <w:numId w:val="48"/>
        </w:numPr>
        <w:tabs>
          <w:tab w:val="clear" w:pos="720"/>
          <w:tab w:val="num" w:pos="1100"/>
        </w:tabs>
        <w:spacing w:after="60"/>
        <w:ind w:left="1208" w:hanging="658"/>
        <w:rPr>
          <w:sz w:val="20"/>
        </w:rPr>
      </w:pPr>
      <w:r w:rsidRPr="00B50008">
        <w:rPr>
          <w:sz w:val="20"/>
        </w:rPr>
        <w:t>personal asignado para gestionar el volumen de trabajo;  y</w:t>
      </w:r>
    </w:p>
    <w:p w:rsidR="00236E18" w:rsidRPr="00B50008" w:rsidRDefault="00236E18" w:rsidP="00236E18">
      <w:pPr>
        <w:widowControl w:val="0"/>
        <w:numPr>
          <w:ilvl w:val="0"/>
          <w:numId w:val="48"/>
        </w:numPr>
        <w:tabs>
          <w:tab w:val="clear" w:pos="720"/>
          <w:tab w:val="num" w:pos="1100"/>
        </w:tabs>
        <w:ind w:left="1210" w:hanging="660"/>
        <w:rPr>
          <w:sz w:val="20"/>
        </w:rPr>
      </w:pPr>
      <w:r w:rsidRPr="00B50008">
        <w:rPr>
          <w:sz w:val="20"/>
        </w:rPr>
        <w:t>nivel de automatización.</w:t>
      </w:r>
    </w:p>
    <w:p w:rsidR="00236E18" w:rsidRPr="00B50008" w:rsidRDefault="00236E18" w:rsidP="00236E18">
      <w:pPr>
        <w:widowControl w:val="0"/>
        <w:tabs>
          <w:tab w:val="num" w:pos="1100"/>
        </w:tabs>
        <w:rPr>
          <w:sz w:val="20"/>
        </w:rPr>
      </w:pPr>
    </w:p>
    <w:p w:rsidR="00236E18" w:rsidRPr="00B50008" w:rsidRDefault="00236E18" w:rsidP="00236E18">
      <w:pPr>
        <w:widowControl w:val="0"/>
        <w:tabs>
          <w:tab w:val="num" w:pos="1100"/>
        </w:tabs>
        <w:rPr>
          <w:sz w:val="20"/>
        </w:rPr>
      </w:pPr>
    </w:p>
    <w:p w:rsidR="00236E18" w:rsidRPr="00B50008" w:rsidRDefault="00236E18" w:rsidP="00236E18">
      <w:pPr>
        <w:widowControl w:val="0"/>
        <w:rPr>
          <w:i/>
          <w:sz w:val="20"/>
        </w:rPr>
      </w:pPr>
      <w:r w:rsidRPr="00B50008">
        <w:rPr>
          <w:i/>
          <w:sz w:val="20"/>
        </w:rPr>
        <w:t>Volúmenes de trabajo</w:t>
      </w:r>
    </w:p>
    <w:p w:rsidR="00236E18" w:rsidRPr="00B50008" w:rsidRDefault="00236E18" w:rsidP="00236E18">
      <w:pPr>
        <w:widowControl w:val="0"/>
        <w:rPr>
          <w:sz w:val="20"/>
        </w:rPr>
      </w:pPr>
    </w:p>
    <w:p w:rsidR="00236E18" w:rsidRPr="00B50008" w:rsidRDefault="00236E18" w:rsidP="00236E18">
      <w:pPr>
        <w:widowControl w:val="0"/>
        <w:numPr>
          <w:ilvl w:val="0"/>
          <w:numId w:val="49"/>
        </w:numPr>
        <w:rPr>
          <w:sz w:val="20"/>
        </w:rPr>
      </w:pPr>
      <w:r w:rsidRPr="00B50008">
        <w:rPr>
          <w:sz w:val="20"/>
        </w:rPr>
        <w:t>La evolución de los volúmenes de trabajo se analiza a partir del número de ejemplares originales que la Oficina Internacional</w:t>
      </w:r>
      <w:r w:rsidRPr="00B50008">
        <w:rPr>
          <w:rStyle w:val="FootnoteReference"/>
          <w:sz w:val="20"/>
        </w:rPr>
        <w:footnoteReference w:id="26"/>
      </w:r>
      <w:r w:rsidRPr="00B50008">
        <w:rPr>
          <w:sz w:val="20"/>
        </w:rPr>
        <w:t xml:space="preserve"> recibe anualmente.</w:t>
      </w:r>
    </w:p>
    <w:p w:rsidR="00236E18" w:rsidRPr="00B50008" w:rsidRDefault="00236E18" w:rsidP="00236E18">
      <w:pPr>
        <w:widowControl w:val="0"/>
        <w:rPr>
          <w:b/>
          <w:bCs/>
          <w:sz w:val="18"/>
          <w:szCs w:val="18"/>
        </w:rPr>
      </w:pPr>
    </w:p>
    <w:p w:rsidR="00236E18" w:rsidRPr="00B50008" w:rsidRDefault="00236E18" w:rsidP="00236E18">
      <w:pPr>
        <w:widowControl w:val="0"/>
        <w:rPr>
          <w:b/>
          <w:bCs/>
          <w:sz w:val="18"/>
          <w:szCs w:val="18"/>
        </w:rPr>
      </w:pPr>
    </w:p>
    <w:p w:rsidR="00236E18" w:rsidRPr="00B50008" w:rsidRDefault="00236E18" w:rsidP="00236E18">
      <w:pPr>
        <w:widowControl w:val="0"/>
        <w:jc w:val="center"/>
        <w:rPr>
          <w:b/>
          <w:bCs/>
          <w:sz w:val="18"/>
          <w:szCs w:val="18"/>
        </w:rPr>
      </w:pPr>
      <w:r w:rsidRPr="00B50008">
        <w:rPr>
          <w:b/>
          <w:bCs/>
          <w:sz w:val="18"/>
          <w:szCs w:val="18"/>
        </w:rPr>
        <w:t>Evolución del número de ejemplares originales por medio de presentación</w:t>
      </w:r>
    </w:p>
    <w:p w:rsidR="00236E18" w:rsidRPr="00B50008" w:rsidRDefault="00236E18" w:rsidP="00236E18">
      <w:pPr>
        <w:widowControl w:val="0"/>
        <w:jc w:val="center"/>
        <w:rPr>
          <w:b/>
          <w:bCs/>
          <w:sz w:val="18"/>
          <w:szCs w:val="18"/>
        </w:rPr>
      </w:pPr>
      <w:r w:rsidRPr="00B50008">
        <w:rPr>
          <w:b/>
          <w:bCs/>
          <w:noProof/>
          <w:sz w:val="18"/>
          <w:szCs w:val="18"/>
          <w:lang w:val="en-US" w:eastAsia="en-US"/>
        </w:rPr>
        <w:drawing>
          <wp:inline distT="0" distB="0" distL="0" distR="0" wp14:anchorId="4CB66780" wp14:editId="0CAD7344">
            <wp:extent cx="5745480" cy="2398395"/>
            <wp:effectExtent l="0" t="0" r="7620" b="1905"/>
            <wp:docPr id="104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745480" cy="2398395"/>
                    </a:xfrm>
                    <a:prstGeom prst="rect">
                      <a:avLst/>
                    </a:prstGeom>
                    <a:noFill/>
                    <a:ln>
                      <a:noFill/>
                    </a:ln>
                  </pic:spPr>
                </pic:pic>
              </a:graphicData>
            </a:graphic>
          </wp:inline>
        </w:drawing>
      </w:r>
    </w:p>
    <w:p w:rsidR="00236E18" w:rsidRPr="00B50008" w:rsidRDefault="00236E18" w:rsidP="00236E18">
      <w:pPr>
        <w:widowControl w:val="0"/>
        <w:jc w:val="center"/>
        <w:rPr>
          <w:b/>
          <w:bCs/>
          <w:sz w:val="18"/>
          <w:szCs w:val="18"/>
        </w:rPr>
      </w:pPr>
    </w:p>
    <w:p w:rsidR="00236E18" w:rsidRPr="00B50008" w:rsidRDefault="00236E18" w:rsidP="00236E18">
      <w:pPr>
        <w:pStyle w:val="BodyText2"/>
        <w:widowControl w:val="0"/>
        <w:numPr>
          <w:ilvl w:val="0"/>
          <w:numId w:val="50"/>
        </w:numPr>
        <w:tabs>
          <w:tab w:val="clear" w:pos="720"/>
          <w:tab w:val="num" w:pos="1134"/>
        </w:tabs>
        <w:spacing w:after="60" w:line="240" w:lineRule="auto"/>
        <w:ind w:left="1134" w:hanging="567"/>
        <w:jc w:val="both"/>
        <w:rPr>
          <w:rFonts w:ascii="Arial" w:hAnsi="Arial" w:cs="Arial"/>
          <w:sz w:val="20"/>
          <w:szCs w:val="20"/>
          <w:lang w:val="es-ES"/>
        </w:rPr>
      </w:pPr>
      <w:r w:rsidRPr="00B50008">
        <w:rPr>
          <w:rFonts w:ascii="Arial" w:hAnsi="Arial" w:cs="Arial"/>
          <w:sz w:val="20"/>
          <w:szCs w:val="20"/>
          <w:highlight w:val="white"/>
          <w:lang w:val="es-ES"/>
        </w:rPr>
        <w:t>La Oficina Internacional recibió aproximadamente</w:t>
      </w:r>
      <w:r w:rsidRPr="00B50008">
        <w:rPr>
          <w:rFonts w:ascii="Arial" w:hAnsi="Arial" w:cs="Arial"/>
          <w:sz w:val="20"/>
          <w:szCs w:val="20"/>
          <w:lang w:val="es-ES"/>
        </w:rPr>
        <w:t xml:space="preserve"> 217.700 ejemplares originales</w:t>
      </w:r>
      <w:r w:rsidRPr="00B50008">
        <w:rPr>
          <w:rFonts w:ascii="Arial" w:hAnsi="Arial" w:cs="Arial"/>
          <w:sz w:val="20"/>
          <w:szCs w:val="20"/>
          <w:highlight w:val="white"/>
          <w:lang w:val="es-ES"/>
        </w:rPr>
        <w:t xml:space="preserve"> en</w:t>
      </w:r>
      <w:r w:rsidRPr="00B50008">
        <w:rPr>
          <w:rFonts w:ascii="Arial" w:hAnsi="Arial" w:cs="Arial"/>
          <w:sz w:val="20"/>
          <w:szCs w:val="20"/>
          <w:lang w:val="es-ES"/>
        </w:rPr>
        <w:t xml:space="preserve"> 2014, </w:t>
      </w:r>
      <w:r w:rsidRPr="00B50008">
        <w:rPr>
          <w:rFonts w:ascii="Arial" w:hAnsi="Arial" w:cs="Arial"/>
          <w:sz w:val="20"/>
          <w:szCs w:val="20"/>
          <w:highlight w:val="white"/>
          <w:lang w:val="es-ES"/>
        </w:rPr>
        <w:t>lo que representa un aumento del</w:t>
      </w:r>
      <w:r w:rsidRPr="00B50008">
        <w:rPr>
          <w:rFonts w:ascii="Arial" w:hAnsi="Arial" w:cs="Arial"/>
          <w:sz w:val="20"/>
          <w:szCs w:val="20"/>
          <w:lang w:val="es-ES"/>
        </w:rPr>
        <w:t> </w:t>
      </w:r>
      <w:r w:rsidRPr="00B50008">
        <w:rPr>
          <w:rFonts w:ascii="Arial" w:hAnsi="Arial" w:cs="Arial"/>
          <w:sz w:val="20"/>
          <w:szCs w:val="20"/>
          <w:highlight w:val="white"/>
          <w:lang w:val="es-ES"/>
        </w:rPr>
        <w:t>7%</w:t>
      </w:r>
      <w:r w:rsidRPr="00B50008">
        <w:rPr>
          <w:rFonts w:ascii="Arial" w:hAnsi="Arial" w:cs="Arial"/>
          <w:sz w:val="20"/>
          <w:szCs w:val="20"/>
          <w:lang w:val="es-ES"/>
        </w:rPr>
        <w:t xml:space="preserve"> con respecto a 2013.</w:t>
      </w:r>
    </w:p>
    <w:p w:rsidR="00236E18" w:rsidRPr="00B50008" w:rsidRDefault="00236E18" w:rsidP="00236E18">
      <w:pPr>
        <w:pStyle w:val="BodyText2"/>
        <w:widowControl w:val="0"/>
        <w:numPr>
          <w:ilvl w:val="0"/>
          <w:numId w:val="50"/>
        </w:numPr>
        <w:tabs>
          <w:tab w:val="clear" w:pos="720"/>
          <w:tab w:val="num" w:pos="1134"/>
        </w:tabs>
        <w:spacing w:after="60" w:line="240" w:lineRule="auto"/>
        <w:ind w:left="1134" w:hanging="567"/>
        <w:jc w:val="both"/>
        <w:rPr>
          <w:rFonts w:ascii="Arial" w:hAnsi="Arial" w:cs="Arial"/>
          <w:sz w:val="20"/>
          <w:szCs w:val="20"/>
          <w:lang w:val="es-ES"/>
        </w:rPr>
      </w:pPr>
      <w:r w:rsidRPr="00B50008">
        <w:rPr>
          <w:rFonts w:ascii="Arial" w:hAnsi="Arial" w:cs="Arial"/>
          <w:sz w:val="20"/>
          <w:szCs w:val="20"/>
          <w:lang w:val="es-ES"/>
        </w:rPr>
        <w:t>En 2014 siguió aumentando el porcentaje de solicitudes presentadas enteramente por medios electrónicos, que actualmente constituye el 91% de todas las solicitudes que se presentan.</w:t>
      </w:r>
    </w:p>
    <w:p w:rsidR="00236E18" w:rsidRPr="00B50008" w:rsidRDefault="00236E18" w:rsidP="00236E18">
      <w:pPr>
        <w:pStyle w:val="BodyText2"/>
        <w:keepNext/>
        <w:keepLines/>
        <w:widowControl w:val="0"/>
        <w:spacing w:after="0" w:line="240" w:lineRule="auto"/>
        <w:rPr>
          <w:rFonts w:ascii="Arial" w:hAnsi="Arial" w:cs="Arial"/>
          <w:i/>
          <w:sz w:val="20"/>
          <w:szCs w:val="20"/>
          <w:lang w:val="es-ES"/>
        </w:rPr>
      </w:pPr>
      <w:r w:rsidRPr="00B50008">
        <w:rPr>
          <w:rFonts w:ascii="Arial" w:hAnsi="Arial" w:cs="Arial"/>
          <w:i/>
          <w:sz w:val="20"/>
          <w:szCs w:val="20"/>
          <w:lang w:val="es-ES"/>
        </w:rPr>
        <w:lastRenderedPageBreak/>
        <w:t>Distribución de idiomas</w:t>
      </w:r>
    </w:p>
    <w:p w:rsidR="00236E18" w:rsidRPr="00B50008" w:rsidRDefault="00236E18" w:rsidP="00236E18">
      <w:pPr>
        <w:pStyle w:val="BodyText2"/>
        <w:keepNext/>
        <w:keepLines/>
        <w:widowControl w:val="0"/>
        <w:spacing w:after="0" w:line="240" w:lineRule="auto"/>
        <w:rPr>
          <w:rFonts w:ascii="Arial" w:hAnsi="Arial" w:cs="Arial"/>
          <w:sz w:val="20"/>
          <w:szCs w:val="20"/>
          <w:lang w:val="es-ES"/>
        </w:rPr>
      </w:pPr>
    </w:p>
    <w:p w:rsidR="00236E18" w:rsidRPr="00B50008" w:rsidRDefault="00236E18" w:rsidP="00236E18">
      <w:pPr>
        <w:keepNext/>
        <w:keepLines/>
        <w:widowControl w:val="0"/>
        <w:numPr>
          <w:ilvl w:val="0"/>
          <w:numId w:val="49"/>
        </w:numPr>
        <w:rPr>
          <w:sz w:val="20"/>
        </w:rPr>
      </w:pPr>
      <w:r w:rsidRPr="00B50008">
        <w:rPr>
          <w:sz w:val="20"/>
        </w:rPr>
        <w:t>Uno de los factores fundamentales del cambio en el funcionamiento de la Oficina Internacional es la creciente diversidad lingüística de las solicitudes presentadas, que es consecuencia, principalmente, del aumento continuo en el uso del Sistema del PCT en los países de Asia oriental.</w:t>
      </w:r>
    </w:p>
    <w:p w:rsidR="00236E18" w:rsidRPr="00B50008" w:rsidRDefault="00236E18" w:rsidP="00236E18">
      <w:pPr>
        <w:keepNext/>
        <w:keepLines/>
        <w:widowControl w:val="0"/>
        <w:jc w:val="both"/>
        <w:rPr>
          <w:highlight w:val="yellow"/>
        </w:rPr>
      </w:pPr>
    </w:p>
    <w:p w:rsidR="00236E18" w:rsidRPr="005D7081" w:rsidRDefault="00236E18" w:rsidP="00236E18">
      <w:pPr>
        <w:widowControl w:val="0"/>
        <w:spacing w:after="120"/>
        <w:jc w:val="center"/>
        <w:rPr>
          <w:i/>
          <w:sz w:val="20"/>
        </w:rPr>
      </w:pPr>
      <w:r w:rsidRPr="005D7081">
        <w:rPr>
          <w:b/>
          <w:bCs/>
          <w:sz w:val="20"/>
          <w:highlight w:val="white"/>
        </w:rPr>
        <w:t>Idiomas de presentación</w:t>
      </w:r>
      <w:r w:rsidRPr="005D7081">
        <w:rPr>
          <w:sz w:val="20"/>
        </w:rPr>
        <w:t xml:space="preserve"> </w:t>
      </w:r>
      <w:r w:rsidRPr="005D7081">
        <w:rPr>
          <w:i/>
          <w:sz w:val="20"/>
        </w:rPr>
        <w:t>(todos)</w:t>
      </w:r>
    </w:p>
    <w:p w:rsidR="00236E18" w:rsidRPr="00B50008" w:rsidRDefault="00236E18" w:rsidP="00236E18">
      <w:pPr>
        <w:widowControl w:val="0"/>
        <w:spacing w:after="120"/>
        <w:jc w:val="center"/>
        <w:rPr>
          <w:i/>
          <w:sz w:val="18"/>
          <w:szCs w:val="18"/>
        </w:rPr>
      </w:pPr>
      <w:r w:rsidRPr="00B50008">
        <w:rPr>
          <w:i/>
          <w:noProof/>
          <w:sz w:val="18"/>
          <w:szCs w:val="18"/>
          <w:lang w:val="en-US" w:eastAsia="en-US"/>
        </w:rPr>
        <w:drawing>
          <wp:inline distT="0" distB="0" distL="0" distR="0" wp14:anchorId="4058ACE2" wp14:editId="24ED3584">
            <wp:extent cx="5736590" cy="2777490"/>
            <wp:effectExtent l="0" t="0" r="0" b="3810"/>
            <wp:docPr id="104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736590" cy="2777490"/>
                    </a:xfrm>
                    <a:prstGeom prst="rect">
                      <a:avLst/>
                    </a:prstGeom>
                    <a:noFill/>
                    <a:ln>
                      <a:noFill/>
                    </a:ln>
                  </pic:spPr>
                </pic:pic>
              </a:graphicData>
            </a:graphic>
          </wp:inline>
        </w:drawing>
      </w:r>
    </w:p>
    <w:p w:rsidR="00236E18" w:rsidRPr="00B50008" w:rsidRDefault="00236E18" w:rsidP="00236E18">
      <w:pPr>
        <w:widowControl w:val="0"/>
        <w:spacing w:after="120"/>
        <w:jc w:val="center"/>
        <w:rPr>
          <w:i/>
          <w:sz w:val="18"/>
          <w:szCs w:val="18"/>
        </w:rPr>
      </w:pPr>
    </w:p>
    <w:p w:rsidR="00236E18" w:rsidRPr="00B50008" w:rsidRDefault="00236E18" w:rsidP="00236E18">
      <w:pPr>
        <w:widowControl w:val="0"/>
        <w:numPr>
          <w:ilvl w:val="0"/>
          <w:numId w:val="49"/>
        </w:numPr>
        <w:rPr>
          <w:sz w:val="20"/>
        </w:rPr>
      </w:pPr>
      <w:r w:rsidRPr="00B50008">
        <w:rPr>
          <w:sz w:val="20"/>
        </w:rPr>
        <w:t>Como puede observarse en el gráfico</w:t>
      </w:r>
      <w:r w:rsidRPr="00B50008">
        <w:rPr>
          <w:sz w:val="20"/>
          <w:highlight w:val="white"/>
        </w:rPr>
        <w:t>, si bien en</w:t>
      </w:r>
      <w:r w:rsidRPr="00B50008">
        <w:rPr>
          <w:sz w:val="20"/>
        </w:rPr>
        <w:t xml:space="preserve"> 2014 </w:t>
      </w:r>
      <w:r w:rsidRPr="00B50008">
        <w:rPr>
          <w:sz w:val="20"/>
          <w:highlight w:val="white"/>
        </w:rPr>
        <w:t xml:space="preserve">la mayoría de las solicitudes se presentó en inglés, a saber, el </w:t>
      </w:r>
      <w:r w:rsidRPr="00B50008">
        <w:rPr>
          <w:sz w:val="20"/>
        </w:rPr>
        <w:t xml:space="preserve">51,6%, en el último decenio aumentó la proporción de idiomas asiáticos.  El porcentaje combinado de solicitudes PCT presentadas en chino, coreano y japonés ha aumentado, pasando del </w:t>
      </w:r>
      <w:r w:rsidRPr="00B50008">
        <w:rPr>
          <w:sz w:val="20"/>
          <w:highlight w:val="white"/>
        </w:rPr>
        <w:t>29,5%</w:t>
      </w:r>
      <w:r w:rsidRPr="00B50008">
        <w:rPr>
          <w:sz w:val="20"/>
        </w:rPr>
        <w:t xml:space="preserve"> e</w:t>
      </w:r>
      <w:r w:rsidRPr="00B50008">
        <w:rPr>
          <w:sz w:val="20"/>
          <w:highlight w:val="white"/>
        </w:rPr>
        <w:t>n 2009 al</w:t>
      </w:r>
      <w:r w:rsidRPr="00B50008">
        <w:rPr>
          <w:sz w:val="20"/>
        </w:rPr>
        <w:t xml:space="preserve"> 34,5%</w:t>
      </w:r>
      <w:r w:rsidRPr="00B50008">
        <w:rPr>
          <w:sz w:val="20"/>
          <w:highlight w:val="white"/>
        </w:rPr>
        <w:t xml:space="preserve"> en 2012</w:t>
      </w:r>
      <w:r w:rsidRPr="00B50008">
        <w:rPr>
          <w:sz w:val="20"/>
        </w:rPr>
        <w:t xml:space="preserve">.  Ese porcentaje se ha mantenido estable entre </w:t>
      </w:r>
      <w:r w:rsidRPr="00B50008">
        <w:rPr>
          <w:sz w:val="20"/>
          <w:highlight w:val="white"/>
        </w:rPr>
        <w:t>2012 y 2014</w:t>
      </w:r>
      <w:r w:rsidRPr="00B50008">
        <w:rPr>
          <w:sz w:val="20"/>
        </w:rPr>
        <w:t>.  En el siguiente gráfico se presenta la evolución de idiomas distintos al inglés en la presentación de solicitudes:</w:t>
      </w:r>
    </w:p>
    <w:p w:rsidR="00236E18" w:rsidRPr="00B50008" w:rsidRDefault="00236E18" w:rsidP="00236E18">
      <w:pPr>
        <w:widowControl w:val="0"/>
        <w:spacing w:after="120"/>
        <w:rPr>
          <w:sz w:val="18"/>
          <w:szCs w:val="18"/>
        </w:rPr>
      </w:pPr>
    </w:p>
    <w:p w:rsidR="00236E18" w:rsidRPr="005D7081" w:rsidRDefault="00236E18" w:rsidP="00236E18">
      <w:pPr>
        <w:widowControl w:val="0"/>
        <w:spacing w:after="120"/>
        <w:jc w:val="center"/>
        <w:rPr>
          <w:sz w:val="20"/>
        </w:rPr>
      </w:pPr>
      <w:r w:rsidRPr="005D7081">
        <w:rPr>
          <w:b/>
          <w:bCs/>
          <w:sz w:val="20"/>
          <w:highlight w:val="white"/>
        </w:rPr>
        <w:t>Idiomas de presentación</w:t>
      </w:r>
      <w:r w:rsidRPr="005D7081">
        <w:rPr>
          <w:b/>
          <w:bCs/>
          <w:sz w:val="20"/>
        </w:rPr>
        <w:t xml:space="preserve"> </w:t>
      </w:r>
      <w:r w:rsidRPr="005D7081">
        <w:rPr>
          <w:sz w:val="20"/>
        </w:rPr>
        <w:t>(</w:t>
      </w:r>
      <w:r w:rsidRPr="005D7081">
        <w:rPr>
          <w:i/>
          <w:sz w:val="20"/>
        </w:rPr>
        <w:t>todos excepto el inglés</w:t>
      </w:r>
      <w:r w:rsidRPr="005D7081">
        <w:rPr>
          <w:sz w:val="20"/>
        </w:rPr>
        <w:t>)</w:t>
      </w:r>
    </w:p>
    <w:p w:rsidR="00236E18" w:rsidRPr="00B50008" w:rsidRDefault="00236E18" w:rsidP="00236E18">
      <w:pPr>
        <w:widowControl w:val="0"/>
        <w:spacing w:after="120"/>
        <w:jc w:val="center"/>
        <w:rPr>
          <w:sz w:val="20"/>
        </w:rPr>
      </w:pPr>
      <w:r w:rsidRPr="00B50008">
        <w:rPr>
          <w:noProof/>
          <w:lang w:val="en-US" w:eastAsia="en-US"/>
        </w:rPr>
        <w:drawing>
          <wp:inline distT="0" distB="0" distL="0" distR="0" wp14:anchorId="106017EB" wp14:editId="51824EC3">
            <wp:extent cx="5746115" cy="3172823"/>
            <wp:effectExtent l="0" t="0" r="0" b="0"/>
            <wp:docPr id="104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746115" cy="3172823"/>
                    </a:xfrm>
                    <a:prstGeom prst="rect">
                      <a:avLst/>
                    </a:prstGeom>
                    <a:noFill/>
                    <a:ln>
                      <a:noFill/>
                    </a:ln>
                  </pic:spPr>
                </pic:pic>
              </a:graphicData>
            </a:graphic>
          </wp:inline>
        </w:drawing>
      </w:r>
    </w:p>
    <w:p w:rsidR="00236E18" w:rsidRPr="00B50008" w:rsidRDefault="00236E18" w:rsidP="00236E18">
      <w:pPr>
        <w:keepLines/>
        <w:widowControl w:val="0"/>
        <w:numPr>
          <w:ilvl w:val="0"/>
          <w:numId w:val="49"/>
        </w:numPr>
        <w:rPr>
          <w:sz w:val="20"/>
        </w:rPr>
      </w:pPr>
      <w:r w:rsidRPr="00B50008">
        <w:rPr>
          <w:sz w:val="20"/>
          <w:highlight w:val="white"/>
        </w:rPr>
        <w:lastRenderedPageBreak/>
        <w:t xml:space="preserve">El marcado aumento de las solicitudes presentadas en idiomas asiáticos en los últimos cinco años ha supuesto </w:t>
      </w:r>
      <w:r w:rsidRPr="00B50008">
        <w:rPr>
          <w:sz w:val="20"/>
        </w:rPr>
        <w:t>una carga de trabajo considerable para la Oficina Internacional</w:t>
      </w:r>
      <w:r w:rsidRPr="00B50008">
        <w:rPr>
          <w:sz w:val="20"/>
          <w:highlight w:val="white"/>
        </w:rPr>
        <w:t xml:space="preserve"> debido al número limitado de recursos de personal disponibles para trabajar en esos idiomas</w:t>
      </w:r>
      <w:r w:rsidRPr="00B50008">
        <w:rPr>
          <w:sz w:val="20"/>
        </w:rPr>
        <w:t>.  La solución a ese problema está dada por la automatización de determinadas tareas y la contratación de personal que pueda trabajar en dichos idiomas.</w:t>
      </w:r>
    </w:p>
    <w:p w:rsidR="00236E18" w:rsidRPr="00B50008" w:rsidRDefault="00236E18" w:rsidP="00236E18">
      <w:pPr>
        <w:widowControl w:val="0"/>
        <w:spacing w:after="120"/>
        <w:rPr>
          <w:i/>
          <w:sz w:val="20"/>
        </w:rPr>
      </w:pPr>
    </w:p>
    <w:p w:rsidR="00236E18" w:rsidRPr="00B50008" w:rsidRDefault="00236E18" w:rsidP="00236E18">
      <w:pPr>
        <w:widowControl w:val="0"/>
        <w:spacing w:after="120"/>
        <w:rPr>
          <w:i/>
          <w:sz w:val="20"/>
        </w:rPr>
      </w:pPr>
      <w:r w:rsidRPr="00B50008">
        <w:rPr>
          <w:i/>
          <w:sz w:val="20"/>
        </w:rPr>
        <w:t>Personal</w:t>
      </w:r>
    </w:p>
    <w:p w:rsidR="00236E18" w:rsidRPr="00B50008" w:rsidRDefault="00236E18" w:rsidP="00236E18">
      <w:pPr>
        <w:widowControl w:val="0"/>
        <w:numPr>
          <w:ilvl w:val="0"/>
          <w:numId w:val="49"/>
        </w:numPr>
        <w:rPr>
          <w:sz w:val="20"/>
        </w:rPr>
      </w:pPr>
      <w:r w:rsidRPr="00B50008">
        <w:rPr>
          <w:sz w:val="20"/>
        </w:rPr>
        <w:t>El siguiente gráfico muestra el número de miembros del personal encargados de las operaciones del PCT desde 2001, expresado en equivalente de puestos a jornada completa (número de miembros del personal a jornada completa más el equivalente de puestos a jornada completa de miembros del personal a jornada parcial).</w:t>
      </w:r>
    </w:p>
    <w:p w:rsidR="00236E18" w:rsidRPr="00B50008" w:rsidRDefault="00236E18" w:rsidP="00236E18">
      <w:pPr>
        <w:widowControl w:val="0"/>
        <w:rPr>
          <w:sz w:val="20"/>
        </w:rPr>
      </w:pPr>
      <w:r w:rsidRPr="00B50008">
        <w:rPr>
          <w:noProof/>
          <w:lang w:val="en-US" w:eastAsia="en-US"/>
        </w:rPr>
        <w:drawing>
          <wp:inline distT="0" distB="0" distL="0" distR="0" wp14:anchorId="66AE7CD1" wp14:editId="4EF7410E">
            <wp:extent cx="5746115" cy="3637232"/>
            <wp:effectExtent l="0" t="0" r="6985" b="0"/>
            <wp:docPr id="104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746115" cy="3637232"/>
                    </a:xfrm>
                    <a:prstGeom prst="rect">
                      <a:avLst/>
                    </a:prstGeom>
                    <a:noFill/>
                    <a:ln>
                      <a:noFill/>
                    </a:ln>
                  </pic:spPr>
                </pic:pic>
              </a:graphicData>
            </a:graphic>
          </wp:inline>
        </w:drawing>
      </w:r>
    </w:p>
    <w:p w:rsidR="00236E18" w:rsidRPr="00B50008" w:rsidRDefault="00236E18" w:rsidP="00236E18">
      <w:pPr>
        <w:widowControl w:val="0"/>
        <w:numPr>
          <w:ilvl w:val="0"/>
          <w:numId w:val="47"/>
        </w:numPr>
        <w:tabs>
          <w:tab w:val="clear" w:pos="720"/>
          <w:tab w:val="num" w:pos="1100"/>
        </w:tabs>
        <w:ind w:left="1100" w:hanging="550"/>
        <w:rPr>
          <w:sz w:val="20"/>
        </w:rPr>
      </w:pPr>
      <w:r w:rsidRPr="00B50008">
        <w:rPr>
          <w:sz w:val="20"/>
          <w:highlight w:val="white"/>
        </w:rPr>
        <w:t>El número de miembros del personal de la División de Operaciones del PCT siguió disminuyendo en 2014</w:t>
      </w:r>
      <w:r w:rsidRPr="00B50008">
        <w:rPr>
          <w:sz w:val="20"/>
        </w:rPr>
        <w:t>.</w:t>
      </w:r>
    </w:p>
    <w:p w:rsidR="00236E18" w:rsidRPr="00B50008" w:rsidRDefault="00236E18" w:rsidP="00236E18">
      <w:pPr>
        <w:widowControl w:val="0"/>
        <w:spacing w:after="120"/>
        <w:rPr>
          <w:sz w:val="20"/>
          <w:u w:val="single"/>
        </w:rPr>
      </w:pPr>
    </w:p>
    <w:p w:rsidR="00236E18" w:rsidRPr="00B50008" w:rsidRDefault="00236E18" w:rsidP="00236E18">
      <w:pPr>
        <w:widowControl w:val="0"/>
        <w:rPr>
          <w:i/>
          <w:sz w:val="20"/>
        </w:rPr>
      </w:pPr>
      <w:r w:rsidRPr="00B50008">
        <w:rPr>
          <w:i/>
          <w:sz w:val="20"/>
        </w:rPr>
        <w:t>Costo unitario de tramitación de las solicitudes</w:t>
      </w:r>
    </w:p>
    <w:p w:rsidR="00236E18" w:rsidRPr="00B50008" w:rsidRDefault="00236E18" w:rsidP="00236E18">
      <w:pPr>
        <w:widowControl w:val="0"/>
        <w:rPr>
          <w:sz w:val="20"/>
        </w:rPr>
      </w:pPr>
    </w:p>
    <w:p w:rsidR="00236E18" w:rsidRPr="00B50008" w:rsidRDefault="00236E18" w:rsidP="00236E18">
      <w:pPr>
        <w:widowControl w:val="0"/>
        <w:numPr>
          <w:ilvl w:val="0"/>
          <w:numId w:val="49"/>
        </w:numPr>
        <w:rPr>
          <w:sz w:val="20"/>
        </w:rPr>
      </w:pPr>
      <w:r w:rsidRPr="00B50008">
        <w:rPr>
          <w:sz w:val="20"/>
        </w:rPr>
        <w:t>La productividad de la Oficina Internacional en cuanto a la tramitación de las solicitudes PCT puede medirse por el costo unitario de tramitación, definido como el costo medio total de publicación de una solicitud PCT.  El costo medio total se determina sumando el gasto total directo del Sistema del PCT</w:t>
      </w:r>
      <w:r w:rsidRPr="00B50008">
        <w:rPr>
          <w:sz w:val="20"/>
          <w:highlight w:val="white"/>
        </w:rPr>
        <w:t xml:space="preserve"> </w:t>
      </w:r>
      <w:r w:rsidRPr="00B50008">
        <w:rPr>
          <w:sz w:val="20"/>
        </w:rPr>
        <w:t xml:space="preserve">(gasto en que ha incurrido la Oficina Internacional por la administración del Sistema PCT y programas conexos) a una proporción de gasto </w:t>
      </w:r>
      <w:r w:rsidRPr="00B50008">
        <w:rPr>
          <w:sz w:val="20"/>
          <w:highlight w:val="white"/>
        </w:rPr>
        <w:t>indirecto en concepto de actividades de apoyo y gestión</w:t>
      </w:r>
      <w:r w:rsidRPr="00B50008">
        <w:rPr>
          <w:sz w:val="20"/>
        </w:rPr>
        <w:t xml:space="preserve"> (por ejemplo</w:t>
      </w:r>
      <w:r w:rsidRPr="00B50008">
        <w:rPr>
          <w:sz w:val="20"/>
          <w:highlight w:val="white"/>
        </w:rPr>
        <w:t xml:space="preserve">, </w:t>
      </w:r>
      <w:r w:rsidRPr="00B50008">
        <w:rPr>
          <w:sz w:val="20"/>
        </w:rPr>
        <w:t>edificios y tecnología de la información, entre otros).  Los costos indirectos se ponderan para tener en cuenta únicamente la proporción imputable al Sistema del PCT.  Por lo tanto, el costo unitario abarca el costo de todas las actividades del PCT, incluidas la traducción, la comunicación, la gestión y otras.</w:t>
      </w:r>
    </w:p>
    <w:p w:rsidR="00236E18" w:rsidRPr="00B50008" w:rsidRDefault="00236E18" w:rsidP="00236E18">
      <w:pPr>
        <w:widowControl w:val="0"/>
        <w:jc w:val="both"/>
        <w:rPr>
          <w:sz w:val="20"/>
        </w:rPr>
      </w:pPr>
    </w:p>
    <w:p w:rsidR="00236E18" w:rsidRPr="00B50008" w:rsidRDefault="00236E18" w:rsidP="00236E18">
      <w:pPr>
        <w:widowControl w:val="0"/>
        <w:numPr>
          <w:ilvl w:val="0"/>
          <w:numId w:val="49"/>
        </w:numPr>
        <w:rPr>
          <w:sz w:val="20"/>
        </w:rPr>
      </w:pPr>
      <w:r w:rsidRPr="00B50008">
        <w:rPr>
          <w:sz w:val="20"/>
        </w:rPr>
        <w:t xml:space="preserve">El método para calcular el costo unitario fue revisado en 2013 para ponerlo en sintonía con los cálculos de costos relativos a otras unidades/uniones de la OMPI y para tener mejor en cuenta un entorno en rápida evolución.  </w:t>
      </w:r>
      <w:r w:rsidRPr="00B50008">
        <w:rPr>
          <w:sz w:val="20"/>
          <w:highlight w:val="white"/>
        </w:rPr>
        <w:t xml:space="preserve">Por ejemplo, </w:t>
      </w:r>
      <w:r w:rsidRPr="00B50008">
        <w:rPr>
          <w:sz w:val="20"/>
        </w:rPr>
        <w:t>conforme al método antiguo, concebido en 2007, se tenía en cuenta un costo de almacenamiento (por más de 30 años) en depósitos;  sin embargo, la presentación en papel (incluidas las presentaciones de solicitudes mediante el sistema PCT EASY) representó menos del 10% de las solicitudes presentadas en 2013.  El costo unitario de 2012 fue calculado con arreglo a ambos métodos.  Dicho costo fue de 680 francos suizos conforme al método antiguo y de 712 francos suizos conforme al nuevo método.  La diferencia de 32 francos suizos se debe al nuevo método de atribución de los costos indirectos.</w:t>
      </w:r>
    </w:p>
    <w:p w:rsidR="00236E18" w:rsidRPr="00B50008" w:rsidRDefault="00236E18" w:rsidP="00236E18">
      <w:pPr>
        <w:widowControl w:val="0"/>
        <w:jc w:val="both"/>
        <w:rPr>
          <w:sz w:val="20"/>
        </w:rPr>
      </w:pPr>
    </w:p>
    <w:p w:rsidR="00236E18" w:rsidRPr="00B50008" w:rsidRDefault="00236E18" w:rsidP="00236E18">
      <w:pPr>
        <w:widowControl w:val="0"/>
        <w:numPr>
          <w:ilvl w:val="0"/>
          <w:numId w:val="49"/>
        </w:numPr>
        <w:rPr>
          <w:sz w:val="20"/>
        </w:rPr>
      </w:pPr>
      <w:r w:rsidRPr="00B50008">
        <w:rPr>
          <w:sz w:val="20"/>
        </w:rPr>
        <w:t>Formalmente, el costo unitario se define de la siguiente manera:</w:t>
      </w:r>
    </w:p>
    <w:p w:rsidR="00236E18" w:rsidRPr="00B50008" w:rsidRDefault="00236E18" w:rsidP="00236E18">
      <w:pPr>
        <w:widowControl w:val="0"/>
        <w:rPr>
          <w:sz w:val="20"/>
        </w:rPr>
      </w:pPr>
    </w:p>
    <w:p w:rsidR="00236E18" w:rsidRPr="00B50008" w:rsidRDefault="00236E18" w:rsidP="00236E18">
      <w:pPr>
        <w:widowControl w:val="0"/>
        <w:jc w:val="center"/>
        <w:rPr>
          <w:sz w:val="20"/>
        </w:rPr>
      </w:pPr>
      <w:r w:rsidRPr="00B50008">
        <w:rPr>
          <w:noProof/>
          <w:lang w:val="en-US" w:eastAsia="en-US"/>
        </w:rPr>
        <w:drawing>
          <wp:inline distT="0" distB="0" distL="0" distR="0" wp14:anchorId="215ED5DE" wp14:editId="4E3F6D94">
            <wp:extent cx="2484120" cy="344805"/>
            <wp:effectExtent l="0" t="0" r="0" b="0"/>
            <wp:docPr id="104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484120" cy="344805"/>
                    </a:xfrm>
                    <a:prstGeom prst="rect">
                      <a:avLst/>
                    </a:prstGeom>
                    <a:noFill/>
                    <a:ln>
                      <a:noFill/>
                    </a:ln>
                  </pic:spPr>
                </pic:pic>
              </a:graphicData>
            </a:graphic>
          </wp:inline>
        </w:drawing>
      </w:r>
    </w:p>
    <w:p w:rsidR="00236E18" w:rsidRPr="00B50008" w:rsidRDefault="00236E18" w:rsidP="00236E18">
      <w:pPr>
        <w:widowControl w:val="0"/>
        <w:rPr>
          <w:sz w:val="20"/>
          <w:highlight w:val="yellow"/>
        </w:rPr>
      </w:pPr>
    </w:p>
    <w:p w:rsidR="00236E18" w:rsidRPr="00B50008" w:rsidRDefault="00236E18" w:rsidP="00236E18">
      <w:pPr>
        <w:widowControl w:val="0"/>
        <w:numPr>
          <w:ilvl w:val="0"/>
          <w:numId w:val="49"/>
        </w:numPr>
        <w:rPr>
          <w:sz w:val="20"/>
        </w:rPr>
      </w:pPr>
      <w:r w:rsidRPr="00B50008">
        <w:rPr>
          <w:sz w:val="20"/>
        </w:rPr>
        <w:t>En los gráficos que figuran a continuación se ilustra la evolución del costo unitario de tramitación desde 2004 hasta 2012, utilizando el método antiguo, y desde</w:t>
      </w:r>
      <w:r w:rsidRPr="00B50008">
        <w:rPr>
          <w:sz w:val="20"/>
          <w:highlight w:val="white"/>
        </w:rPr>
        <w:t xml:space="preserve"> 2012 hasta 2014</w:t>
      </w:r>
      <w:r w:rsidRPr="00B50008">
        <w:rPr>
          <w:sz w:val="20"/>
        </w:rPr>
        <w:t xml:space="preserve"> </w:t>
      </w:r>
      <w:r w:rsidRPr="00B50008">
        <w:rPr>
          <w:sz w:val="20"/>
          <w:highlight w:val="white"/>
        </w:rPr>
        <w:t>utilizando el nuevo método</w:t>
      </w:r>
      <w:r w:rsidRPr="00B50008">
        <w:rPr>
          <w:sz w:val="20"/>
        </w:rPr>
        <w:t>, incluido un desglose de la parte correspondiente a los costos directos e indirectos.</w:t>
      </w:r>
    </w:p>
    <w:p w:rsidR="00236E18" w:rsidRPr="00B50008" w:rsidRDefault="00236E18" w:rsidP="00236E18">
      <w:pPr>
        <w:widowControl w:val="0"/>
        <w:rPr>
          <w:sz w:val="20"/>
        </w:rPr>
      </w:pPr>
    </w:p>
    <w:p w:rsidR="00236E18" w:rsidRDefault="00236E18" w:rsidP="00236E18">
      <w:pPr>
        <w:widowControl w:val="0"/>
        <w:jc w:val="center"/>
        <w:rPr>
          <w:b/>
          <w:sz w:val="20"/>
        </w:rPr>
      </w:pPr>
      <w:r w:rsidRPr="00B50008">
        <w:rPr>
          <w:b/>
          <w:sz w:val="20"/>
        </w:rPr>
        <w:t>Costo de tramitación de una solicitud PCT publicada</w:t>
      </w:r>
    </w:p>
    <w:p w:rsidR="00236E18" w:rsidRPr="00B50008" w:rsidRDefault="00236E18" w:rsidP="00236E18">
      <w:pPr>
        <w:widowControl w:val="0"/>
        <w:jc w:val="cente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2"/>
        <w:gridCol w:w="4433"/>
      </w:tblGrid>
      <w:tr w:rsidR="00236E18" w:rsidRPr="00B50008" w:rsidTr="00294272">
        <w:tc>
          <w:tcPr>
            <w:tcW w:w="4832" w:type="dxa"/>
            <w:shd w:val="clear" w:color="auto" w:fill="auto"/>
          </w:tcPr>
          <w:p w:rsidR="00236E18" w:rsidRPr="00B50008" w:rsidRDefault="00236E18" w:rsidP="00294272">
            <w:pPr>
              <w:widowControl w:val="0"/>
              <w:jc w:val="center"/>
              <w:rPr>
                <w:sz w:val="20"/>
                <w:highlight w:val="yellow"/>
              </w:rPr>
            </w:pPr>
            <w:r w:rsidRPr="00E007F3">
              <w:rPr>
                <w:sz w:val="20"/>
              </w:rPr>
              <w:t>Método antiguo</w:t>
            </w:r>
          </w:p>
        </w:tc>
        <w:tc>
          <w:tcPr>
            <w:tcW w:w="4433" w:type="dxa"/>
            <w:shd w:val="clear" w:color="auto" w:fill="auto"/>
          </w:tcPr>
          <w:p w:rsidR="00236E18" w:rsidRPr="00B50008" w:rsidRDefault="00236E18" w:rsidP="00294272">
            <w:pPr>
              <w:widowControl w:val="0"/>
              <w:jc w:val="center"/>
              <w:rPr>
                <w:sz w:val="20"/>
              </w:rPr>
            </w:pPr>
            <w:r w:rsidRPr="00B50008">
              <w:rPr>
                <w:sz w:val="20"/>
              </w:rPr>
              <w:t>Método nuevo</w:t>
            </w:r>
          </w:p>
        </w:tc>
      </w:tr>
      <w:tr w:rsidR="00236E18" w:rsidRPr="00B50008" w:rsidTr="00294272">
        <w:tc>
          <w:tcPr>
            <w:tcW w:w="4832" w:type="dxa"/>
            <w:shd w:val="clear" w:color="auto" w:fill="auto"/>
          </w:tcPr>
          <w:p w:rsidR="00236E18" w:rsidRPr="00B50008" w:rsidRDefault="00236E18" w:rsidP="00294272">
            <w:pPr>
              <w:widowControl w:val="0"/>
            </w:pPr>
            <w:r>
              <w:rPr>
                <w:noProof/>
                <w:lang w:val="en-US" w:eastAsia="en-US"/>
              </w:rPr>
              <w:drawing>
                <wp:inline distT="0" distB="0" distL="0" distR="0" wp14:anchorId="2EFA23B7" wp14:editId="4D38EC76">
                  <wp:extent cx="2800350" cy="1773039"/>
                  <wp:effectExtent l="0" t="0" r="0" b="0"/>
                  <wp:docPr id="806" name="Imagen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805052" cy="1776016"/>
                          </a:xfrm>
                          <a:prstGeom prst="rect">
                            <a:avLst/>
                          </a:prstGeom>
                          <a:noFill/>
                          <a:ln>
                            <a:noFill/>
                          </a:ln>
                        </pic:spPr>
                      </pic:pic>
                    </a:graphicData>
                  </a:graphic>
                </wp:inline>
              </w:drawing>
            </w:r>
          </w:p>
        </w:tc>
        <w:tc>
          <w:tcPr>
            <w:tcW w:w="4433" w:type="dxa"/>
            <w:shd w:val="clear" w:color="auto" w:fill="auto"/>
          </w:tcPr>
          <w:p w:rsidR="00236E18" w:rsidRPr="00B50008" w:rsidRDefault="00236E18" w:rsidP="00294272">
            <w:pPr>
              <w:widowControl w:val="0"/>
            </w:pPr>
            <w:r w:rsidRPr="00B50008">
              <w:object w:dxaOrig="11010" w:dyaOrig="6645">
                <v:shape id="_x0000_i1025" type="#_x0000_t75" style="width:209.25pt;height:171pt" o:ole="">
                  <v:imagedata r:id="rId264" o:title=""/>
                </v:shape>
                <o:OLEObject Type="Embed" ProgID="PBrush" ShapeID="_x0000_i1025" DrawAspect="Content" ObjectID="_1505317331" r:id="rId265"/>
              </w:object>
            </w:r>
          </w:p>
        </w:tc>
      </w:tr>
    </w:tbl>
    <w:p w:rsidR="00236E18" w:rsidRPr="00B50008" w:rsidRDefault="00236E18" w:rsidP="00236E18">
      <w:pPr>
        <w:widowControl w:val="0"/>
        <w:numPr>
          <w:ilvl w:val="0"/>
          <w:numId w:val="47"/>
        </w:numPr>
        <w:tabs>
          <w:tab w:val="clear" w:pos="720"/>
          <w:tab w:val="num" w:pos="1134"/>
        </w:tabs>
        <w:ind w:left="1134" w:hanging="567"/>
        <w:jc w:val="both"/>
        <w:rPr>
          <w:sz w:val="20"/>
        </w:rPr>
      </w:pPr>
      <w:r w:rsidRPr="00B50008">
        <w:rPr>
          <w:sz w:val="20"/>
          <w:highlight w:val="white"/>
        </w:rPr>
        <w:t xml:space="preserve">El costo medio de tramitación de una solicitud PCT </w:t>
      </w:r>
      <w:r w:rsidRPr="00B50008">
        <w:rPr>
          <w:sz w:val="20"/>
        </w:rPr>
        <w:t>publicada fue de 662 francos suizos</w:t>
      </w:r>
      <w:r w:rsidRPr="00B50008">
        <w:rPr>
          <w:sz w:val="20"/>
          <w:highlight w:val="white"/>
        </w:rPr>
        <w:t xml:space="preserve"> en 2014</w:t>
      </w:r>
      <w:r w:rsidRPr="00B50008">
        <w:rPr>
          <w:sz w:val="20"/>
        </w:rPr>
        <w:t>, lo que representa una disminución del </w:t>
      </w:r>
      <w:r w:rsidRPr="00B50008">
        <w:rPr>
          <w:sz w:val="20"/>
          <w:highlight w:val="white"/>
        </w:rPr>
        <w:t>8.3%</w:t>
      </w:r>
      <w:r w:rsidRPr="00B50008">
        <w:rPr>
          <w:sz w:val="20"/>
        </w:rPr>
        <w:t xml:space="preserve"> en comparación con 2013.  Esa disminución se debe a varias medidas destinadas a fomentar la eficiencia, entre otras, la automatización.</w:t>
      </w:r>
    </w:p>
    <w:p w:rsidR="00236E18" w:rsidRPr="00B50008" w:rsidRDefault="00236E18" w:rsidP="00236E18">
      <w:pPr>
        <w:pStyle w:val="ListParagraph"/>
        <w:widowControl w:val="0"/>
        <w:tabs>
          <w:tab w:val="num" w:pos="1134"/>
        </w:tabs>
        <w:ind w:left="1134" w:hanging="567"/>
        <w:rPr>
          <w:rFonts w:ascii="Arial" w:hAnsi="Arial"/>
          <w:sz w:val="20"/>
          <w:szCs w:val="20"/>
          <w:lang w:val="es-ES"/>
        </w:rPr>
      </w:pPr>
    </w:p>
    <w:p w:rsidR="00236E18" w:rsidRPr="00B50008" w:rsidRDefault="00236E18" w:rsidP="00236E18">
      <w:pPr>
        <w:pStyle w:val="ListParagraph"/>
        <w:widowControl w:val="0"/>
        <w:numPr>
          <w:ilvl w:val="0"/>
          <w:numId w:val="47"/>
        </w:numPr>
        <w:tabs>
          <w:tab w:val="clear" w:pos="720"/>
          <w:tab w:val="num" w:pos="1134"/>
        </w:tabs>
        <w:spacing w:after="200"/>
        <w:ind w:left="1134" w:hanging="567"/>
        <w:jc w:val="both"/>
        <w:rPr>
          <w:rFonts w:ascii="Arial" w:hAnsi="Arial"/>
          <w:sz w:val="20"/>
          <w:szCs w:val="20"/>
          <w:lang w:val="es-ES"/>
        </w:rPr>
      </w:pPr>
      <w:r w:rsidRPr="00B50008">
        <w:rPr>
          <w:rFonts w:ascii="Arial" w:hAnsi="Arial"/>
          <w:sz w:val="20"/>
          <w:szCs w:val="20"/>
          <w:highlight w:val="white"/>
          <w:lang w:val="es-ES"/>
        </w:rPr>
        <w:t>El costo medio de tramitación de una solicitud PCT publicada, calculado conforme al método antiguo disminuyó del 5</w:t>
      </w:r>
      <w:r w:rsidRPr="00B50008">
        <w:rPr>
          <w:rFonts w:ascii="Arial" w:hAnsi="Arial"/>
          <w:sz w:val="20"/>
          <w:szCs w:val="20"/>
          <w:lang w:val="es-ES"/>
        </w:rPr>
        <w:t>% anual en promedio, pasando de</w:t>
      </w:r>
      <w:r w:rsidRPr="00B50008">
        <w:rPr>
          <w:rFonts w:ascii="Arial" w:hAnsi="Arial"/>
          <w:sz w:val="20"/>
          <w:szCs w:val="20"/>
          <w:highlight w:val="white"/>
          <w:lang w:val="es-ES"/>
        </w:rPr>
        <w:t xml:space="preserve"> 1.042 francos suizos en 2004 a 680 francos suizos en 2012</w:t>
      </w:r>
      <w:r w:rsidRPr="00B50008">
        <w:rPr>
          <w:rFonts w:ascii="Arial" w:hAnsi="Arial"/>
          <w:sz w:val="20"/>
          <w:szCs w:val="20"/>
          <w:lang w:val="es-ES"/>
        </w:rPr>
        <w:t>.</w:t>
      </w:r>
    </w:p>
    <w:p w:rsidR="00236E18" w:rsidRPr="00B50008" w:rsidRDefault="00236E18" w:rsidP="00236E18">
      <w:pPr>
        <w:widowControl w:val="0"/>
        <w:rPr>
          <w:i/>
          <w:sz w:val="20"/>
          <w:highlight w:val="yellow"/>
        </w:rPr>
      </w:pPr>
    </w:p>
    <w:p w:rsidR="00236E18" w:rsidRPr="00B50008" w:rsidRDefault="00236E18" w:rsidP="00236E18">
      <w:pPr>
        <w:widowControl w:val="0"/>
        <w:rPr>
          <w:i/>
          <w:sz w:val="20"/>
        </w:rPr>
      </w:pPr>
      <w:r w:rsidRPr="00B50008">
        <w:rPr>
          <w:i/>
          <w:sz w:val="20"/>
        </w:rPr>
        <w:t>Productividad en el examen de forma</w:t>
      </w:r>
    </w:p>
    <w:p w:rsidR="00236E18" w:rsidRPr="00B50008" w:rsidRDefault="00236E18" w:rsidP="00236E18">
      <w:pPr>
        <w:widowControl w:val="0"/>
        <w:rPr>
          <w:sz w:val="20"/>
        </w:rPr>
      </w:pPr>
    </w:p>
    <w:p w:rsidR="00236E18" w:rsidRPr="00B50008" w:rsidRDefault="00236E18" w:rsidP="00236E18">
      <w:pPr>
        <w:widowControl w:val="0"/>
        <w:numPr>
          <w:ilvl w:val="0"/>
          <w:numId w:val="49"/>
        </w:numPr>
        <w:rPr>
          <w:sz w:val="20"/>
        </w:rPr>
      </w:pPr>
      <w:r w:rsidRPr="00B50008">
        <w:rPr>
          <w:sz w:val="20"/>
        </w:rPr>
        <w:t>La definición de productividad del personal consiste en el valor de la producción (esto es, el número de publicaciones del PCT) dividido entre el número de miembros del personal encargados del examen de forma.</w:t>
      </w:r>
    </w:p>
    <w:p w:rsidR="00236E18" w:rsidRPr="00B50008" w:rsidRDefault="00236E18" w:rsidP="00236E18">
      <w:pPr>
        <w:widowControl w:val="0"/>
        <w:rPr>
          <w:sz w:val="20"/>
        </w:rPr>
      </w:pPr>
    </w:p>
    <w:p w:rsidR="00236E18" w:rsidRPr="00B50008" w:rsidRDefault="00236E18" w:rsidP="00236E18">
      <w:pPr>
        <w:keepNext/>
        <w:widowControl w:val="0"/>
        <w:jc w:val="center"/>
        <w:rPr>
          <w:b/>
          <w:sz w:val="20"/>
        </w:rPr>
      </w:pPr>
      <w:r w:rsidRPr="00B50008">
        <w:rPr>
          <w:b/>
          <w:sz w:val="20"/>
        </w:rPr>
        <w:lastRenderedPageBreak/>
        <w:t>Productividad en el examen de forma</w:t>
      </w:r>
    </w:p>
    <w:p w:rsidR="00236E18" w:rsidRPr="00B50008" w:rsidRDefault="00236E18" w:rsidP="00236E18">
      <w:pPr>
        <w:keepNext/>
        <w:widowControl w:val="0"/>
        <w:jc w:val="center"/>
        <w:rPr>
          <w:b/>
          <w:sz w:val="20"/>
        </w:rPr>
      </w:pPr>
      <w:r w:rsidRPr="00B50008">
        <w:rPr>
          <w:b/>
          <w:noProof/>
          <w:sz w:val="20"/>
          <w:lang w:val="en-US" w:eastAsia="en-US"/>
        </w:rPr>
        <w:drawing>
          <wp:inline distT="0" distB="0" distL="0" distR="0" wp14:anchorId="56A83D3E" wp14:editId="0F426651">
            <wp:extent cx="5745480" cy="3019425"/>
            <wp:effectExtent l="0" t="0" r="7620" b="9525"/>
            <wp:docPr id="104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745480" cy="3019425"/>
                    </a:xfrm>
                    <a:prstGeom prst="rect">
                      <a:avLst/>
                    </a:prstGeom>
                    <a:noFill/>
                    <a:ln>
                      <a:noFill/>
                    </a:ln>
                  </pic:spPr>
                </pic:pic>
              </a:graphicData>
            </a:graphic>
          </wp:inline>
        </w:drawing>
      </w:r>
    </w:p>
    <w:p w:rsidR="00236E18" w:rsidRPr="00B50008" w:rsidRDefault="00236E18" w:rsidP="00236E18">
      <w:pPr>
        <w:pStyle w:val="ListParagraph"/>
        <w:keepNext/>
        <w:widowControl w:val="0"/>
        <w:numPr>
          <w:ilvl w:val="0"/>
          <w:numId w:val="47"/>
        </w:numPr>
        <w:tabs>
          <w:tab w:val="clear" w:pos="720"/>
          <w:tab w:val="num" w:pos="1134"/>
        </w:tabs>
        <w:spacing w:after="200"/>
        <w:ind w:left="1134" w:hanging="567"/>
        <w:jc w:val="both"/>
        <w:rPr>
          <w:rFonts w:ascii="Arial" w:hAnsi="Arial"/>
          <w:sz w:val="20"/>
          <w:szCs w:val="20"/>
          <w:lang w:val="es-ES"/>
        </w:rPr>
      </w:pPr>
      <w:r w:rsidRPr="00B50008">
        <w:rPr>
          <w:rFonts w:ascii="Arial" w:hAnsi="Arial"/>
          <w:sz w:val="20"/>
          <w:szCs w:val="20"/>
          <w:highlight w:val="white"/>
          <w:lang w:val="es-ES"/>
        </w:rPr>
        <w:t>Históricamente, la productividad del examen de forma ha aumentado a lo largo del tiempo debido, principalmente, a la automatización que ha permitido que un menor o igual número de miembros del personal pueda tramitar un volumen de trabajo mucho mayor</w:t>
      </w:r>
      <w:r w:rsidRPr="00B50008">
        <w:rPr>
          <w:rFonts w:ascii="Arial" w:hAnsi="Arial"/>
          <w:sz w:val="20"/>
          <w:szCs w:val="20"/>
          <w:lang w:val="es-ES"/>
        </w:rPr>
        <w:t>.</w:t>
      </w:r>
    </w:p>
    <w:p w:rsidR="00236E18" w:rsidRPr="00B50008" w:rsidRDefault="00236E18" w:rsidP="00236E18">
      <w:pPr>
        <w:widowControl w:val="0"/>
        <w:rPr>
          <w:bCs/>
          <w:szCs w:val="22"/>
        </w:rPr>
      </w:pPr>
    </w:p>
    <w:p w:rsidR="00236E18" w:rsidRPr="00B50008" w:rsidRDefault="00236E18" w:rsidP="00236E18">
      <w:pPr>
        <w:widowControl w:val="0"/>
        <w:rPr>
          <w:i/>
          <w:sz w:val="20"/>
        </w:rPr>
      </w:pPr>
      <w:r w:rsidRPr="00B50008">
        <w:rPr>
          <w:i/>
          <w:sz w:val="20"/>
        </w:rPr>
        <w:t>Calidad global del examen de forma</w:t>
      </w:r>
    </w:p>
    <w:p w:rsidR="00236E18" w:rsidRPr="00B50008" w:rsidRDefault="00236E18" w:rsidP="00236E18">
      <w:pPr>
        <w:widowControl w:val="0"/>
        <w:rPr>
          <w:sz w:val="20"/>
        </w:rPr>
      </w:pPr>
    </w:p>
    <w:p w:rsidR="00236E18" w:rsidRPr="00B50008" w:rsidRDefault="00236E18" w:rsidP="00236E18">
      <w:pPr>
        <w:widowControl w:val="0"/>
        <w:numPr>
          <w:ilvl w:val="0"/>
          <w:numId w:val="49"/>
        </w:numPr>
        <w:rPr>
          <w:sz w:val="20"/>
        </w:rPr>
      </w:pPr>
      <w:r w:rsidRPr="00B50008">
        <w:rPr>
          <w:sz w:val="20"/>
        </w:rPr>
        <w:t>Con el fin de medir la calidad del trabajo realizado por la Oficina Internacional de una manera sencilla e integral, la Oficina Internacional ha elaborado un indicador de calidad global, que es el promedio de cuatro indicadores de calidad principales.   Tres de ellos se basan en el tiempo necesario para efectuar las transacciones fundamentales</w:t>
      </w:r>
      <w:proofErr w:type="gramStart"/>
      <w:r w:rsidRPr="00B50008">
        <w:rPr>
          <w:sz w:val="20"/>
        </w:rPr>
        <w:t xml:space="preserve">: </w:t>
      </w:r>
      <w:r>
        <w:rPr>
          <w:sz w:val="20"/>
        </w:rPr>
        <w:t xml:space="preserve"> </w:t>
      </w:r>
      <w:r w:rsidRPr="00B50008">
        <w:rPr>
          <w:sz w:val="20"/>
        </w:rPr>
        <w:t>acuse</w:t>
      </w:r>
      <w:proofErr w:type="gramEnd"/>
      <w:r w:rsidRPr="00B50008">
        <w:rPr>
          <w:sz w:val="20"/>
        </w:rPr>
        <w:t xml:space="preserve"> de recibo de la solicitud PCT, publicación y nueva publicación.   El cuarto indicador da cuenta de los errores cometidos en el curso de la tramitación de solicitudes PCT.</w:t>
      </w:r>
    </w:p>
    <w:p w:rsidR="00236E18" w:rsidRPr="00B50008" w:rsidRDefault="00236E18" w:rsidP="00236E18">
      <w:pPr>
        <w:widowControl w:val="0"/>
        <w:rPr>
          <w:sz w:val="20"/>
        </w:rPr>
      </w:pPr>
    </w:p>
    <w:p w:rsidR="00236E18" w:rsidRPr="00B50008" w:rsidRDefault="00236E18" w:rsidP="00236E18">
      <w:pPr>
        <w:pStyle w:val="BodyText2"/>
        <w:widowControl w:val="0"/>
        <w:spacing w:line="240" w:lineRule="auto"/>
        <w:jc w:val="center"/>
        <w:rPr>
          <w:rFonts w:ascii="Arial" w:hAnsi="Arial" w:cs="Arial"/>
          <w:b/>
          <w:bCs/>
          <w:sz w:val="20"/>
          <w:szCs w:val="18"/>
          <w:lang w:val="es-ES"/>
        </w:rPr>
      </w:pPr>
      <w:r w:rsidRPr="00B50008">
        <w:rPr>
          <w:rFonts w:ascii="Arial" w:hAnsi="Arial" w:cs="Arial"/>
          <w:b/>
          <w:bCs/>
          <w:sz w:val="20"/>
          <w:szCs w:val="18"/>
          <w:lang w:val="es-ES"/>
        </w:rPr>
        <w:t>Índice de calidad del examen de forma</w:t>
      </w:r>
    </w:p>
    <w:p w:rsidR="00236E18" w:rsidRPr="00B50008" w:rsidRDefault="00236E18" w:rsidP="00236E18">
      <w:pPr>
        <w:pStyle w:val="BodyText2"/>
        <w:widowControl w:val="0"/>
        <w:spacing w:line="240" w:lineRule="auto"/>
        <w:jc w:val="center"/>
        <w:rPr>
          <w:rFonts w:ascii="Arial" w:hAnsi="Arial" w:cs="Arial"/>
          <w:b/>
          <w:bCs/>
          <w:sz w:val="20"/>
          <w:szCs w:val="18"/>
          <w:lang w:val="es-ES"/>
        </w:rPr>
      </w:pPr>
      <w:r w:rsidRPr="00625840">
        <w:rPr>
          <w:noProof/>
        </w:rPr>
        <w:drawing>
          <wp:inline distT="0" distB="0" distL="0" distR="0" wp14:anchorId="77334A14" wp14:editId="05ADEBA9">
            <wp:extent cx="5746115" cy="2662721"/>
            <wp:effectExtent l="0" t="0" r="6985" b="4445"/>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746115" cy="2662721"/>
                    </a:xfrm>
                    <a:prstGeom prst="rect">
                      <a:avLst/>
                    </a:prstGeom>
                    <a:noFill/>
                    <a:ln>
                      <a:noFill/>
                    </a:ln>
                  </pic:spPr>
                </pic:pic>
              </a:graphicData>
            </a:graphic>
          </wp:inline>
        </w:drawing>
      </w:r>
    </w:p>
    <w:p w:rsidR="00236E18" w:rsidRPr="00B50008" w:rsidRDefault="00236E18" w:rsidP="00236E18">
      <w:pPr>
        <w:widowControl w:val="0"/>
        <w:numPr>
          <w:ilvl w:val="0"/>
          <w:numId w:val="51"/>
        </w:numPr>
        <w:ind w:left="1134" w:hanging="584"/>
        <w:jc w:val="both"/>
        <w:rPr>
          <w:sz w:val="20"/>
        </w:rPr>
      </w:pPr>
      <w:r w:rsidRPr="00B50008">
        <w:rPr>
          <w:sz w:val="20"/>
        </w:rPr>
        <w:t xml:space="preserve">La calidad general, de acuerdo con el índice global, ha mejorado notablemente, pasando del </w:t>
      </w:r>
      <w:r w:rsidRPr="00B50008">
        <w:rPr>
          <w:sz w:val="20"/>
          <w:highlight w:val="white"/>
        </w:rPr>
        <w:t>81%</w:t>
      </w:r>
      <w:r w:rsidRPr="00B50008">
        <w:rPr>
          <w:sz w:val="20"/>
        </w:rPr>
        <w:t>, en promedio, en 2007 al 93,1%</w:t>
      </w:r>
      <w:r w:rsidRPr="00B50008">
        <w:rPr>
          <w:sz w:val="20"/>
          <w:highlight w:val="white"/>
        </w:rPr>
        <w:t xml:space="preserve"> en 2014</w:t>
      </w:r>
      <w:r w:rsidRPr="00B50008">
        <w:rPr>
          <w:sz w:val="20"/>
        </w:rPr>
        <w:t>.</w:t>
      </w:r>
    </w:p>
    <w:p w:rsidR="00236E18" w:rsidRPr="00B50008" w:rsidRDefault="00236E18" w:rsidP="00236E18">
      <w:pPr>
        <w:keepLines/>
        <w:widowControl w:val="0"/>
        <w:ind w:left="1134"/>
        <w:jc w:val="both"/>
        <w:rPr>
          <w:sz w:val="20"/>
        </w:rPr>
      </w:pPr>
    </w:p>
    <w:p w:rsidR="00236E18" w:rsidRPr="00B50008" w:rsidRDefault="00236E18" w:rsidP="00236E18">
      <w:pPr>
        <w:keepLines/>
        <w:widowControl w:val="0"/>
        <w:numPr>
          <w:ilvl w:val="0"/>
          <w:numId w:val="51"/>
        </w:numPr>
        <w:ind w:left="1134" w:hanging="584"/>
        <w:jc w:val="both"/>
        <w:rPr>
          <w:sz w:val="20"/>
        </w:rPr>
      </w:pPr>
      <w:r w:rsidRPr="00B50008">
        <w:rPr>
          <w:sz w:val="20"/>
        </w:rPr>
        <w:lastRenderedPageBreak/>
        <w:t>El notable aumento del índice de calidad en</w:t>
      </w:r>
      <w:r w:rsidRPr="00B50008">
        <w:rPr>
          <w:sz w:val="20"/>
          <w:highlight w:val="white"/>
        </w:rPr>
        <w:t xml:space="preserve"> 2014 se debe, principalmente, a la disminución del tiempo necesario para realizar el examen de forma</w:t>
      </w:r>
      <w:r w:rsidRPr="00B50008">
        <w:rPr>
          <w:sz w:val="20"/>
        </w:rPr>
        <w:t xml:space="preserve">, </w:t>
      </w:r>
      <w:r w:rsidRPr="00B50008">
        <w:rPr>
          <w:sz w:val="20"/>
          <w:highlight w:val="white"/>
        </w:rPr>
        <w:t>así como al menor retraso en la nueva publicación de las solicitudes junto con los informes de búsqueda internacional</w:t>
      </w:r>
      <w:r w:rsidRPr="00B50008">
        <w:rPr>
          <w:sz w:val="20"/>
        </w:rPr>
        <w:t>.  La caída en el índice de calidad observada durante el período 2010–2013 se debe, principalmente, al retraso en el examen de forma y la nueva publicación.</w:t>
      </w:r>
    </w:p>
    <w:p w:rsidR="00236E18" w:rsidRPr="00B50008" w:rsidRDefault="00236E18" w:rsidP="00236E18">
      <w:pPr>
        <w:widowControl w:val="0"/>
        <w:jc w:val="both"/>
        <w:rPr>
          <w:sz w:val="20"/>
        </w:rPr>
      </w:pPr>
    </w:p>
    <w:p w:rsidR="00236E18" w:rsidRPr="00B50008" w:rsidRDefault="00236E18" w:rsidP="00236E18">
      <w:pPr>
        <w:pStyle w:val="ListParagraph"/>
        <w:widowControl w:val="0"/>
        <w:ind w:left="0"/>
        <w:rPr>
          <w:rFonts w:ascii="Arial" w:hAnsi="Arial" w:cs="Arial"/>
          <w:sz w:val="20"/>
          <w:lang w:val="es-ES"/>
        </w:rPr>
      </w:pPr>
    </w:p>
    <w:p w:rsidR="00236E18" w:rsidRPr="00B50008" w:rsidRDefault="00236E18" w:rsidP="00236E18">
      <w:pPr>
        <w:widowControl w:val="0"/>
        <w:rPr>
          <w:i/>
          <w:sz w:val="20"/>
        </w:rPr>
      </w:pPr>
      <w:r w:rsidRPr="00B50008">
        <w:rPr>
          <w:i/>
          <w:sz w:val="20"/>
        </w:rPr>
        <w:t>Tiempo necesario para el examen de forma</w:t>
      </w:r>
    </w:p>
    <w:p w:rsidR="00236E18" w:rsidRPr="00B50008" w:rsidRDefault="00236E18" w:rsidP="00236E18">
      <w:pPr>
        <w:widowControl w:val="0"/>
        <w:rPr>
          <w:b/>
          <w:sz w:val="20"/>
        </w:rPr>
      </w:pPr>
    </w:p>
    <w:p w:rsidR="00236E18" w:rsidRPr="00B50008" w:rsidRDefault="00236E18" w:rsidP="00236E18">
      <w:pPr>
        <w:widowControl w:val="0"/>
        <w:numPr>
          <w:ilvl w:val="0"/>
          <w:numId w:val="49"/>
        </w:numPr>
        <w:rPr>
          <w:b/>
          <w:sz w:val="20"/>
        </w:rPr>
      </w:pPr>
      <w:r w:rsidRPr="00B50008">
        <w:rPr>
          <w:sz w:val="20"/>
        </w:rPr>
        <w:t>Este indicador refleja más detalladamente uno de los componentes del indicador global de calidad, esto es el tiempo que necesita la Oficina Internacional para enviar el formulario 301.   Este formulario es expedido una vez completado el examen de forma de la solicitud.  Los solicitantes agradecen que se les envíe ese formulario lo antes posible, puesto que constituye un acuse de recibo de la solicitud en la Oficina Internacional y les permite saber si su solicitud presenta errores formales.</w:t>
      </w:r>
    </w:p>
    <w:p w:rsidR="00236E18" w:rsidRPr="00B50008" w:rsidRDefault="00236E18" w:rsidP="00236E18">
      <w:pPr>
        <w:widowControl w:val="0"/>
        <w:rPr>
          <w:b/>
          <w:sz w:val="20"/>
        </w:rPr>
      </w:pPr>
    </w:p>
    <w:p w:rsidR="00236E18" w:rsidRPr="00B50008" w:rsidRDefault="00236E18" w:rsidP="00236E18">
      <w:pPr>
        <w:widowControl w:val="0"/>
        <w:rPr>
          <w:b/>
          <w:sz w:val="20"/>
        </w:rPr>
      </w:pPr>
      <w:r w:rsidRPr="00B50008">
        <w:rPr>
          <w:b/>
          <w:noProof/>
          <w:sz w:val="20"/>
          <w:lang w:val="en-US" w:eastAsia="en-US"/>
        </w:rPr>
        <w:drawing>
          <wp:inline distT="0" distB="0" distL="0" distR="0" wp14:anchorId="35FFA0C2" wp14:editId="2AC6F5B0">
            <wp:extent cx="5741670" cy="2434590"/>
            <wp:effectExtent l="0" t="0" r="0" b="3810"/>
            <wp:docPr id="1048"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741670" cy="2434590"/>
                    </a:xfrm>
                    <a:prstGeom prst="rect">
                      <a:avLst/>
                    </a:prstGeom>
                    <a:noFill/>
                    <a:ln>
                      <a:noFill/>
                    </a:ln>
                  </pic:spPr>
                </pic:pic>
              </a:graphicData>
            </a:graphic>
          </wp:inline>
        </w:drawing>
      </w:r>
    </w:p>
    <w:p w:rsidR="00236E18" w:rsidRPr="00B50008" w:rsidRDefault="00236E18" w:rsidP="00236E18">
      <w:pPr>
        <w:widowControl w:val="0"/>
        <w:rPr>
          <w:b/>
          <w:sz w:val="20"/>
        </w:rPr>
      </w:pPr>
    </w:p>
    <w:p w:rsidR="00236E18" w:rsidRPr="00B50008" w:rsidRDefault="00236E18" w:rsidP="00236E18">
      <w:pPr>
        <w:widowControl w:val="0"/>
        <w:rPr>
          <w:i/>
          <w:sz w:val="20"/>
        </w:rPr>
      </w:pPr>
      <w:r w:rsidRPr="00B50008">
        <w:rPr>
          <w:i/>
          <w:sz w:val="20"/>
        </w:rPr>
        <w:t>Tiempo necesario para la publicación</w:t>
      </w:r>
    </w:p>
    <w:p w:rsidR="00236E18" w:rsidRPr="00B50008" w:rsidRDefault="00236E18" w:rsidP="00236E18">
      <w:pPr>
        <w:widowControl w:val="0"/>
        <w:rPr>
          <w:sz w:val="18"/>
          <w:szCs w:val="18"/>
        </w:rPr>
      </w:pPr>
    </w:p>
    <w:p w:rsidR="00236E18" w:rsidRPr="00B50008" w:rsidRDefault="00236E18" w:rsidP="00236E18">
      <w:pPr>
        <w:widowControl w:val="0"/>
        <w:numPr>
          <w:ilvl w:val="0"/>
          <w:numId w:val="49"/>
        </w:numPr>
        <w:rPr>
          <w:sz w:val="20"/>
        </w:rPr>
      </w:pPr>
      <w:r w:rsidRPr="00B50008">
        <w:rPr>
          <w:sz w:val="20"/>
        </w:rPr>
        <w:t>Este indicador refleja con más detalle uno de los componentes del indicador global de calidad, esto es, el tiempo que tarda la Oficina Internacional en publicar la solicitud.   El artículo 21.2)a) del PCT establece que  “[…] la publicación internacional de la solicitud internacional se efectuará rápidamente tras el vencimiento de un plazo de 18 meses desde la fecha de prioridad de esa solicitud”.</w:t>
      </w:r>
    </w:p>
    <w:p w:rsidR="00236E18" w:rsidRPr="00B50008" w:rsidRDefault="00236E18" w:rsidP="00236E18">
      <w:pPr>
        <w:pStyle w:val="BodyText2"/>
        <w:widowControl w:val="0"/>
        <w:spacing w:line="240" w:lineRule="auto"/>
        <w:rPr>
          <w:rFonts w:cs="Arial"/>
          <w:lang w:val="es-ES"/>
        </w:rPr>
      </w:pPr>
      <w:r w:rsidRPr="00B50008">
        <w:rPr>
          <w:rFonts w:cs="Arial"/>
          <w:noProof/>
        </w:rPr>
        <w:drawing>
          <wp:inline distT="0" distB="0" distL="0" distR="0" wp14:anchorId="52DF5D82" wp14:editId="5E133046">
            <wp:extent cx="5741670" cy="2711450"/>
            <wp:effectExtent l="0" t="0" r="0" b="0"/>
            <wp:docPr id="1002"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741670" cy="2711450"/>
                    </a:xfrm>
                    <a:prstGeom prst="rect">
                      <a:avLst/>
                    </a:prstGeom>
                    <a:noFill/>
                    <a:ln>
                      <a:noFill/>
                    </a:ln>
                  </pic:spPr>
                </pic:pic>
              </a:graphicData>
            </a:graphic>
          </wp:inline>
        </w:drawing>
      </w:r>
    </w:p>
    <w:p w:rsidR="00236E18" w:rsidRPr="00B50008" w:rsidRDefault="00236E18" w:rsidP="00236E18">
      <w:pPr>
        <w:keepNext/>
        <w:keepLines/>
        <w:widowControl w:val="0"/>
        <w:rPr>
          <w:i/>
          <w:sz w:val="20"/>
        </w:rPr>
      </w:pPr>
      <w:r w:rsidRPr="00B50008">
        <w:rPr>
          <w:i/>
          <w:sz w:val="20"/>
        </w:rPr>
        <w:lastRenderedPageBreak/>
        <w:t>Tiempo necesario para una nueva publicación</w:t>
      </w:r>
    </w:p>
    <w:p w:rsidR="00236E18" w:rsidRPr="00B50008" w:rsidRDefault="00236E18" w:rsidP="00236E18">
      <w:pPr>
        <w:keepNext/>
        <w:keepLines/>
        <w:widowControl w:val="0"/>
        <w:rPr>
          <w:sz w:val="18"/>
          <w:szCs w:val="18"/>
        </w:rPr>
      </w:pPr>
    </w:p>
    <w:p w:rsidR="00236E18" w:rsidRPr="00B50008" w:rsidRDefault="00236E18" w:rsidP="00236E18">
      <w:pPr>
        <w:keepNext/>
        <w:keepLines/>
        <w:widowControl w:val="0"/>
        <w:numPr>
          <w:ilvl w:val="0"/>
          <w:numId w:val="49"/>
        </w:numPr>
        <w:rPr>
          <w:sz w:val="20"/>
        </w:rPr>
      </w:pPr>
      <w:r w:rsidRPr="00B50008">
        <w:rPr>
          <w:sz w:val="20"/>
          <w:highlight w:val="white"/>
        </w:rPr>
        <w:t xml:space="preserve">Este indicador refleja con más detalle uno de los componentes del indicador global de calidad, esto es, el tiempo que tarda la Oficina Internacional </w:t>
      </w:r>
      <w:r w:rsidRPr="00B50008">
        <w:rPr>
          <w:sz w:val="20"/>
        </w:rPr>
        <w:t>en llevar a cabo la nueva publicación de</w:t>
      </w:r>
      <w:r w:rsidRPr="00B50008">
        <w:rPr>
          <w:sz w:val="20"/>
          <w:highlight w:val="white"/>
        </w:rPr>
        <w:t xml:space="preserve"> la solicitud, junto con el informe de búsqueda internacional</w:t>
      </w:r>
      <w:r w:rsidRPr="00B50008">
        <w:rPr>
          <w:sz w:val="20"/>
        </w:rPr>
        <w:t>.  Algunas solicitudes internacionales se publican sin su informe de búsqueda internacional, ya que las Administraciones encargadas de la búsqueda internacional los comunican con retraso.</w:t>
      </w:r>
    </w:p>
    <w:p w:rsidR="00236E18" w:rsidRPr="00B50008" w:rsidRDefault="00236E18" w:rsidP="00236E18">
      <w:pPr>
        <w:widowControl w:val="0"/>
        <w:rPr>
          <w:sz w:val="20"/>
        </w:rPr>
      </w:pPr>
    </w:p>
    <w:p w:rsidR="00236E18" w:rsidRPr="00B50008" w:rsidRDefault="00236E18" w:rsidP="00236E18">
      <w:pPr>
        <w:widowControl w:val="0"/>
        <w:rPr>
          <w:sz w:val="20"/>
        </w:rPr>
      </w:pPr>
      <w:r w:rsidRPr="00B50008">
        <w:rPr>
          <w:noProof/>
          <w:sz w:val="20"/>
          <w:lang w:val="en-US" w:eastAsia="en-US"/>
        </w:rPr>
        <w:drawing>
          <wp:inline distT="0" distB="0" distL="0" distR="0" wp14:anchorId="63A62D70" wp14:editId="792A081C">
            <wp:extent cx="5741670" cy="2637155"/>
            <wp:effectExtent l="0" t="0" r="0" b="0"/>
            <wp:docPr id="100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741670" cy="2637155"/>
                    </a:xfrm>
                    <a:prstGeom prst="rect">
                      <a:avLst/>
                    </a:prstGeom>
                    <a:noFill/>
                    <a:ln>
                      <a:noFill/>
                    </a:ln>
                  </pic:spPr>
                </pic:pic>
              </a:graphicData>
            </a:graphic>
          </wp:inline>
        </w:drawing>
      </w:r>
    </w:p>
    <w:p w:rsidR="00236E18" w:rsidRPr="00B50008" w:rsidRDefault="00236E18" w:rsidP="00236E18">
      <w:pPr>
        <w:widowControl w:val="0"/>
        <w:rPr>
          <w:i/>
          <w:sz w:val="20"/>
        </w:rPr>
      </w:pPr>
    </w:p>
    <w:p w:rsidR="00236E18" w:rsidRPr="00B50008" w:rsidRDefault="00236E18" w:rsidP="00236E18">
      <w:pPr>
        <w:widowControl w:val="0"/>
        <w:rPr>
          <w:i/>
          <w:sz w:val="20"/>
        </w:rPr>
      </w:pPr>
      <w:r w:rsidRPr="00B50008">
        <w:rPr>
          <w:i/>
          <w:sz w:val="20"/>
        </w:rPr>
        <w:t xml:space="preserve">Calidad de la traducción </w:t>
      </w:r>
    </w:p>
    <w:p w:rsidR="00236E18" w:rsidRPr="00B50008" w:rsidRDefault="00236E18" w:rsidP="00236E18">
      <w:pPr>
        <w:widowControl w:val="0"/>
        <w:rPr>
          <w:szCs w:val="18"/>
        </w:rPr>
      </w:pPr>
    </w:p>
    <w:p w:rsidR="00236E18" w:rsidRPr="00B50008" w:rsidRDefault="00236E18" w:rsidP="00236E18">
      <w:pPr>
        <w:widowControl w:val="0"/>
        <w:numPr>
          <w:ilvl w:val="0"/>
          <w:numId w:val="49"/>
        </w:numPr>
        <w:rPr>
          <w:sz w:val="20"/>
        </w:rPr>
      </w:pPr>
      <w:r w:rsidRPr="00B50008">
        <w:rPr>
          <w:sz w:val="20"/>
        </w:rPr>
        <w:t xml:space="preserve">Con el fin de evaluar la calidad de la traducción, se extrae una muestra aleatoria de los extractos y de los informes de </w:t>
      </w:r>
      <w:proofErr w:type="spellStart"/>
      <w:r w:rsidRPr="00B50008">
        <w:rPr>
          <w:sz w:val="20"/>
        </w:rPr>
        <w:t>patentabilidad</w:t>
      </w:r>
      <w:proofErr w:type="spellEnd"/>
      <w:r w:rsidRPr="00B50008">
        <w:rPr>
          <w:sz w:val="20"/>
        </w:rPr>
        <w:t xml:space="preserve"> preparados bajo la responsabilidad de la Oficina;  la muestra está compuesta por un número de documentos calculado estadísticamente.  La evaluación permite determinar si una traducción es "aceptable" o "no aceptable".   El indicador engloba los resultados del control de calidad realizado por la Oficina Internacional respecto de todas las combinaciones lingüísticas y todos los tipos de documentos.   Se interrumpe la colaboración con aquellas agencias cuya tasa de traducciones consideradas "aceptables" sea sistemáticamente inferior al 80%. </w:t>
      </w:r>
    </w:p>
    <w:p w:rsidR="00236E18" w:rsidRPr="00B50008" w:rsidRDefault="00236E18" w:rsidP="00236E18">
      <w:pPr>
        <w:widowControl w:val="0"/>
        <w:jc w:val="center"/>
        <w:rPr>
          <w:szCs w:val="22"/>
          <w:highlight w:val="yellow"/>
        </w:rPr>
      </w:pPr>
    </w:p>
    <w:p w:rsidR="00236E18" w:rsidRPr="00B50008" w:rsidRDefault="00236E18" w:rsidP="00236E18">
      <w:pPr>
        <w:widowControl w:val="0"/>
        <w:jc w:val="center"/>
        <w:rPr>
          <w:b/>
          <w:sz w:val="20"/>
        </w:rPr>
      </w:pPr>
      <w:r w:rsidRPr="00B50008">
        <w:rPr>
          <w:b/>
          <w:sz w:val="20"/>
          <w:highlight w:val="white"/>
        </w:rPr>
        <w:t>Calidad de la traducción en el PCT</w:t>
      </w:r>
    </w:p>
    <w:p w:rsidR="00236E18" w:rsidRPr="00B50008" w:rsidRDefault="00236E18" w:rsidP="00236E18">
      <w:pPr>
        <w:widowControl w:val="0"/>
        <w:jc w:val="center"/>
        <w:rPr>
          <w:b/>
          <w:sz w:val="20"/>
        </w:rPr>
      </w:pPr>
      <w:r w:rsidRPr="00B50008">
        <w:rPr>
          <w:b/>
          <w:noProof/>
          <w:sz w:val="20"/>
          <w:lang w:val="en-US" w:eastAsia="en-US"/>
        </w:rPr>
        <w:drawing>
          <wp:inline distT="0" distB="0" distL="0" distR="0" wp14:anchorId="5591AA5C" wp14:editId="50417D76">
            <wp:extent cx="5741670" cy="3274695"/>
            <wp:effectExtent l="0" t="0" r="0" b="1905"/>
            <wp:docPr id="1004"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741670" cy="3274695"/>
                    </a:xfrm>
                    <a:prstGeom prst="rect">
                      <a:avLst/>
                    </a:prstGeom>
                    <a:noFill/>
                    <a:ln>
                      <a:noFill/>
                    </a:ln>
                  </pic:spPr>
                </pic:pic>
              </a:graphicData>
            </a:graphic>
          </wp:inline>
        </w:drawing>
      </w:r>
    </w:p>
    <w:p w:rsidR="00236E18" w:rsidRPr="00B50008" w:rsidRDefault="00236E18" w:rsidP="00236E18">
      <w:pPr>
        <w:widowControl w:val="0"/>
        <w:rPr>
          <w:sz w:val="20"/>
          <w:highlight w:val="yellow"/>
        </w:rPr>
      </w:pPr>
    </w:p>
    <w:p w:rsidR="00236E18" w:rsidRPr="00B50008" w:rsidRDefault="00236E18" w:rsidP="00236E18">
      <w:pPr>
        <w:widowControl w:val="0"/>
        <w:rPr>
          <w:i/>
          <w:sz w:val="20"/>
        </w:rPr>
      </w:pPr>
      <w:r w:rsidRPr="00B50008">
        <w:rPr>
          <w:i/>
          <w:sz w:val="20"/>
        </w:rPr>
        <w:t>Tiempo necesario para la traducción de informes</w:t>
      </w:r>
    </w:p>
    <w:p w:rsidR="00236E18" w:rsidRPr="00B50008" w:rsidRDefault="00236E18" w:rsidP="00236E18">
      <w:pPr>
        <w:widowControl w:val="0"/>
        <w:rPr>
          <w:sz w:val="20"/>
        </w:rPr>
      </w:pPr>
    </w:p>
    <w:p w:rsidR="00236E18" w:rsidRPr="00B50008" w:rsidRDefault="00236E18" w:rsidP="00236E18">
      <w:pPr>
        <w:widowControl w:val="0"/>
        <w:numPr>
          <w:ilvl w:val="0"/>
          <w:numId w:val="49"/>
        </w:numPr>
        <w:rPr>
          <w:sz w:val="20"/>
        </w:rPr>
      </w:pPr>
      <w:r w:rsidRPr="00B50008">
        <w:rPr>
          <w:sz w:val="20"/>
        </w:rPr>
        <w:t xml:space="preserve">Este indicador proporciona información sobre el tiempo necesario para que la Oficina Internacional ponga la traducción del informe sobre la </w:t>
      </w:r>
      <w:proofErr w:type="spellStart"/>
      <w:r w:rsidRPr="00B50008">
        <w:rPr>
          <w:sz w:val="20"/>
        </w:rPr>
        <w:t>patentabilidad</w:t>
      </w:r>
      <w:proofErr w:type="spellEnd"/>
      <w:r w:rsidRPr="00B50008">
        <w:rPr>
          <w:sz w:val="20"/>
        </w:rPr>
        <w:t xml:space="preserve"> a disposición de los solicitantes y las Oficinas.  Desde 2010, no ha dejado de aumentar la proporción de traducciones de informes sobre la </w:t>
      </w:r>
      <w:proofErr w:type="spellStart"/>
      <w:r w:rsidRPr="00B50008">
        <w:rPr>
          <w:sz w:val="20"/>
        </w:rPr>
        <w:t>patentabilidad</w:t>
      </w:r>
      <w:proofErr w:type="spellEnd"/>
      <w:r w:rsidRPr="00B50008">
        <w:rPr>
          <w:sz w:val="20"/>
        </w:rPr>
        <w:t xml:space="preserve"> entregados dentro de los 30 meses contados a partir de la fecha de prioridad de la solicitud internacional.  En 2014, el 82,5%</w:t>
      </w:r>
      <w:r w:rsidRPr="00B50008">
        <w:rPr>
          <w:sz w:val="20"/>
          <w:highlight w:val="white"/>
        </w:rPr>
        <w:t xml:space="preserve"> de las traducciones de informes sobre la </w:t>
      </w:r>
      <w:proofErr w:type="spellStart"/>
      <w:r w:rsidRPr="00B50008">
        <w:rPr>
          <w:sz w:val="20"/>
          <w:highlight w:val="white"/>
        </w:rPr>
        <w:t>patentabilidad</w:t>
      </w:r>
      <w:proofErr w:type="spellEnd"/>
      <w:r w:rsidRPr="00B50008">
        <w:rPr>
          <w:sz w:val="20"/>
          <w:highlight w:val="white"/>
        </w:rPr>
        <w:t xml:space="preserve"> se entregó dentro de los 30 meses contados a partir de la fecha de prioridad</w:t>
      </w:r>
      <w:r w:rsidRPr="00B50008">
        <w:rPr>
          <w:sz w:val="20"/>
        </w:rPr>
        <w:t>.</w:t>
      </w:r>
    </w:p>
    <w:p w:rsidR="00236E18" w:rsidRPr="00B50008" w:rsidRDefault="00236E18" w:rsidP="00236E18">
      <w:pPr>
        <w:widowControl w:val="0"/>
        <w:ind w:left="142"/>
        <w:jc w:val="both"/>
      </w:pPr>
    </w:p>
    <w:p w:rsidR="00236E18" w:rsidRPr="00B50008" w:rsidRDefault="00236E18" w:rsidP="00236E18">
      <w:pPr>
        <w:widowControl w:val="0"/>
        <w:ind w:left="142"/>
        <w:jc w:val="center"/>
        <w:rPr>
          <w:b/>
          <w:sz w:val="20"/>
        </w:rPr>
      </w:pPr>
      <w:r w:rsidRPr="00B50008">
        <w:rPr>
          <w:b/>
          <w:sz w:val="20"/>
        </w:rPr>
        <w:t>Tiempo necesario para la traducción de informes</w:t>
      </w:r>
    </w:p>
    <w:p w:rsidR="00236E18" w:rsidRPr="00B50008" w:rsidRDefault="00236E18" w:rsidP="00236E18">
      <w:pPr>
        <w:widowControl w:val="0"/>
        <w:ind w:left="142"/>
        <w:jc w:val="center"/>
        <w:rPr>
          <w:b/>
          <w:sz w:val="20"/>
        </w:rPr>
      </w:pPr>
      <w:r w:rsidRPr="00B50008">
        <w:rPr>
          <w:b/>
          <w:noProof/>
          <w:sz w:val="20"/>
          <w:lang w:val="en-US" w:eastAsia="en-US"/>
        </w:rPr>
        <w:drawing>
          <wp:inline distT="0" distB="0" distL="0" distR="0" wp14:anchorId="231CEC56" wp14:editId="27A36BD2">
            <wp:extent cx="5741670" cy="2371090"/>
            <wp:effectExtent l="0" t="0" r="0" b="0"/>
            <wp:docPr id="1005"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741670" cy="2371090"/>
                    </a:xfrm>
                    <a:prstGeom prst="rect">
                      <a:avLst/>
                    </a:prstGeom>
                    <a:noFill/>
                    <a:ln>
                      <a:noFill/>
                    </a:ln>
                  </pic:spPr>
                </pic:pic>
              </a:graphicData>
            </a:graphic>
          </wp:inline>
        </w:drawing>
      </w:r>
    </w:p>
    <w:p w:rsidR="00236E18" w:rsidRPr="00B50008" w:rsidRDefault="00236E18" w:rsidP="00236E18">
      <w:pPr>
        <w:widowControl w:val="0"/>
        <w:rPr>
          <w:i/>
          <w:sz w:val="20"/>
        </w:rPr>
      </w:pPr>
      <w:r w:rsidRPr="00B50008">
        <w:rPr>
          <w:i/>
          <w:sz w:val="20"/>
        </w:rPr>
        <w:t>Calidad del desarrollo de programas informáticos</w:t>
      </w:r>
    </w:p>
    <w:p w:rsidR="00236E18" w:rsidRPr="00B50008" w:rsidRDefault="00236E18" w:rsidP="00236E18">
      <w:pPr>
        <w:widowControl w:val="0"/>
        <w:jc w:val="both"/>
        <w:rPr>
          <w:b/>
          <w:sz w:val="20"/>
        </w:rPr>
      </w:pPr>
    </w:p>
    <w:p w:rsidR="00236E18" w:rsidRPr="00B50008" w:rsidRDefault="00236E18" w:rsidP="00236E18">
      <w:pPr>
        <w:widowControl w:val="0"/>
        <w:numPr>
          <w:ilvl w:val="0"/>
          <w:numId w:val="49"/>
        </w:numPr>
        <w:rPr>
          <w:sz w:val="20"/>
        </w:rPr>
      </w:pPr>
      <w:r w:rsidRPr="00B50008">
        <w:rPr>
          <w:sz w:val="20"/>
          <w:highlight w:val="white"/>
        </w:rPr>
        <w:t xml:space="preserve">El indicador de calidad del desarrollo de programas informáticos proporciona una medida de la calidad de las principales versiones de </w:t>
      </w:r>
      <w:r w:rsidRPr="00B50008">
        <w:rPr>
          <w:i/>
          <w:sz w:val="20"/>
          <w:highlight w:val="white"/>
        </w:rPr>
        <w:t>software</w:t>
      </w:r>
      <w:r w:rsidRPr="00B50008">
        <w:rPr>
          <w:sz w:val="20"/>
          <w:highlight w:val="white"/>
        </w:rPr>
        <w:t xml:space="preserve"> para</w:t>
      </w:r>
      <w:r w:rsidRPr="00B50008">
        <w:rPr>
          <w:sz w:val="20"/>
        </w:rPr>
        <w:t xml:space="preserve"> los proyectos </w:t>
      </w:r>
      <w:proofErr w:type="spellStart"/>
      <w:r w:rsidRPr="00B50008">
        <w:rPr>
          <w:i/>
          <w:sz w:val="20"/>
        </w:rPr>
        <w:t>eDossier</w:t>
      </w:r>
      <w:proofErr w:type="spellEnd"/>
      <w:r w:rsidRPr="00B50008">
        <w:rPr>
          <w:sz w:val="20"/>
        </w:rPr>
        <w:t xml:space="preserve"> y </w:t>
      </w:r>
      <w:proofErr w:type="spellStart"/>
      <w:r w:rsidRPr="00B50008">
        <w:rPr>
          <w:i/>
          <w:sz w:val="20"/>
        </w:rPr>
        <w:t>ePCT</w:t>
      </w:r>
      <w:proofErr w:type="spellEnd"/>
      <w:r w:rsidRPr="00B50008">
        <w:rPr>
          <w:sz w:val="20"/>
        </w:rPr>
        <w:t>.  La calidad del desarrollo de programas informáticos refleja el porcentaje de tiempo dedicado a aportar nuevas funciones a las versiones (es decir, trabajo), sobre el total de tiempo utilizado (es decir, trabajo + modificaciones).  Las modificaciones representan el tiempo dedicado a corregir el trabajo defectuoso detectado en el entorno de producción.</w:t>
      </w:r>
    </w:p>
    <w:p w:rsidR="00236E18" w:rsidRPr="00B50008" w:rsidRDefault="00236E18" w:rsidP="00236E18">
      <w:pPr>
        <w:widowControl w:val="0"/>
        <w:jc w:val="both"/>
        <w:rPr>
          <w:sz w:val="20"/>
        </w:rPr>
      </w:pPr>
    </w:p>
    <w:p w:rsidR="00236E18" w:rsidRPr="00B50008" w:rsidRDefault="00236E18" w:rsidP="00236E18">
      <w:pPr>
        <w:widowControl w:val="0"/>
        <w:numPr>
          <w:ilvl w:val="0"/>
          <w:numId w:val="49"/>
        </w:numPr>
        <w:rPr>
          <w:sz w:val="20"/>
        </w:rPr>
      </w:pPr>
      <w:r w:rsidRPr="00B50008">
        <w:rPr>
          <w:sz w:val="20"/>
        </w:rPr>
        <w:t>En el marco de este enfoque, los productos desarrollados que solo requieran ligeras modificaciones se considerarán de alta calidad, pues reflejan la extensión del valor añadido al producto mediante la incorporación de nuevas funciones.</w:t>
      </w:r>
    </w:p>
    <w:p w:rsidR="00236E18" w:rsidRPr="00B50008" w:rsidRDefault="00236E18" w:rsidP="00236E18">
      <w:pPr>
        <w:widowControl w:val="0"/>
        <w:jc w:val="both"/>
        <w:rPr>
          <w:sz w:val="20"/>
        </w:rPr>
      </w:pPr>
    </w:p>
    <w:p w:rsidR="00236E18" w:rsidRPr="00B50008" w:rsidRDefault="00236E18" w:rsidP="00236E18">
      <w:pPr>
        <w:widowControl w:val="0"/>
        <w:numPr>
          <w:ilvl w:val="0"/>
          <w:numId w:val="49"/>
        </w:numPr>
        <w:rPr>
          <w:sz w:val="20"/>
        </w:rPr>
      </w:pPr>
      <w:r w:rsidRPr="00B50008">
        <w:rPr>
          <w:sz w:val="20"/>
        </w:rPr>
        <w:t>La calidad del desarrollo de programas informáticos se define de la manera siguiente:</w:t>
      </w:r>
    </w:p>
    <w:p w:rsidR="00236E18" w:rsidRPr="00B50008" w:rsidRDefault="00236E18" w:rsidP="00236E18">
      <w:pPr>
        <w:pStyle w:val="ListParagraph"/>
        <w:widowControl w:val="0"/>
        <w:ind w:left="0"/>
        <w:rPr>
          <w:rFonts w:ascii="Arial" w:hAnsi="Arial" w:cs="Arial"/>
          <w:sz w:val="20"/>
          <w:szCs w:val="20"/>
          <w:lang w:val="es-ES"/>
        </w:rPr>
      </w:pPr>
    </w:p>
    <w:p w:rsidR="00236E18" w:rsidRPr="00B50008" w:rsidRDefault="00236E18" w:rsidP="00236E18">
      <w:pPr>
        <w:widowControl w:val="0"/>
        <w:jc w:val="center"/>
        <w:rPr>
          <w:sz w:val="20"/>
        </w:rPr>
      </w:pPr>
      <w:r w:rsidRPr="00B50008">
        <w:rPr>
          <w:noProof/>
          <w:lang w:val="en-US" w:eastAsia="en-US"/>
        </w:rPr>
        <w:drawing>
          <wp:inline distT="0" distB="0" distL="0" distR="0" wp14:anchorId="1796595E" wp14:editId="7DEF193A">
            <wp:extent cx="4614545" cy="351155"/>
            <wp:effectExtent l="0" t="0" r="0" b="0"/>
            <wp:docPr id="805" name="Imagen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614545" cy="351155"/>
                    </a:xfrm>
                    <a:prstGeom prst="rect">
                      <a:avLst/>
                    </a:prstGeom>
                    <a:noFill/>
                    <a:ln>
                      <a:noFill/>
                    </a:ln>
                  </pic:spPr>
                </pic:pic>
              </a:graphicData>
            </a:graphic>
          </wp:inline>
        </w:drawing>
      </w:r>
    </w:p>
    <w:p w:rsidR="00236E18" w:rsidRPr="00B50008" w:rsidRDefault="00236E18" w:rsidP="00236E18">
      <w:pPr>
        <w:pStyle w:val="BodyText2"/>
        <w:widowControl w:val="0"/>
        <w:spacing w:after="0" w:line="240" w:lineRule="auto"/>
        <w:jc w:val="both"/>
        <w:rPr>
          <w:rFonts w:ascii="Arial" w:hAnsi="Arial" w:cs="Arial"/>
          <w:sz w:val="20"/>
          <w:szCs w:val="20"/>
          <w:lang w:val="es-ES"/>
        </w:rPr>
      </w:pPr>
    </w:p>
    <w:p w:rsidR="00236E18" w:rsidRPr="00B50008" w:rsidRDefault="00236E18" w:rsidP="00236E18">
      <w:pPr>
        <w:widowControl w:val="0"/>
        <w:numPr>
          <w:ilvl w:val="0"/>
          <w:numId w:val="49"/>
        </w:numPr>
        <w:rPr>
          <w:sz w:val="20"/>
        </w:rPr>
      </w:pPr>
      <w:r w:rsidRPr="00B50008">
        <w:rPr>
          <w:sz w:val="20"/>
          <w:highlight w:val="white"/>
        </w:rPr>
        <w:t>En 2014, la calidad de las principales versiones</w:t>
      </w:r>
      <w:r w:rsidRPr="00B50008">
        <w:rPr>
          <w:sz w:val="20"/>
        </w:rPr>
        <w:t>, definida por la calidad del desarrollo de programas informáticos, fue del 94,3%.  Esa proporción equivale a prácticamente cinco puntos porcentuales más que en 2013.</w:t>
      </w:r>
    </w:p>
    <w:p w:rsidR="00236E18" w:rsidRPr="00B50008" w:rsidRDefault="00236E18" w:rsidP="00236E18">
      <w:pPr>
        <w:widowControl w:val="0"/>
      </w:pPr>
    </w:p>
    <w:p w:rsidR="00236E18" w:rsidRPr="00B50008" w:rsidRDefault="00236E18" w:rsidP="00236E18">
      <w:pPr>
        <w:keepNext/>
        <w:widowControl w:val="0"/>
        <w:jc w:val="center"/>
        <w:rPr>
          <w:b/>
          <w:sz w:val="20"/>
        </w:rPr>
      </w:pPr>
      <w:r w:rsidRPr="00B50008">
        <w:rPr>
          <w:b/>
          <w:sz w:val="20"/>
        </w:rPr>
        <w:lastRenderedPageBreak/>
        <w:t>Calidad del desarrollo de programas informáticos</w:t>
      </w:r>
    </w:p>
    <w:p w:rsidR="00236E18" w:rsidRPr="00B50008" w:rsidRDefault="00236E18" w:rsidP="00236E18">
      <w:pPr>
        <w:widowControl w:val="0"/>
        <w:jc w:val="center"/>
        <w:rPr>
          <w:b/>
          <w:sz w:val="20"/>
        </w:rPr>
      </w:pPr>
      <w:r w:rsidRPr="00B50008">
        <w:rPr>
          <w:b/>
          <w:noProof/>
          <w:sz w:val="20"/>
          <w:lang w:val="en-US" w:eastAsia="en-US"/>
        </w:rPr>
        <w:drawing>
          <wp:inline distT="0" distB="0" distL="0" distR="0" wp14:anchorId="0C5BDAB3" wp14:editId="3AE1B7D4">
            <wp:extent cx="5741670" cy="3413125"/>
            <wp:effectExtent l="0" t="0" r="0" b="0"/>
            <wp:docPr id="801" name="Imagen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741670" cy="3413125"/>
                    </a:xfrm>
                    <a:prstGeom prst="rect">
                      <a:avLst/>
                    </a:prstGeom>
                    <a:noFill/>
                    <a:ln>
                      <a:noFill/>
                    </a:ln>
                  </pic:spPr>
                </pic:pic>
              </a:graphicData>
            </a:graphic>
          </wp:inline>
        </w:drawing>
      </w:r>
    </w:p>
    <w:p w:rsidR="00236E18" w:rsidRPr="00B50008" w:rsidRDefault="00236E18" w:rsidP="00236E18">
      <w:pPr>
        <w:widowControl w:val="0"/>
        <w:rPr>
          <w:i/>
          <w:sz w:val="20"/>
        </w:rPr>
      </w:pPr>
      <w:r w:rsidRPr="00B50008">
        <w:rPr>
          <w:i/>
          <w:sz w:val="20"/>
        </w:rPr>
        <w:t>Niveles de los servicios prestados por los sistemas de Información</w:t>
      </w:r>
    </w:p>
    <w:p w:rsidR="00236E18" w:rsidRPr="00B50008" w:rsidRDefault="00236E18" w:rsidP="00236E18">
      <w:pPr>
        <w:pStyle w:val="BodyText2"/>
        <w:widowControl w:val="0"/>
        <w:spacing w:after="0" w:line="240" w:lineRule="auto"/>
        <w:rPr>
          <w:rFonts w:cs="Arial"/>
          <w:lang w:val="es-ES"/>
        </w:rPr>
      </w:pPr>
    </w:p>
    <w:p w:rsidR="00236E18" w:rsidRPr="00B50008" w:rsidRDefault="00236E18" w:rsidP="00236E18">
      <w:pPr>
        <w:widowControl w:val="0"/>
        <w:numPr>
          <w:ilvl w:val="0"/>
          <w:numId w:val="49"/>
        </w:numPr>
        <w:rPr>
          <w:rFonts w:eastAsia="Times New Roman"/>
          <w:sz w:val="20"/>
          <w:lang w:eastAsia="en-GB"/>
        </w:rPr>
      </w:pPr>
      <w:r w:rsidRPr="00B50008">
        <w:rPr>
          <w:sz w:val="20"/>
        </w:rPr>
        <w:t xml:space="preserve">El indicador de rendimiento denominado niveles de los servicios prestados por los sistemas de Información </w:t>
      </w:r>
      <w:r w:rsidRPr="00B50008">
        <w:rPr>
          <w:rFonts w:eastAsia="Times New Roman"/>
          <w:sz w:val="20"/>
          <w:lang w:eastAsia="en-GB"/>
        </w:rPr>
        <w:t>refleja el rendimiento del servicio prestado a los usuarios por el Servicio de Sistemas de Información del PCT</w:t>
      </w:r>
      <w:r w:rsidRPr="00B50008">
        <w:rPr>
          <w:rFonts w:eastAsia="Times New Roman"/>
          <w:sz w:val="20"/>
          <w:highlight w:val="white"/>
          <w:lang w:eastAsia="en-GB"/>
        </w:rPr>
        <w:t>, sobre la base de su capacidad de cumplir con los objetivos acordados</w:t>
      </w:r>
      <w:r w:rsidRPr="00B50008">
        <w:rPr>
          <w:rFonts w:eastAsia="Times New Roman"/>
          <w:sz w:val="20"/>
          <w:lang w:eastAsia="en-GB"/>
        </w:rPr>
        <w:t>.</w:t>
      </w:r>
    </w:p>
    <w:p w:rsidR="00236E18" w:rsidRPr="00B50008" w:rsidRDefault="00236E18" w:rsidP="00236E18">
      <w:pPr>
        <w:pStyle w:val="BodyText2"/>
        <w:widowControl w:val="0"/>
        <w:spacing w:after="0" w:line="240" w:lineRule="auto"/>
        <w:rPr>
          <w:rFonts w:ascii="Arial" w:hAnsi="Arial" w:cs="Arial"/>
          <w:sz w:val="20"/>
          <w:szCs w:val="20"/>
          <w:lang w:val="es-ES"/>
        </w:rPr>
      </w:pPr>
    </w:p>
    <w:p w:rsidR="00236E18" w:rsidRPr="00B50008" w:rsidRDefault="00236E18" w:rsidP="00236E18">
      <w:pPr>
        <w:widowControl w:val="0"/>
        <w:numPr>
          <w:ilvl w:val="0"/>
          <w:numId w:val="49"/>
        </w:numPr>
        <w:rPr>
          <w:rFonts w:eastAsia="Times New Roman"/>
          <w:sz w:val="20"/>
          <w:lang w:eastAsia="en-GB"/>
        </w:rPr>
      </w:pPr>
      <w:r w:rsidRPr="00B50008">
        <w:rPr>
          <w:sz w:val="20"/>
          <w:highlight w:val="white"/>
        </w:rPr>
        <w:t xml:space="preserve">Este indicador compuesto se calcula </w:t>
      </w:r>
      <w:r w:rsidRPr="00B50008">
        <w:rPr>
          <w:sz w:val="20"/>
        </w:rPr>
        <w:t xml:space="preserve">a partir del promedio ponderado de cinco indicadores de </w:t>
      </w:r>
      <w:r w:rsidRPr="00B50008">
        <w:rPr>
          <w:sz w:val="20"/>
          <w:highlight w:val="white"/>
        </w:rPr>
        <w:t>rendimiento basados en objetivos</w:t>
      </w:r>
      <w:r w:rsidRPr="00B50008">
        <w:rPr>
          <w:rStyle w:val="FootnoteReference"/>
          <w:sz w:val="20"/>
        </w:rPr>
        <w:footnoteReference w:id="27"/>
      </w:r>
      <w:r w:rsidRPr="00B50008">
        <w:rPr>
          <w:rFonts w:eastAsia="Times New Roman"/>
          <w:sz w:val="20"/>
          <w:lang w:eastAsia="en-GB"/>
        </w:rPr>
        <w:t xml:space="preserve">.  Cada </w:t>
      </w:r>
      <w:r w:rsidRPr="00B50008">
        <w:rPr>
          <w:rFonts w:eastAsia="Times New Roman"/>
          <w:sz w:val="20"/>
          <w:highlight w:val="white"/>
          <w:lang w:eastAsia="en-GB"/>
        </w:rPr>
        <w:t>indicador se expresa como porcentaje del objetivo efectivamente cumplido</w:t>
      </w:r>
      <w:r w:rsidRPr="00B50008">
        <w:rPr>
          <w:rFonts w:eastAsia="Times New Roman"/>
          <w:sz w:val="20"/>
          <w:lang w:eastAsia="en-GB"/>
        </w:rPr>
        <w:t>.</w:t>
      </w:r>
    </w:p>
    <w:p w:rsidR="00236E18" w:rsidRPr="00B50008" w:rsidRDefault="00236E18" w:rsidP="00236E18">
      <w:pPr>
        <w:widowControl w:val="0"/>
        <w:autoSpaceDE w:val="0"/>
        <w:autoSpaceDN w:val="0"/>
        <w:adjustRightInd w:val="0"/>
        <w:jc w:val="both"/>
        <w:rPr>
          <w:rFonts w:eastAsia="Times New Roman"/>
          <w:sz w:val="20"/>
          <w:lang w:eastAsia="en-GB"/>
        </w:rPr>
      </w:pPr>
    </w:p>
    <w:p w:rsidR="00236E18" w:rsidRPr="00B50008" w:rsidRDefault="00236E18" w:rsidP="00236E18">
      <w:pPr>
        <w:widowControl w:val="0"/>
        <w:numPr>
          <w:ilvl w:val="0"/>
          <w:numId w:val="49"/>
        </w:numPr>
        <w:rPr>
          <w:sz w:val="20"/>
        </w:rPr>
      </w:pPr>
      <w:r w:rsidRPr="00B50008">
        <w:rPr>
          <w:sz w:val="20"/>
        </w:rPr>
        <w:t xml:space="preserve">En 2014, el nivel general de servicios fue del </w:t>
      </w:r>
      <w:r w:rsidRPr="00B50008">
        <w:rPr>
          <w:sz w:val="20"/>
          <w:highlight w:val="white"/>
        </w:rPr>
        <w:t>95,3%</w:t>
      </w:r>
      <w:r w:rsidRPr="00B50008">
        <w:rPr>
          <w:sz w:val="20"/>
        </w:rPr>
        <w:t xml:space="preserve"> en relación con el cumplimiento de los niveles de rendimiento prefijados como objetivo.</w:t>
      </w:r>
    </w:p>
    <w:p w:rsidR="00236E18" w:rsidRPr="00B50008" w:rsidRDefault="00236E18" w:rsidP="00236E18">
      <w:pPr>
        <w:widowControl w:val="0"/>
        <w:autoSpaceDE w:val="0"/>
        <w:autoSpaceDN w:val="0"/>
        <w:adjustRightInd w:val="0"/>
        <w:jc w:val="both"/>
      </w:pPr>
    </w:p>
    <w:p w:rsidR="00236E18" w:rsidRPr="00B50008" w:rsidRDefault="00236E18" w:rsidP="00236E18">
      <w:pPr>
        <w:widowControl w:val="0"/>
        <w:jc w:val="center"/>
        <w:rPr>
          <w:b/>
          <w:sz w:val="20"/>
        </w:rPr>
      </w:pPr>
    </w:p>
    <w:p w:rsidR="00236E18" w:rsidRPr="00B50008" w:rsidRDefault="00236E18" w:rsidP="00236E18">
      <w:pPr>
        <w:widowControl w:val="0"/>
        <w:jc w:val="center"/>
        <w:rPr>
          <w:b/>
          <w:sz w:val="20"/>
        </w:rPr>
      </w:pPr>
      <w:r w:rsidRPr="00B50008">
        <w:rPr>
          <w:b/>
          <w:sz w:val="20"/>
        </w:rPr>
        <w:br w:type="page"/>
      </w:r>
      <w:r w:rsidRPr="00B50008">
        <w:rPr>
          <w:b/>
          <w:sz w:val="20"/>
        </w:rPr>
        <w:lastRenderedPageBreak/>
        <w:t>Niveles de los servicios prestados por los sistemas de información</w:t>
      </w:r>
    </w:p>
    <w:p w:rsidR="00236E18" w:rsidRPr="00B50008" w:rsidRDefault="00236E18" w:rsidP="00236E18">
      <w:pPr>
        <w:widowControl w:val="0"/>
        <w:autoSpaceDE w:val="0"/>
        <w:autoSpaceDN w:val="0"/>
        <w:adjustRightInd w:val="0"/>
        <w:rPr>
          <w:rFonts w:eastAsia="Times New Roman"/>
          <w:lang w:eastAsia="en-GB"/>
        </w:rPr>
      </w:pP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34"/>
        <w:gridCol w:w="2002"/>
        <w:gridCol w:w="1984"/>
        <w:gridCol w:w="1134"/>
        <w:gridCol w:w="1101"/>
      </w:tblGrid>
      <w:tr w:rsidR="00236E18" w:rsidRPr="00B50008" w:rsidTr="00294272">
        <w:trPr>
          <w:jc w:val="center"/>
        </w:trPr>
        <w:tc>
          <w:tcPr>
            <w:tcW w:w="534" w:type="dxa"/>
            <w:shd w:val="clear" w:color="auto" w:fill="auto"/>
            <w:tcMar>
              <w:top w:w="85" w:type="dxa"/>
              <w:bottom w:w="85" w:type="dxa"/>
            </w:tcMar>
          </w:tcPr>
          <w:p w:rsidR="00236E18" w:rsidRPr="00B50008" w:rsidRDefault="00236E18" w:rsidP="00294272">
            <w:pPr>
              <w:widowControl w:val="0"/>
              <w:autoSpaceDE w:val="0"/>
              <w:autoSpaceDN w:val="0"/>
              <w:adjustRightInd w:val="0"/>
              <w:jc w:val="center"/>
              <w:rPr>
                <w:rFonts w:eastAsia="Times New Roman"/>
                <w:b/>
                <w:sz w:val="20"/>
                <w:lang w:eastAsia="en-GB"/>
              </w:rPr>
            </w:pPr>
            <w:r w:rsidRPr="00B50008">
              <w:rPr>
                <w:rFonts w:eastAsia="Times New Roman"/>
                <w:b/>
                <w:sz w:val="20"/>
                <w:lang w:eastAsia="en-GB"/>
              </w:rPr>
              <w:t>Id</w:t>
            </w:r>
          </w:p>
        </w:tc>
        <w:tc>
          <w:tcPr>
            <w:tcW w:w="2534" w:type="dxa"/>
            <w:shd w:val="clear" w:color="auto" w:fill="auto"/>
            <w:tcMar>
              <w:top w:w="85" w:type="dxa"/>
              <w:bottom w:w="85" w:type="dxa"/>
            </w:tcMar>
          </w:tcPr>
          <w:p w:rsidR="00236E18" w:rsidRPr="00B50008" w:rsidRDefault="00236E18" w:rsidP="00294272">
            <w:pPr>
              <w:widowControl w:val="0"/>
              <w:autoSpaceDE w:val="0"/>
              <w:autoSpaceDN w:val="0"/>
              <w:adjustRightInd w:val="0"/>
              <w:jc w:val="center"/>
              <w:rPr>
                <w:rFonts w:eastAsia="Times New Roman"/>
                <w:b/>
                <w:sz w:val="20"/>
                <w:lang w:eastAsia="en-GB"/>
              </w:rPr>
            </w:pPr>
            <w:r w:rsidRPr="00B50008">
              <w:rPr>
                <w:rFonts w:eastAsia="Times New Roman"/>
                <w:b/>
                <w:sz w:val="20"/>
                <w:lang w:eastAsia="en-GB"/>
              </w:rPr>
              <w:t xml:space="preserve">Indicadores de rendimiento </w:t>
            </w:r>
          </w:p>
          <w:p w:rsidR="00236E18" w:rsidRPr="00B50008" w:rsidRDefault="00236E18" w:rsidP="00294272">
            <w:pPr>
              <w:widowControl w:val="0"/>
              <w:autoSpaceDE w:val="0"/>
              <w:autoSpaceDN w:val="0"/>
              <w:adjustRightInd w:val="0"/>
              <w:jc w:val="center"/>
              <w:rPr>
                <w:rFonts w:eastAsia="Times New Roman"/>
                <w:b/>
                <w:i/>
                <w:sz w:val="20"/>
                <w:lang w:eastAsia="en-GB"/>
              </w:rPr>
            </w:pPr>
            <w:r w:rsidRPr="00B50008">
              <w:rPr>
                <w:rFonts w:eastAsia="Times New Roman"/>
                <w:b/>
                <w:i/>
                <w:sz w:val="20"/>
                <w:lang w:eastAsia="en-GB"/>
              </w:rPr>
              <w:t>Breve descripción</w:t>
            </w:r>
          </w:p>
        </w:tc>
        <w:tc>
          <w:tcPr>
            <w:tcW w:w="2002" w:type="dxa"/>
            <w:shd w:val="clear" w:color="auto" w:fill="auto"/>
            <w:tcMar>
              <w:top w:w="85" w:type="dxa"/>
              <w:bottom w:w="85" w:type="dxa"/>
            </w:tcMar>
          </w:tcPr>
          <w:p w:rsidR="00236E18" w:rsidRPr="00B50008" w:rsidRDefault="00236E18" w:rsidP="00294272">
            <w:pPr>
              <w:widowControl w:val="0"/>
              <w:autoSpaceDE w:val="0"/>
              <w:autoSpaceDN w:val="0"/>
              <w:adjustRightInd w:val="0"/>
              <w:jc w:val="center"/>
              <w:rPr>
                <w:rFonts w:eastAsia="Times New Roman"/>
                <w:b/>
                <w:sz w:val="20"/>
                <w:lang w:eastAsia="en-GB"/>
              </w:rPr>
            </w:pPr>
            <w:r w:rsidRPr="00B50008">
              <w:rPr>
                <w:rFonts w:eastAsia="Times New Roman"/>
                <w:b/>
                <w:sz w:val="20"/>
                <w:lang w:eastAsia="en-GB"/>
              </w:rPr>
              <w:t>Objetivos</w:t>
            </w:r>
          </w:p>
        </w:tc>
        <w:tc>
          <w:tcPr>
            <w:tcW w:w="1984" w:type="dxa"/>
            <w:shd w:val="clear" w:color="auto" w:fill="auto"/>
            <w:tcMar>
              <w:top w:w="85" w:type="dxa"/>
              <w:bottom w:w="85" w:type="dxa"/>
            </w:tcMar>
          </w:tcPr>
          <w:p w:rsidR="00236E18" w:rsidRPr="00B50008" w:rsidRDefault="00236E18" w:rsidP="00294272">
            <w:pPr>
              <w:widowControl w:val="0"/>
              <w:autoSpaceDE w:val="0"/>
              <w:autoSpaceDN w:val="0"/>
              <w:adjustRightInd w:val="0"/>
              <w:jc w:val="center"/>
              <w:rPr>
                <w:rFonts w:eastAsia="Times New Roman"/>
                <w:b/>
                <w:sz w:val="20"/>
                <w:lang w:eastAsia="en-GB"/>
              </w:rPr>
            </w:pPr>
            <w:r w:rsidRPr="00B50008">
              <w:rPr>
                <w:rFonts w:eastAsia="Times New Roman"/>
                <w:b/>
                <w:sz w:val="20"/>
                <w:lang w:eastAsia="en-GB"/>
              </w:rPr>
              <w:t>Condiciones</w:t>
            </w:r>
          </w:p>
        </w:tc>
        <w:tc>
          <w:tcPr>
            <w:tcW w:w="1134" w:type="dxa"/>
            <w:tcMar>
              <w:top w:w="85" w:type="dxa"/>
              <w:bottom w:w="85" w:type="dxa"/>
            </w:tcMar>
          </w:tcPr>
          <w:p w:rsidR="00236E18" w:rsidRPr="00B50008" w:rsidRDefault="00236E18" w:rsidP="00294272">
            <w:pPr>
              <w:widowControl w:val="0"/>
              <w:autoSpaceDE w:val="0"/>
              <w:autoSpaceDN w:val="0"/>
              <w:adjustRightInd w:val="0"/>
              <w:jc w:val="center"/>
              <w:rPr>
                <w:rFonts w:eastAsia="Times New Roman"/>
                <w:b/>
                <w:sz w:val="20"/>
                <w:lang w:eastAsia="en-GB"/>
              </w:rPr>
            </w:pPr>
            <w:r w:rsidRPr="00B50008">
              <w:rPr>
                <w:rFonts w:eastAsia="Times New Roman"/>
                <w:b/>
                <w:sz w:val="20"/>
                <w:lang w:eastAsia="en-GB"/>
              </w:rPr>
              <w:t>Resulta-dos de 2013</w:t>
            </w:r>
          </w:p>
        </w:tc>
        <w:tc>
          <w:tcPr>
            <w:tcW w:w="1101" w:type="dxa"/>
            <w:tcMar>
              <w:top w:w="85" w:type="dxa"/>
              <w:bottom w:w="85" w:type="dxa"/>
            </w:tcMar>
          </w:tcPr>
          <w:p w:rsidR="00236E18" w:rsidRPr="00B50008" w:rsidRDefault="00236E18" w:rsidP="00294272">
            <w:pPr>
              <w:widowControl w:val="0"/>
              <w:autoSpaceDE w:val="0"/>
              <w:autoSpaceDN w:val="0"/>
              <w:adjustRightInd w:val="0"/>
              <w:jc w:val="center"/>
              <w:rPr>
                <w:rFonts w:eastAsia="Times New Roman"/>
                <w:b/>
                <w:sz w:val="20"/>
                <w:lang w:eastAsia="en-GB"/>
              </w:rPr>
            </w:pPr>
            <w:r w:rsidRPr="00B50008">
              <w:rPr>
                <w:rFonts w:eastAsia="Times New Roman"/>
                <w:b/>
                <w:sz w:val="20"/>
                <w:lang w:eastAsia="en-GB"/>
              </w:rPr>
              <w:t>Resulta-dos de 2014</w:t>
            </w:r>
          </w:p>
        </w:tc>
      </w:tr>
      <w:tr w:rsidR="00236E18" w:rsidRPr="00B50008" w:rsidTr="00294272">
        <w:trPr>
          <w:jc w:val="center"/>
        </w:trPr>
        <w:tc>
          <w:tcPr>
            <w:tcW w:w="534" w:type="dxa"/>
            <w:shd w:val="clear" w:color="auto" w:fill="auto"/>
            <w:tcMar>
              <w:top w:w="85" w:type="dxa"/>
              <w:bottom w:w="85" w:type="dxa"/>
            </w:tcMar>
          </w:tcPr>
          <w:p w:rsidR="00236E18" w:rsidRPr="00B50008" w:rsidRDefault="00236E18" w:rsidP="00294272">
            <w:pPr>
              <w:widowControl w:val="0"/>
              <w:rPr>
                <w:sz w:val="16"/>
                <w:szCs w:val="16"/>
                <w:lang w:eastAsia="en-GB"/>
              </w:rPr>
            </w:pPr>
            <w:r w:rsidRPr="00B50008">
              <w:rPr>
                <w:sz w:val="16"/>
                <w:szCs w:val="16"/>
                <w:lang w:eastAsia="en-GB"/>
              </w:rPr>
              <w:t xml:space="preserve">1) </w:t>
            </w:r>
          </w:p>
        </w:tc>
        <w:tc>
          <w:tcPr>
            <w:tcW w:w="2534" w:type="dxa"/>
            <w:shd w:val="clear" w:color="auto" w:fill="auto"/>
            <w:tcMar>
              <w:top w:w="85" w:type="dxa"/>
              <w:bottom w:w="85" w:type="dxa"/>
            </w:tcMar>
          </w:tcPr>
          <w:p w:rsidR="00236E18" w:rsidRPr="00B50008" w:rsidRDefault="00236E18" w:rsidP="00294272">
            <w:pPr>
              <w:widowControl w:val="0"/>
              <w:rPr>
                <w:sz w:val="16"/>
                <w:szCs w:val="16"/>
                <w:lang w:eastAsia="en-GB"/>
              </w:rPr>
            </w:pPr>
            <w:r w:rsidRPr="00B50008">
              <w:rPr>
                <w:sz w:val="16"/>
                <w:szCs w:val="16"/>
                <w:lang w:eastAsia="en-GB"/>
              </w:rPr>
              <w:t>Tiempo de solución de incidentes</w:t>
            </w:r>
          </w:p>
          <w:p w:rsidR="00236E18" w:rsidRPr="00B50008" w:rsidRDefault="00236E18" w:rsidP="00294272">
            <w:pPr>
              <w:widowControl w:val="0"/>
              <w:rPr>
                <w:i/>
                <w:sz w:val="16"/>
                <w:szCs w:val="16"/>
                <w:lang w:eastAsia="en-GB"/>
              </w:rPr>
            </w:pPr>
            <w:r w:rsidRPr="00B50008">
              <w:rPr>
                <w:i/>
                <w:sz w:val="16"/>
                <w:szCs w:val="16"/>
                <w:lang w:eastAsia="en-GB"/>
              </w:rPr>
              <w:t xml:space="preserve">Horas de trabajo (de 7 a 19, en días laborables en la OMPI) entre la creación de un ticket y la solución. </w:t>
            </w:r>
          </w:p>
        </w:tc>
        <w:tc>
          <w:tcPr>
            <w:tcW w:w="2002"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Gravedad 1:  4 horas</w:t>
            </w:r>
          </w:p>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Gravedad 2:  2 días</w:t>
            </w:r>
          </w:p>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 xml:space="preserve">Gravedad </w:t>
            </w:r>
            <w:r w:rsidRPr="00B50008">
              <w:rPr>
                <w:rFonts w:eastAsia="Times New Roman"/>
                <w:sz w:val="16"/>
                <w:szCs w:val="16"/>
                <w:highlight w:val="white"/>
                <w:lang w:eastAsia="en-GB"/>
              </w:rPr>
              <w:t>3:  5 días</w:t>
            </w:r>
          </w:p>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Gravedad 4:  10 días</w:t>
            </w:r>
          </w:p>
        </w:tc>
        <w:tc>
          <w:tcPr>
            <w:tcW w:w="1984"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 xml:space="preserve">Tickets de producción y asistencia </w:t>
            </w:r>
            <w:r w:rsidRPr="00B50008">
              <w:rPr>
                <w:rFonts w:eastAsia="Times New Roman"/>
                <w:sz w:val="16"/>
                <w:szCs w:val="16"/>
                <w:highlight w:val="white"/>
                <w:lang w:eastAsia="en-GB"/>
              </w:rPr>
              <w:t xml:space="preserve">resueltos por el equipo de </w:t>
            </w:r>
            <w:r w:rsidRPr="00B50008">
              <w:rPr>
                <w:rFonts w:eastAsia="Times New Roman"/>
                <w:sz w:val="16"/>
                <w:szCs w:val="16"/>
                <w:lang w:eastAsia="en-GB"/>
              </w:rPr>
              <w:t>asistencia</w:t>
            </w:r>
          </w:p>
        </w:tc>
        <w:tc>
          <w:tcPr>
            <w:tcW w:w="1134" w:type="dxa"/>
            <w:tcMar>
              <w:top w:w="85" w:type="dxa"/>
              <w:bottom w:w="85" w:type="dxa"/>
            </w:tcMar>
          </w:tcPr>
          <w:p w:rsidR="00236E18" w:rsidRPr="00B50008" w:rsidRDefault="00236E18" w:rsidP="00294272">
            <w:pPr>
              <w:widowControl w:val="0"/>
              <w:autoSpaceDE w:val="0"/>
              <w:autoSpaceDN w:val="0"/>
              <w:adjustRightInd w:val="0"/>
              <w:jc w:val="right"/>
              <w:rPr>
                <w:rFonts w:eastAsia="Times New Roman"/>
                <w:sz w:val="16"/>
                <w:szCs w:val="16"/>
                <w:lang w:eastAsia="en-GB"/>
              </w:rPr>
            </w:pPr>
            <w:r w:rsidRPr="00B50008">
              <w:rPr>
                <w:sz w:val="16"/>
                <w:szCs w:val="16"/>
              </w:rPr>
              <w:t>85,5%</w:t>
            </w:r>
          </w:p>
        </w:tc>
        <w:tc>
          <w:tcPr>
            <w:tcW w:w="1101" w:type="dxa"/>
            <w:tcMar>
              <w:top w:w="85" w:type="dxa"/>
              <w:bottom w:w="85" w:type="dxa"/>
            </w:tcMar>
          </w:tcPr>
          <w:p w:rsidR="00236E18" w:rsidRPr="00B50008" w:rsidRDefault="00236E18" w:rsidP="00294272">
            <w:pPr>
              <w:widowControl w:val="0"/>
              <w:autoSpaceDE w:val="0"/>
              <w:autoSpaceDN w:val="0"/>
              <w:adjustRightInd w:val="0"/>
              <w:jc w:val="right"/>
              <w:rPr>
                <w:rFonts w:eastAsia="Times New Roman"/>
                <w:sz w:val="16"/>
                <w:szCs w:val="16"/>
                <w:lang w:eastAsia="en-GB"/>
              </w:rPr>
            </w:pPr>
            <w:r w:rsidRPr="00B50008">
              <w:rPr>
                <w:sz w:val="16"/>
                <w:szCs w:val="16"/>
              </w:rPr>
              <w:t>88,8%</w:t>
            </w:r>
          </w:p>
        </w:tc>
      </w:tr>
      <w:tr w:rsidR="00236E18" w:rsidRPr="00B50008" w:rsidTr="00294272">
        <w:trPr>
          <w:jc w:val="center"/>
        </w:trPr>
        <w:tc>
          <w:tcPr>
            <w:tcW w:w="534" w:type="dxa"/>
            <w:shd w:val="clear" w:color="auto" w:fill="auto"/>
            <w:tcMar>
              <w:top w:w="85" w:type="dxa"/>
              <w:bottom w:w="85" w:type="dxa"/>
            </w:tcMar>
          </w:tcPr>
          <w:p w:rsidR="00236E18" w:rsidRPr="00B50008" w:rsidRDefault="00236E18" w:rsidP="00294272">
            <w:pPr>
              <w:widowControl w:val="0"/>
              <w:rPr>
                <w:sz w:val="16"/>
                <w:szCs w:val="16"/>
                <w:lang w:eastAsia="en-GB"/>
              </w:rPr>
            </w:pPr>
            <w:r w:rsidRPr="00B50008">
              <w:rPr>
                <w:sz w:val="16"/>
                <w:szCs w:val="16"/>
                <w:lang w:eastAsia="en-GB"/>
              </w:rPr>
              <w:t xml:space="preserve">2) </w:t>
            </w:r>
          </w:p>
        </w:tc>
        <w:tc>
          <w:tcPr>
            <w:tcW w:w="2534" w:type="dxa"/>
            <w:shd w:val="clear" w:color="auto" w:fill="auto"/>
            <w:tcMar>
              <w:top w:w="85" w:type="dxa"/>
              <w:bottom w:w="85" w:type="dxa"/>
            </w:tcMar>
          </w:tcPr>
          <w:p w:rsidR="00236E18" w:rsidRPr="00B50008" w:rsidRDefault="00236E18" w:rsidP="00294272">
            <w:pPr>
              <w:widowControl w:val="0"/>
              <w:rPr>
                <w:sz w:val="16"/>
                <w:szCs w:val="16"/>
                <w:lang w:eastAsia="en-GB"/>
              </w:rPr>
            </w:pPr>
            <w:r w:rsidRPr="00B50008">
              <w:rPr>
                <w:sz w:val="16"/>
                <w:szCs w:val="16"/>
                <w:lang w:eastAsia="en-GB"/>
              </w:rPr>
              <w:t>Tiempo necesario para cargar documentos</w:t>
            </w:r>
          </w:p>
          <w:p w:rsidR="00236E18" w:rsidRPr="00B50008" w:rsidRDefault="00236E18" w:rsidP="00294272">
            <w:pPr>
              <w:widowControl w:val="0"/>
              <w:rPr>
                <w:sz w:val="16"/>
                <w:szCs w:val="16"/>
                <w:lang w:eastAsia="en-GB"/>
              </w:rPr>
            </w:pPr>
            <w:r w:rsidRPr="00B50008">
              <w:rPr>
                <w:i/>
                <w:sz w:val="16"/>
                <w:szCs w:val="16"/>
                <w:lang w:eastAsia="en-GB"/>
              </w:rPr>
              <w:t>Tiempo transcurrido entre la recepción del documento en la Oficina Internacional</w:t>
            </w:r>
            <w:r w:rsidRPr="00B50008">
              <w:rPr>
                <w:i/>
                <w:sz w:val="16"/>
                <w:szCs w:val="16"/>
                <w:highlight w:val="white"/>
                <w:lang w:eastAsia="en-GB"/>
              </w:rPr>
              <w:t xml:space="preserve"> y su disponibilidad en </w:t>
            </w:r>
            <w:proofErr w:type="spellStart"/>
            <w:r w:rsidRPr="00B50008">
              <w:rPr>
                <w:sz w:val="16"/>
                <w:szCs w:val="16"/>
                <w:lang w:eastAsia="en-GB"/>
              </w:rPr>
              <w:t>eDossier</w:t>
            </w:r>
            <w:proofErr w:type="spellEnd"/>
          </w:p>
        </w:tc>
        <w:tc>
          <w:tcPr>
            <w:tcW w:w="2002"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8 horas</w:t>
            </w:r>
          </w:p>
        </w:tc>
        <w:tc>
          <w:tcPr>
            <w:tcW w:w="1984"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Documentos cargados mediante un proceso total o parcialmente automatizado</w:t>
            </w:r>
          </w:p>
        </w:tc>
        <w:tc>
          <w:tcPr>
            <w:tcW w:w="1134" w:type="dxa"/>
            <w:tcMar>
              <w:top w:w="85" w:type="dxa"/>
              <w:bottom w:w="85" w:type="dxa"/>
            </w:tcMar>
          </w:tcPr>
          <w:p w:rsidR="00236E18" w:rsidRPr="00B50008" w:rsidRDefault="00236E18" w:rsidP="00294272">
            <w:pPr>
              <w:widowControl w:val="0"/>
              <w:autoSpaceDE w:val="0"/>
              <w:autoSpaceDN w:val="0"/>
              <w:adjustRightInd w:val="0"/>
              <w:jc w:val="right"/>
              <w:rPr>
                <w:rFonts w:eastAsia="Times New Roman"/>
                <w:sz w:val="16"/>
                <w:szCs w:val="16"/>
                <w:lang w:eastAsia="en-GB"/>
              </w:rPr>
            </w:pPr>
            <w:r w:rsidRPr="00B50008">
              <w:rPr>
                <w:sz w:val="16"/>
                <w:szCs w:val="16"/>
              </w:rPr>
              <w:t>80,0%</w:t>
            </w:r>
          </w:p>
        </w:tc>
        <w:tc>
          <w:tcPr>
            <w:tcW w:w="1101" w:type="dxa"/>
            <w:tcMar>
              <w:top w:w="85" w:type="dxa"/>
              <w:bottom w:w="85" w:type="dxa"/>
            </w:tcMar>
          </w:tcPr>
          <w:p w:rsidR="00236E18" w:rsidRPr="00B50008" w:rsidRDefault="00236E18" w:rsidP="00294272">
            <w:pPr>
              <w:widowControl w:val="0"/>
              <w:autoSpaceDE w:val="0"/>
              <w:autoSpaceDN w:val="0"/>
              <w:adjustRightInd w:val="0"/>
              <w:jc w:val="right"/>
              <w:rPr>
                <w:rFonts w:eastAsia="Times New Roman"/>
                <w:sz w:val="16"/>
                <w:szCs w:val="16"/>
                <w:lang w:eastAsia="en-GB"/>
              </w:rPr>
            </w:pPr>
            <w:r w:rsidRPr="00B50008">
              <w:rPr>
                <w:sz w:val="16"/>
                <w:szCs w:val="16"/>
              </w:rPr>
              <w:t>88,2%</w:t>
            </w:r>
          </w:p>
        </w:tc>
      </w:tr>
      <w:tr w:rsidR="00236E18" w:rsidRPr="00B50008" w:rsidTr="00294272">
        <w:trPr>
          <w:jc w:val="center"/>
        </w:trPr>
        <w:tc>
          <w:tcPr>
            <w:tcW w:w="534"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 xml:space="preserve">3) </w:t>
            </w:r>
          </w:p>
        </w:tc>
        <w:tc>
          <w:tcPr>
            <w:tcW w:w="2534"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Índice de éxito para el tratamiento de trabajos en lote</w:t>
            </w:r>
          </w:p>
        </w:tc>
        <w:tc>
          <w:tcPr>
            <w:tcW w:w="2002"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100%</w:t>
            </w:r>
          </w:p>
        </w:tc>
        <w:tc>
          <w:tcPr>
            <w:tcW w:w="1984"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Los trabajos en lote se completan antes de la hora de cierre en la fecha prevista</w:t>
            </w:r>
          </w:p>
        </w:tc>
        <w:tc>
          <w:tcPr>
            <w:tcW w:w="1134" w:type="dxa"/>
            <w:tcMar>
              <w:top w:w="85" w:type="dxa"/>
              <w:bottom w:w="85" w:type="dxa"/>
            </w:tcMar>
          </w:tcPr>
          <w:p w:rsidR="00236E18" w:rsidRPr="00B50008" w:rsidRDefault="00236E18" w:rsidP="00294272">
            <w:pPr>
              <w:widowControl w:val="0"/>
              <w:autoSpaceDE w:val="0"/>
              <w:autoSpaceDN w:val="0"/>
              <w:adjustRightInd w:val="0"/>
              <w:jc w:val="right"/>
              <w:rPr>
                <w:rFonts w:eastAsia="Times New Roman"/>
                <w:sz w:val="16"/>
                <w:szCs w:val="16"/>
                <w:lang w:eastAsia="en-GB"/>
              </w:rPr>
            </w:pPr>
            <w:r w:rsidRPr="00B50008">
              <w:rPr>
                <w:sz w:val="16"/>
                <w:szCs w:val="16"/>
              </w:rPr>
              <w:t>99,6%</w:t>
            </w:r>
          </w:p>
        </w:tc>
        <w:tc>
          <w:tcPr>
            <w:tcW w:w="1101" w:type="dxa"/>
            <w:tcMar>
              <w:top w:w="85" w:type="dxa"/>
              <w:bottom w:w="85" w:type="dxa"/>
            </w:tcMar>
          </w:tcPr>
          <w:p w:rsidR="00236E18" w:rsidRPr="00B50008" w:rsidRDefault="00236E18" w:rsidP="00294272">
            <w:pPr>
              <w:widowControl w:val="0"/>
              <w:autoSpaceDE w:val="0"/>
              <w:autoSpaceDN w:val="0"/>
              <w:adjustRightInd w:val="0"/>
              <w:jc w:val="right"/>
              <w:rPr>
                <w:rFonts w:eastAsia="Times New Roman"/>
                <w:sz w:val="16"/>
                <w:szCs w:val="16"/>
                <w:lang w:eastAsia="en-GB"/>
              </w:rPr>
            </w:pPr>
            <w:r w:rsidRPr="00B50008">
              <w:rPr>
                <w:sz w:val="16"/>
                <w:szCs w:val="16"/>
              </w:rPr>
              <w:t>99,5%</w:t>
            </w:r>
          </w:p>
        </w:tc>
      </w:tr>
      <w:tr w:rsidR="00236E18" w:rsidRPr="00B50008" w:rsidTr="00294272">
        <w:trPr>
          <w:jc w:val="center"/>
        </w:trPr>
        <w:tc>
          <w:tcPr>
            <w:tcW w:w="534"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4)</w:t>
            </w:r>
          </w:p>
        </w:tc>
        <w:tc>
          <w:tcPr>
            <w:tcW w:w="2534"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 xml:space="preserve">Disponibilidad del sistema </w:t>
            </w:r>
            <w:proofErr w:type="spellStart"/>
            <w:r w:rsidRPr="00B50008">
              <w:rPr>
                <w:rFonts w:eastAsia="Times New Roman"/>
                <w:i/>
                <w:sz w:val="16"/>
                <w:szCs w:val="16"/>
                <w:lang w:eastAsia="en-GB"/>
              </w:rPr>
              <w:t>eDossier</w:t>
            </w:r>
            <w:proofErr w:type="spellEnd"/>
            <w:r w:rsidRPr="00B50008">
              <w:rPr>
                <w:rFonts w:eastAsia="Times New Roman"/>
                <w:sz w:val="16"/>
                <w:szCs w:val="16"/>
                <w:lang w:eastAsia="en-GB"/>
              </w:rPr>
              <w:t xml:space="preserve"> </w:t>
            </w:r>
          </w:p>
        </w:tc>
        <w:tc>
          <w:tcPr>
            <w:tcW w:w="2002"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99%</w:t>
            </w:r>
          </w:p>
        </w:tc>
        <w:tc>
          <w:tcPr>
            <w:tcW w:w="1984"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De 7 a 19, en días laborables</w:t>
            </w:r>
          </w:p>
        </w:tc>
        <w:tc>
          <w:tcPr>
            <w:tcW w:w="1134" w:type="dxa"/>
            <w:tcMar>
              <w:top w:w="85" w:type="dxa"/>
              <w:bottom w:w="85" w:type="dxa"/>
            </w:tcMar>
          </w:tcPr>
          <w:p w:rsidR="00236E18" w:rsidRPr="00B50008" w:rsidRDefault="00236E18" w:rsidP="00294272">
            <w:pPr>
              <w:widowControl w:val="0"/>
              <w:autoSpaceDE w:val="0"/>
              <w:autoSpaceDN w:val="0"/>
              <w:adjustRightInd w:val="0"/>
              <w:jc w:val="right"/>
              <w:rPr>
                <w:rFonts w:eastAsia="Times New Roman"/>
                <w:sz w:val="16"/>
                <w:szCs w:val="16"/>
                <w:lang w:eastAsia="en-GB"/>
              </w:rPr>
            </w:pPr>
            <w:r w:rsidRPr="00B50008">
              <w:rPr>
                <w:sz w:val="16"/>
                <w:szCs w:val="16"/>
              </w:rPr>
              <w:t>100,0%</w:t>
            </w:r>
          </w:p>
        </w:tc>
        <w:tc>
          <w:tcPr>
            <w:tcW w:w="1101" w:type="dxa"/>
            <w:tcMar>
              <w:top w:w="85" w:type="dxa"/>
              <w:bottom w:w="85" w:type="dxa"/>
            </w:tcMar>
          </w:tcPr>
          <w:p w:rsidR="00236E18" w:rsidRPr="00B50008" w:rsidRDefault="00236E18" w:rsidP="00294272">
            <w:pPr>
              <w:widowControl w:val="0"/>
              <w:autoSpaceDE w:val="0"/>
              <w:autoSpaceDN w:val="0"/>
              <w:adjustRightInd w:val="0"/>
              <w:jc w:val="right"/>
              <w:rPr>
                <w:rFonts w:eastAsia="Times New Roman"/>
                <w:sz w:val="16"/>
                <w:szCs w:val="16"/>
                <w:lang w:eastAsia="en-GB"/>
              </w:rPr>
            </w:pPr>
            <w:r w:rsidRPr="00B50008">
              <w:rPr>
                <w:sz w:val="16"/>
                <w:szCs w:val="16"/>
              </w:rPr>
              <w:t>100,0%</w:t>
            </w:r>
          </w:p>
        </w:tc>
      </w:tr>
      <w:tr w:rsidR="00236E18" w:rsidRPr="00B50008" w:rsidTr="00294272">
        <w:trPr>
          <w:jc w:val="center"/>
        </w:trPr>
        <w:tc>
          <w:tcPr>
            <w:tcW w:w="534"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 xml:space="preserve">5) </w:t>
            </w:r>
          </w:p>
        </w:tc>
        <w:tc>
          <w:tcPr>
            <w:tcW w:w="2534"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 xml:space="preserve">Disponibilidad del sistema </w:t>
            </w:r>
            <w:proofErr w:type="spellStart"/>
            <w:r w:rsidRPr="00B50008">
              <w:rPr>
                <w:rFonts w:eastAsia="Times New Roman"/>
                <w:i/>
                <w:sz w:val="16"/>
                <w:szCs w:val="16"/>
                <w:lang w:eastAsia="en-GB"/>
              </w:rPr>
              <w:t>ePCT</w:t>
            </w:r>
            <w:proofErr w:type="spellEnd"/>
          </w:p>
        </w:tc>
        <w:tc>
          <w:tcPr>
            <w:tcW w:w="2002"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99%</w:t>
            </w:r>
          </w:p>
        </w:tc>
        <w:tc>
          <w:tcPr>
            <w:tcW w:w="1984"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sz w:val="16"/>
                <w:szCs w:val="16"/>
                <w:lang w:eastAsia="en-GB"/>
              </w:rPr>
            </w:pPr>
            <w:r w:rsidRPr="00B50008">
              <w:rPr>
                <w:rFonts w:eastAsia="Times New Roman"/>
                <w:sz w:val="16"/>
                <w:szCs w:val="16"/>
                <w:lang w:eastAsia="en-GB"/>
              </w:rPr>
              <w:t>24 horas</w:t>
            </w:r>
          </w:p>
        </w:tc>
        <w:tc>
          <w:tcPr>
            <w:tcW w:w="1134" w:type="dxa"/>
            <w:tcMar>
              <w:top w:w="85" w:type="dxa"/>
              <w:bottom w:w="85" w:type="dxa"/>
            </w:tcMar>
          </w:tcPr>
          <w:p w:rsidR="00236E18" w:rsidRPr="00B50008" w:rsidRDefault="00236E18" w:rsidP="00294272">
            <w:pPr>
              <w:widowControl w:val="0"/>
              <w:autoSpaceDE w:val="0"/>
              <w:autoSpaceDN w:val="0"/>
              <w:adjustRightInd w:val="0"/>
              <w:jc w:val="right"/>
              <w:rPr>
                <w:rFonts w:eastAsia="Times New Roman"/>
                <w:sz w:val="16"/>
                <w:szCs w:val="16"/>
                <w:lang w:eastAsia="en-GB"/>
              </w:rPr>
            </w:pPr>
            <w:r w:rsidRPr="00B50008">
              <w:rPr>
                <w:sz w:val="16"/>
                <w:szCs w:val="16"/>
              </w:rPr>
              <w:t>100,0%</w:t>
            </w:r>
          </w:p>
        </w:tc>
        <w:tc>
          <w:tcPr>
            <w:tcW w:w="1101" w:type="dxa"/>
            <w:tcMar>
              <w:top w:w="85" w:type="dxa"/>
              <w:bottom w:w="85" w:type="dxa"/>
            </w:tcMar>
          </w:tcPr>
          <w:p w:rsidR="00236E18" w:rsidRPr="00B50008" w:rsidRDefault="00236E18" w:rsidP="00294272">
            <w:pPr>
              <w:widowControl w:val="0"/>
              <w:autoSpaceDE w:val="0"/>
              <w:autoSpaceDN w:val="0"/>
              <w:adjustRightInd w:val="0"/>
              <w:jc w:val="right"/>
              <w:rPr>
                <w:rFonts w:eastAsia="Times New Roman"/>
                <w:sz w:val="16"/>
                <w:szCs w:val="16"/>
                <w:lang w:eastAsia="en-GB"/>
              </w:rPr>
            </w:pPr>
            <w:r w:rsidRPr="00B50008">
              <w:rPr>
                <w:sz w:val="16"/>
                <w:szCs w:val="16"/>
              </w:rPr>
              <w:t>100,0%</w:t>
            </w:r>
          </w:p>
        </w:tc>
      </w:tr>
      <w:tr w:rsidR="00236E18" w:rsidRPr="00B50008" w:rsidTr="00294272">
        <w:trPr>
          <w:jc w:val="center"/>
        </w:trPr>
        <w:tc>
          <w:tcPr>
            <w:tcW w:w="534"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b/>
                <w:sz w:val="16"/>
                <w:szCs w:val="16"/>
                <w:lang w:eastAsia="en-GB"/>
              </w:rPr>
            </w:pPr>
          </w:p>
        </w:tc>
        <w:tc>
          <w:tcPr>
            <w:tcW w:w="2534"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b/>
                <w:sz w:val="16"/>
                <w:szCs w:val="16"/>
                <w:lang w:eastAsia="en-GB"/>
              </w:rPr>
            </w:pPr>
            <w:r w:rsidRPr="00B50008">
              <w:rPr>
                <w:rFonts w:eastAsia="Times New Roman"/>
                <w:b/>
                <w:sz w:val="16"/>
                <w:szCs w:val="16"/>
                <w:highlight w:val="white"/>
                <w:lang w:eastAsia="en-GB"/>
              </w:rPr>
              <w:t>Niveles de los servicios prestados por los sistemas de Información</w:t>
            </w:r>
          </w:p>
          <w:p w:rsidR="00236E18" w:rsidRPr="00B50008" w:rsidRDefault="00236E18" w:rsidP="00294272">
            <w:pPr>
              <w:widowControl w:val="0"/>
              <w:autoSpaceDE w:val="0"/>
              <w:autoSpaceDN w:val="0"/>
              <w:adjustRightInd w:val="0"/>
              <w:rPr>
                <w:rFonts w:eastAsia="Times New Roman"/>
                <w:b/>
                <w:i/>
                <w:sz w:val="16"/>
                <w:szCs w:val="16"/>
                <w:lang w:eastAsia="en-GB"/>
              </w:rPr>
            </w:pPr>
            <w:r w:rsidRPr="00B50008">
              <w:rPr>
                <w:rFonts w:eastAsia="Times New Roman"/>
                <w:b/>
                <w:i/>
                <w:sz w:val="16"/>
                <w:szCs w:val="16"/>
                <w:highlight w:val="white"/>
                <w:lang w:eastAsia="en-GB"/>
              </w:rPr>
              <w:t xml:space="preserve">Promedio ponderado de los indicadores que figuran </w:t>
            </w:r>
            <w:r w:rsidRPr="00B50008">
              <w:rPr>
                <w:rFonts w:eastAsia="Times New Roman"/>
                <w:b/>
                <w:sz w:val="16"/>
                <w:szCs w:val="16"/>
                <w:highlight w:val="white"/>
                <w:lang w:eastAsia="en-GB"/>
              </w:rPr>
              <w:t>supra</w:t>
            </w:r>
            <w:proofErr w:type="gramStart"/>
            <w:r w:rsidRPr="00B50008">
              <w:rPr>
                <w:rFonts w:eastAsia="Times New Roman"/>
                <w:b/>
                <w:i/>
                <w:sz w:val="16"/>
                <w:szCs w:val="16"/>
                <w:lang w:eastAsia="en-GB"/>
              </w:rPr>
              <w:t>:  1</w:t>
            </w:r>
            <w:proofErr w:type="gramEnd"/>
            <w:r w:rsidRPr="00B50008">
              <w:rPr>
                <w:rFonts w:eastAsia="Times New Roman"/>
                <w:b/>
                <w:i/>
                <w:sz w:val="16"/>
                <w:szCs w:val="16"/>
                <w:lang w:eastAsia="en-GB"/>
              </w:rPr>
              <w:t>):  20%, 2):  20%, 3):  20%, 4):  20%, 5):  20%.</w:t>
            </w:r>
          </w:p>
        </w:tc>
        <w:tc>
          <w:tcPr>
            <w:tcW w:w="2002"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b/>
                <w:sz w:val="16"/>
                <w:szCs w:val="16"/>
                <w:lang w:eastAsia="en-GB"/>
              </w:rPr>
            </w:pPr>
          </w:p>
        </w:tc>
        <w:tc>
          <w:tcPr>
            <w:tcW w:w="1984" w:type="dxa"/>
            <w:shd w:val="clear" w:color="auto" w:fill="auto"/>
            <w:tcMar>
              <w:top w:w="85" w:type="dxa"/>
              <w:bottom w:w="85" w:type="dxa"/>
            </w:tcMar>
          </w:tcPr>
          <w:p w:rsidR="00236E18" w:rsidRPr="00B50008" w:rsidRDefault="00236E18" w:rsidP="00294272">
            <w:pPr>
              <w:widowControl w:val="0"/>
              <w:autoSpaceDE w:val="0"/>
              <w:autoSpaceDN w:val="0"/>
              <w:adjustRightInd w:val="0"/>
              <w:rPr>
                <w:rFonts w:eastAsia="Times New Roman"/>
                <w:b/>
                <w:sz w:val="16"/>
                <w:szCs w:val="16"/>
                <w:lang w:eastAsia="en-GB"/>
              </w:rPr>
            </w:pPr>
          </w:p>
        </w:tc>
        <w:tc>
          <w:tcPr>
            <w:tcW w:w="1134" w:type="dxa"/>
            <w:tcMar>
              <w:top w:w="85" w:type="dxa"/>
              <w:bottom w:w="85" w:type="dxa"/>
            </w:tcMar>
          </w:tcPr>
          <w:p w:rsidR="00236E18" w:rsidRPr="00B50008" w:rsidRDefault="00236E18" w:rsidP="00294272">
            <w:pPr>
              <w:widowControl w:val="0"/>
              <w:autoSpaceDE w:val="0"/>
              <w:autoSpaceDN w:val="0"/>
              <w:adjustRightInd w:val="0"/>
              <w:jc w:val="right"/>
              <w:rPr>
                <w:b/>
                <w:sz w:val="16"/>
                <w:szCs w:val="16"/>
              </w:rPr>
            </w:pPr>
            <w:r w:rsidRPr="00B50008">
              <w:rPr>
                <w:b/>
                <w:sz w:val="16"/>
                <w:szCs w:val="16"/>
              </w:rPr>
              <w:t>93,0%</w:t>
            </w:r>
          </w:p>
        </w:tc>
        <w:tc>
          <w:tcPr>
            <w:tcW w:w="1101" w:type="dxa"/>
            <w:tcMar>
              <w:top w:w="85" w:type="dxa"/>
              <w:bottom w:w="85" w:type="dxa"/>
            </w:tcMar>
          </w:tcPr>
          <w:p w:rsidR="00236E18" w:rsidRPr="00B50008" w:rsidRDefault="00236E18" w:rsidP="00294272">
            <w:pPr>
              <w:widowControl w:val="0"/>
              <w:autoSpaceDE w:val="0"/>
              <w:autoSpaceDN w:val="0"/>
              <w:adjustRightInd w:val="0"/>
              <w:jc w:val="right"/>
              <w:rPr>
                <w:b/>
                <w:sz w:val="16"/>
                <w:szCs w:val="16"/>
              </w:rPr>
            </w:pPr>
            <w:r w:rsidRPr="00B50008">
              <w:rPr>
                <w:b/>
                <w:sz w:val="16"/>
                <w:szCs w:val="16"/>
              </w:rPr>
              <w:t>95,3%</w:t>
            </w:r>
          </w:p>
        </w:tc>
      </w:tr>
    </w:tbl>
    <w:p w:rsidR="00236E18" w:rsidRPr="00B50008" w:rsidRDefault="00236E18" w:rsidP="00236E18">
      <w:pPr>
        <w:widowControl w:val="0"/>
        <w:autoSpaceDE w:val="0"/>
        <w:autoSpaceDN w:val="0"/>
        <w:adjustRightInd w:val="0"/>
        <w:rPr>
          <w:rFonts w:eastAsia="Times New Roman"/>
          <w:lang w:eastAsia="en-GB"/>
        </w:rPr>
      </w:pPr>
    </w:p>
    <w:p w:rsidR="00236E18" w:rsidRPr="00B50008" w:rsidRDefault="00236E18" w:rsidP="00236E18">
      <w:pPr>
        <w:widowControl w:val="0"/>
        <w:rPr>
          <w:b/>
          <w:sz w:val="20"/>
          <w:szCs w:val="16"/>
          <w:highlight w:val="yellow"/>
        </w:rPr>
      </w:pPr>
    </w:p>
    <w:p w:rsidR="00236E18" w:rsidRPr="00B50008" w:rsidRDefault="00236E18" w:rsidP="00236E18">
      <w:pPr>
        <w:widowControl w:val="0"/>
        <w:rPr>
          <w:b/>
          <w:sz w:val="20"/>
          <w:szCs w:val="16"/>
        </w:rPr>
      </w:pPr>
      <w:r w:rsidRPr="00B50008">
        <w:rPr>
          <w:b/>
          <w:sz w:val="20"/>
          <w:szCs w:val="16"/>
          <w:highlight w:val="white"/>
        </w:rPr>
        <w:t>Oficina Internacional</w:t>
      </w:r>
      <w:r w:rsidRPr="00B50008">
        <w:rPr>
          <w:b/>
          <w:sz w:val="20"/>
          <w:szCs w:val="16"/>
        </w:rPr>
        <w:t xml:space="preserve"> actuando en calidad de Oficina receptora (RO/IB)</w:t>
      </w:r>
    </w:p>
    <w:p w:rsidR="00236E18" w:rsidRPr="00B50008" w:rsidRDefault="00236E18" w:rsidP="00236E18">
      <w:pPr>
        <w:widowControl w:val="0"/>
        <w:rPr>
          <w:b/>
          <w:sz w:val="20"/>
          <w:szCs w:val="16"/>
        </w:rPr>
      </w:pPr>
    </w:p>
    <w:p w:rsidR="00236E18" w:rsidRPr="00B50008" w:rsidRDefault="00236E18" w:rsidP="00236E18">
      <w:pPr>
        <w:widowControl w:val="0"/>
        <w:rPr>
          <w:i/>
          <w:sz w:val="20"/>
        </w:rPr>
      </w:pPr>
      <w:r w:rsidRPr="00B50008">
        <w:rPr>
          <w:i/>
          <w:sz w:val="20"/>
        </w:rPr>
        <w:t xml:space="preserve">Presentación de solicitudes </w:t>
      </w:r>
    </w:p>
    <w:p w:rsidR="00236E18" w:rsidRPr="00B50008" w:rsidRDefault="00236E18" w:rsidP="00236E18">
      <w:pPr>
        <w:widowControl w:val="0"/>
        <w:rPr>
          <w:b/>
          <w:szCs w:val="18"/>
        </w:rPr>
      </w:pPr>
    </w:p>
    <w:p w:rsidR="00236E18" w:rsidRPr="00B50008" w:rsidRDefault="00236E18" w:rsidP="00236E18">
      <w:pPr>
        <w:widowControl w:val="0"/>
        <w:numPr>
          <w:ilvl w:val="0"/>
          <w:numId w:val="49"/>
        </w:numPr>
        <w:rPr>
          <w:sz w:val="20"/>
        </w:rPr>
      </w:pPr>
      <w:r w:rsidRPr="00B50008">
        <w:rPr>
          <w:sz w:val="20"/>
        </w:rPr>
        <w:t xml:space="preserve">En este cuadro se muestra la actividad de presentación de solicitudes PCT con respecto a las diez principales oficinas receptoras desde los últimos cinco años hasta 2014.   En principio, las solicitudes PCT se presentan en la oficina de patentes del país de residencia del solicitante o en una oficina regional de patentes con jurisdicción sobre el lugar de residencia del solicitante.  </w:t>
      </w:r>
      <w:r w:rsidRPr="00B50008">
        <w:rPr>
          <w:sz w:val="20"/>
          <w:highlight w:val="white"/>
        </w:rPr>
        <w:t>La Oficina Internacional es la Oficina receptora competente</w:t>
      </w:r>
      <w:r w:rsidRPr="00B50008">
        <w:rPr>
          <w:sz w:val="20"/>
        </w:rPr>
        <w:t xml:space="preserve"> (RO/IB) para los solicitantes de todos los Estados contratantes del </w:t>
      </w:r>
      <w:r w:rsidRPr="00B50008">
        <w:rPr>
          <w:sz w:val="20"/>
          <w:highlight w:val="white"/>
        </w:rPr>
        <w:t xml:space="preserve"> PCT</w:t>
      </w:r>
      <w:r w:rsidRPr="00B50008">
        <w:rPr>
          <w:sz w:val="20"/>
        </w:rPr>
        <w:t xml:space="preserve">.  En el cuadro se muestra la evolución en la presentación de solicitudes ante la RO/IB, el </w:t>
      </w:r>
      <w:r w:rsidRPr="00B50008">
        <w:rPr>
          <w:i/>
          <w:sz w:val="20"/>
        </w:rPr>
        <w:t>ranking</w:t>
      </w:r>
      <w:r w:rsidRPr="00B50008">
        <w:rPr>
          <w:sz w:val="20"/>
        </w:rPr>
        <w:t xml:space="preserve"> que le corresponde en lo relativo al número de solicitudes recibidas por otras oficinas receptoras, así como su cuota de mercado.</w:t>
      </w:r>
    </w:p>
    <w:p w:rsidR="00236E18" w:rsidRPr="00B50008" w:rsidRDefault="00236E18" w:rsidP="00236E18">
      <w:pPr>
        <w:widowControl w:val="0"/>
        <w:jc w:val="both"/>
        <w:rPr>
          <w:sz w:val="18"/>
          <w:szCs w:val="22"/>
          <w:highlight w:val="yellow"/>
        </w:rPr>
      </w:pPr>
    </w:p>
    <w:p w:rsidR="00236E18" w:rsidRPr="00B50008" w:rsidRDefault="00236E18" w:rsidP="00236E18">
      <w:pPr>
        <w:widowControl w:val="0"/>
        <w:jc w:val="both"/>
        <w:rPr>
          <w:sz w:val="18"/>
          <w:szCs w:val="22"/>
          <w:highlight w:val="yellow"/>
        </w:rPr>
      </w:pPr>
      <w:r w:rsidRPr="00B50008">
        <w:rPr>
          <w:noProof/>
          <w:sz w:val="18"/>
          <w:szCs w:val="22"/>
          <w:lang w:val="en-US" w:eastAsia="en-US"/>
        </w:rPr>
        <w:lastRenderedPageBreak/>
        <w:drawing>
          <wp:inline distT="0" distB="0" distL="0" distR="0" wp14:anchorId="3256BCC1" wp14:editId="4493F82D">
            <wp:extent cx="5741670" cy="2615565"/>
            <wp:effectExtent l="0" t="0" r="0" b="0"/>
            <wp:docPr id="802" name="Imagen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741670" cy="2615565"/>
                    </a:xfrm>
                    <a:prstGeom prst="rect">
                      <a:avLst/>
                    </a:prstGeom>
                    <a:noFill/>
                    <a:ln>
                      <a:noFill/>
                    </a:ln>
                  </pic:spPr>
                </pic:pic>
              </a:graphicData>
            </a:graphic>
          </wp:inline>
        </w:drawing>
      </w:r>
    </w:p>
    <w:p w:rsidR="00236E18" w:rsidRPr="00B50008" w:rsidRDefault="00236E18" w:rsidP="00236E18">
      <w:pPr>
        <w:widowControl w:val="0"/>
        <w:rPr>
          <w:sz w:val="18"/>
          <w:szCs w:val="22"/>
          <w:highlight w:val="yellow"/>
        </w:rPr>
      </w:pPr>
    </w:p>
    <w:p w:rsidR="00236E18" w:rsidRPr="00B50008" w:rsidRDefault="00236E18" w:rsidP="00236E18">
      <w:pPr>
        <w:widowControl w:val="0"/>
        <w:numPr>
          <w:ilvl w:val="0"/>
          <w:numId w:val="49"/>
        </w:numPr>
        <w:rPr>
          <w:sz w:val="20"/>
        </w:rPr>
      </w:pPr>
      <w:r w:rsidRPr="00B50008">
        <w:rPr>
          <w:sz w:val="20"/>
          <w:highlight w:val="white"/>
        </w:rPr>
        <w:t>En el presupuesto por programas de 2014/15</w:t>
      </w:r>
      <w:r w:rsidRPr="00B50008">
        <w:rPr>
          <w:sz w:val="20"/>
        </w:rPr>
        <w:t xml:space="preserve">, se añadieron los dos indicadores de rendimiento siguientes para la </w:t>
      </w:r>
      <w:r w:rsidRPr="00B50008">
        <w:rPr>
          <w:sz w:val="20"/>
          <w:highlight w:val="white"/>
        </w:rPr>
        <w:t>RO/IB</w:t>
      </w:r>
      <w:r w:rsidRPr="00B50008">
        <w:rPr>
          <w:sz w:val="20"/>
        </w:rPr>
        <w:t>:</w:t>
      </w:r>
    </w:p>
    <w:p w:rsidR="00236E18" w:rsidRPr="00B50008" w:rsidRDefault="00236E18" w:rsidP="00236E18">
      <w:pPr>
        <w:pStyle w:val="PlainText"/>
        <w:widowControl w:val="0"/>
        <w:rPr>
          <w:rFonts w:ascii="Arial" w:hAnsi="Arial" w:cs="Arial"/>
          <w:color w:val="auto"/>
          <w:lang w:val="es-ES"/>
        </w:rPr>
      </w:pPr>
    </w:p>
    <w:p w:rsidR="00236E18" w:rsidRPr="00B50008" w:rsidRDefault="00236E18" w:rsidP="00236E18">
      <w:pPr>
        <w:pStyle w:val="PlainText"/>
        <w:widowControl w:val="0"/>
        <w:rPr>
          <w:rFonts w:ascii="Arial" w:hAnsi="Arial" w:cs="Arial"/>
          <w:color w:val="auto"/>
          <w:lang w:val="es-ES"/>
        </w:rPr>
      </w:pPr>
      <w:r w:rsidRPr="00B50008">
        <w:rPr>
          <w:rFonts w:ascii="Arial" w:hAnsi="Arial" w:cs="Arial"/>
          <w:i/>
          <w:color w:val="auto"/>
          <w:lang w:val="es-ES"/>
        </w:rPr>
        <w:t>Tiempo necesario para la notificación de la fecha de presentación de la solicitud internacional</w:t>
      </w:r>
    </w:p>
    <w:p w:rsidR="00236E18" w:rsidRPr="00B50008" w:rsidRDefault="00236E18" w:rsidP="00236E18">
      <w:pPr>
        <w:pStyle w:val="PlainText"/>
        <w:widowControl w:val="0"/>
        <w:rPr>
          <w:rFonts w:ascii="Arial" w:hAnsi="Arial" w:cs="Arial"/>
          <w:color w:val="auto"/>
          <w:lang w:val="es-ES"/>
        </w:rPr>
      </w:pPr>
    </w:p>
    <w:p w:rsidR="00236E18" w:rsidRPr="00B50008" w:rsidRDefault="00236E18" w:rsidP="00236E18">
      <w:pPr>
        <w:widowControl w:val="0"/>
        <w:numPr>
          <w:ilvl w:val="0"/>
          <w:numId w:val="49"/>
        </w:numPr>
        <w:rPr>
          <w:sz w:val="20"/>
        </w:rPr>
      </w:pPr>
      <w:r w:rsidRPr="00B50008">
        <w:rPr>
          <w:sz w:val="20"/>
        </w:rPr>
        <w:t>Este indicador refleja el tiempo que tarda la RO/IB en expedir el formulario 105.   Se expide este formulario una vez otorgada la fecha de presentación internacional.   Los solicitantes agradecen que se les envíe lo antes posible, puesto que la solicitud internacional surtirá el mismo efecto que una solicitud nacional común que haya sido presentada en cada uno de los Estados designados en la fecha de presentación internacional, que será considerada como la fecha de presentación efectiva en cada Estado designado.</w:t>
      </w:r>
    </w:p>
    <w:p w:rsidR="00236E18" w:rsidRPr="00B50008" w:rsidRDefault="00236E18" w:rsidP="00236E18">
      <w:pPr>
        <w:pStyle w:val="BodyText2"/>
        <w:widowControl w:val="0"/>
        <w:spacing w:after="0" w:line="240" w:lineRule="auto"/>
        <w:jc w:val="both"/>
        <w:rPr>
          <w:rFonts w:ascii="Arial" w:hAnsi="Arial" w:cs="Arial"/>
          <w:sz w:val="20"/>
          <w:szCs w:val="20"/>
          <w:lang w:val="es-ES"/>
        </w:rPr>
      </w:pPr>
    </w:p>
    <w:p w:rsidR="00236E18" w:rsidRPr="00B50008" w:rsidRDefault="00236E18" w:rsidP="00236E18">
      <w:pPr>
        <w:pStyle w:val="PlainText"/>
        <w:widowControl w:val="0"/>
        <w:jc w:val="center"/>
        <w:rPr>
          <w:rFonts w:ascii="Arial" w:hAnsi="Arial" w:cs="Arial"/>
          <w:b/>
          <w:color w:val="auto"/>
          <w:lang w:val="es-ES"/>
        </w:rPr>
      </w:pPr>
      <w:r w:rsidRPr="00B50008">
        <w:rPr>
          <w:rFonts w:ascii="Arial" w:hAnsi="Arial" w:cs="Arial"/>
          <w:b/>
          <w:color w:val="auto"/>
          <w:lang w:val="es-ES"/>
        </w:rPr>
        <w:t>Tiempo necesario para la notificación de la fecha de presentación de la solicitud internacional</w:t>
      </w:r>
    </w:p>
    <w:p w:rsidR="00236E18" w:rsidRPr="00B50008" w:rsidRDefault="00236E18" w:rsidP="00236E18">
      <w:pPr>
        <w:pStyle w:val="PlainText"/>
        <w:widowControl w:val="0"/>
        <w:jc w:val="center"/>
        <w:rPr>
          <w:rFonts w:ascii="Arial" w:hAnsi="Arial" w:cs="Arial"/>
          <w:b/>
          <w:color w:val="auto"/>
          <w:lang w:val="es-ES"/>
        </w:rPr>
      </w:pPr>
      <w:r w:rsidRPr="00B50008">
        <w:rPr>
          <w:rFonts w:ascii="Arial" w:hAnsi="Arial" w:cs="Arial"/>
          <w:b/>
          <w:noProof/>
          <w:color w:val="auto"/>
          <w:lang w:eastAsia="en-US"/>
        </w:rPr>
        <w:drawing>
          <wp:inline distT="0" distB="0" distL="0" distR="0" wp14:anchorId="386E16E1" wp14:editId="72709532">
            <wp:extent cx="5741670" cy="2434590"/>
            <wp:effectExtent l="0" t="0" r="0" b="3810"/>
            <wp:docPr id="803" name="Imagen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741670" cy="2434590"/>
                    </a:xfrm>
                    <a:prstGeom prst="rect">
                      <a:avLst/>
                    </a:prstGeom>
                    <a:noFill/>
                    <a:ln>
                      <a:noFill/>
                    </a:ln>
                  </pic:spPr>
                </pic:pic>
              </a:graphicData>
            </a:graphic>
          </wp:inline>
        </w:drawing>
      </w:r>
    </w:p>
    <w:p w:rsidR="00236E18" w:rsidRPr="00B50008" w:rsidRDefault="00236E18" w:rsidP="00236E18">
      <w:pPr>
        <w:pStyle w:val="PlainText"/>
        <w:widowControl w:val="0"/>
        <w:rPr>
          <w:rFonts w:ascii="Arial" w:hAnsi="Arial" w:cs="Arial"/>
          <w:color w:val="auto"/>
          <w:lang w:val="es-ES"/>
        </w:rPr>
      </w:pPr>
    </w:p>
    <w:p w:rsidR="00236E18" w:rsidRPr="00B50008" w:rsidRDefault="00236E18" w:rsidP="00236E18">
      <w:pPr>
        <w:pStyle w:val="PlainText"/>
        <w:widowControl w:val="0"/>
        <w:rPr>
          <w:rFonts w:ascii="Arial" w:hAnsi="Arial" w:cs="Arial"/>
          <w:i/>
          <w:color w:val="auto"/>
          <w:lang w:val="es-ES"/>
        </w:rPr>
      </w:pPr>
      <w:r w:rsidRPr="00B50008">
        <w:rPr>
          <w:rFonts w:ascii="Arial" w:hAnsi="Arial" w:cs="Arial"/>
          <w:i/>
          <w:color w:val="auto"/>
          <w:lang w:val="es-ES"/>
        </w:rPr>
        <w:t>Tiempo necesario para la transmisión de la copia para la búsqueda</w:t>
      </w:r>
    </w:p>
    <w:p w:rsidR="00236E18" w:rsidRPr="00B50008" w:rsidRDefault="00236E18" w:rsidP="00236E18">
      <w:pPr>
        <w:pStyle w:val="PlainText"/>
        <w:widowControl w:val="0"/>
        <w:rPr>
          <w:rFonts w:ascii="Arial" w:hAnsi="Arial" w:cs="Arial"/>
          <w:color w:val="auto"/>
          <w:lang w:val="es-ES"/>
        </w:rPr>
      </w:pPr>
    </w:p>
    <w:p w:rsidR="00236E18" w:rsidRPr="00B50008" w:rsidRDefault="00236E18" w:rsidP="00236E18">
      <w:pPr>
        <w:widowControl w:val="0"/>
        <w:numPr>
          <w:ilvl w:val="0"/>
          <w:numId w:val="49"/>
        </w:numPr>
        <w:rPr>
          <w:sz w:val="20"/>
        </w:rPr>
      </w:pPr>
      <w:r w:rsidRPr="00B50008">
        <w:rPr>
          <w:sz w:val="20"/>
        </w:rPr>
        <w:t>Este indicador refleja el tiempo que tarda la RO/IB en transmitir las copias para la búsqueda a las Administraciones encargadas de la búsqueda internacional.  La copia para la búsqueda debe ser transmitida lo antes posible tras el pago de la tasa, para que la Administración encargada de la búsqueda internacional pueda elaborar el informe sobre la búsqueda internacional dentro de los plazos dispuestos en el marco regulador del PCT.  La demora en el pago de la tasa demorará la transmisión de las copias para la búsqueda a las Administraciones encargadas de la búsqueda internacional y, por lo tanto, incidirá negativamente en la capacidad de dichas Administraciones de cumplir con esos plazos.</w:t>
      </w:r>
    </w:p>
    <w:p w:rsidR="00236E18" w:rsidRPr="00B50008" w:rsidRDefault="00236E18" w:rsidP="00236E18">
      <w:pPr>
        <w:widowControl w:val="0"/>
        <w:rPr>
          <w:sz w:val="20"/>
        </w:rPr>
      </w:pPr>
    </w:p>
    <w:p w:rsidR="00236E18" w:rsidRPr="00B50008" w:rsidRDefault="00236E18" w:rsidP="00236E18">
      <w:pPr>
        <w:pStyle w:val="PlainText"/>
        <w:keepNext/>
        <w:widowControl w:val="0"/>
        <w:jc w:val="center"/>
        <w:rPr>
          <w:rFonts w:ascii="Arial" w:hAnsi="Arial" w:cs="Arial"/>
          <w:b/>
          <w:color w:val="auto"/>
          <w:lang w:val="es-ES"/>
        </w:rPr>
      </w:pPr>
      <w:r w:rsidRPr="00B50008">
        <w:rPr>
          <w:rFonts w:ascii="Arial" w:hAnsi="Arial" w:cs="Arial"/>
          <w:b/>
          <w:color w:val="auto"/>
          <w:lang w:val="es-ES"/>
        </w:rPr>
        <w:lastRenderedPageBreak/>
        <w:t>Tiempo necesario para la transmisión de la copia para la búsqueda</w:t>
      </w:r>
    </w:p>
    <w:p w:rsidR="00236E18" w:rsidRPr="00B50008" w:rsidRDefault="00236E18" w:rsidP="00236E18">
      <w:pPr>
        <w:pStyle w:val="PlainText"/>
        <w:widowControl w:val="0"/>
        <w:jc w:val="center"/>
        <w:rPr>
          <w:rFonts w:ascii="Arial" w:hAnsi="Arial" w:cs="Arial"/>
          <w:b/>
          <w:color w:val="auto"/>
          <w:lang w:val="es-ES"/>
        </w:rPr>
      </w:pPr>
      <w:r w:rsidRPr="00B50008">
        <w:rPr>
          <w:rFonts w:ascii="Arial" w:hAnsi="Arial" w:cs="Arial"/>
          <w:b/>
          <w:noProof/>
          <w:color w:val="auto"/>
          <w:lang w:eastAsia="en-US"/>
        </w:rPr>
        <w:drawing>
          <wp:inline distT="0" distB="0" distL="0" distR="0" wp14:anchorId="54BA037E" wp14:editId="7F24E484">
            <wp:extent cx="5741670" cy="2615565"/>
            <wp:effectExtent l="0" t="0" r="0" b="0"/>
            <wp:docPr id="804" name="Imagen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741670" cy="2615565"/>
                    </a:xfrm>
                    <a:prstGeom prst="rect">
                      <a:avLst/>
                    </a:prstGeom>
                    <a:noFill/>
                    <a:ln>
                      <a:noFill/>
                    </a:ln>
                  </pic:spPr>
                </pic:pic>
              </a:graphicData>
            </a:graphic>
          </wp:inline>
        </w:drawing>
      </w:r>
    </w:p>
    <w:p w:rsidR="00236E18" w:rsidRPr="00B50008" w:rsidRDefault="00236E18" w:rsidP="00236E18">
      <w:pPr>
        <w:pStyle w:val="PlainText"/>
        <w:widowControl w:val="0"/>
        <w:rPr>
          <w:rFonts w:ascii="Arial" w:hAnsi="Arial" w:cs="Arial"/>
          <w:b/>
          <w:color w:val="auto"/>
          <w:lang w:val="es-ES"/>
        </w:rPr>
      </w:pPr>
    </w:p>
    <w:p w:rsidR="00236E18" w:rsidRPr="00B50008" w:rsidRDefault="00236E18" w:rsidP="00236E18">
      <w:pPr>
        <w:pStyle w:val="PlainText"/>
        <w:widowControl w:val="0"/>
        <w:rPr>
          <w:rFonts w:ascii="Arial" w:hAnsi="Arial" w:cs="Arial"/>
          <w:b/>
          <w:color w:val="auto"/>
          <w:lang w:val="es-ES"/>
        </w:rPr>
      </w:pPr>
    </w:p>
    <w:p w:rsidR="00236E18" w:rsidRDefault="00236E18" w:rsidP="00236E18">
      <w:pPr>
        <w:rPr>
          <w:rFonts w:eastAsia="Times New Roman"/>
          <w:iCs/>
          <w:szCs w:val="22"/>
          <w:lang w:eastAsia="en-US"/>
        </w:rPr>
      </w:pPr>
      <w:r>
        <w:rPr>
          <w:b/>
          <w:caps/>
        </w:rPr>
        <w:br w:type="page"/>
      </w:r>
    </w:p>
    <w:p w:rsidR="00236E18" w:rsidRPr="00352124" w:rsidRDefault="00236E18" w:rsidP="00236E18">
      <w:pPr>
        <w:pStyle w:val="StyleHeading3ComplexItalic"/>
        <w:keepNext w:val="0"/>
        <w:widowControl w:val="0"/>
        <w:tabs>
          <w:tab w:val="clear" w:pos="1985"/>
          <w:tab w:val="left" w:pos="-3402"/>
        </w:tabs>
        <w:ind w:left="1560" w:hanging="1560"/>
        <w:rPr>
          <w:caps w:val="0"/>
          <w:lang w:val="es-ES"/>
        </w:rPr>
      </w:pPr>
      <w:bookmarkStart w:id="156" w:name="_Toc431573584"/>
      <w:bookmarkStart w:id="157" w:name="_Toc431573985"/>
      <w:r w:rsidRPr="00352124">
        <w:rPr>
          <w:caps w:val="0"/>
          <w:lang w:val="es-ES"/>
        </w:rPr>
        <w:lastRenderedPageBreak/>
        <w:t>ANEXO VI</w:t>
      </w:r>
      <w:r w:rsidRPr="00352124">
        <w:rPr>
          <w:caps w:val="0"/>
          <w:lang w:val="es-ES"/>
        </w:rPr>
        <w:tab/>
        <w:t>INDICADORES DE LAS OPERACIONES DEL SISTEMA DE MADRID</w:t>
      </w:r>
      <w:bookmarkEnd w:id="156"/>
      <w:bookmarkEnd w:id="157"/>
    </w:p>
    <w:p w:rsidR="00236E18" w:rsidRPr="00352124" w:rsidRDefault="00236E18" w:rsidP="00236E18">
      <w:pPr>
        <w:widowControl w:val="0"/>
        <w:rPr>
          <w:b/>
        </w:rPr>
      </w:pPr>
    </w:p>
    <w:p w:rsidR="00236E18" w:rsidRPr="00352124" w:rsidRDefault="00236E18" w:rsidP="00236E18">
      <w:pPr>
        <w:widowControl w:val="0"/>
        <w:rPr>
          <w:b/>
        </w:rPr>
      </w:pPr>
    </w:p>
    <w:p w:rsidR="00236E18" w:rsidRPr="00352124" w:rsidRDefault="00236E18" w:rsidP="00236E18">
      <w:pPr>
        <w:widowControl w:val="0"/>
        <w:rPr>
          <w:lang w:bidi="th-TH"/>
        </w:rPr>
      </w:pPr>
      <w:r w:rsidRPr="00352124">
        <w:rPr>
          <w:lang w:bidi="th-TH"/>
        </w:rPr>
        <w:t>INDICADORES DE RENDIMIENTO CON RESPECTO AL RESULTADO PREVISTO</w:t>
      </w:r>
    </w:p>
    <w:p w:rsidR="00236E18" w:rsidRPr="00352124" w:rsidRDefault="00236E18" w:rsidP="00236E18">
      <w:pPr>
        <w:widowControl w:val="0"/>
        <w:tabs>
          <w:tab w:val="left" w:pos="1525"/>
          <w:tab w:val="right" w:pos="2835"/>
        </w:tabs>
        <w:spacing w:after="60"/>
      </w:pPr>
      <w:r w:rsidRPr="00352124">
        <w:t>“MEJORA DE LA PRODUCTIVIDAD Y DE LA CALIDAD DE LOS SERVICIOS EN LAS OPERACIONES DEL SISTEMA DE MADRID”</w:t>
      </w:r>
    </w:p>
    <w:p w:rsidR="00236E18" w:rsidRPr="00352124" w:rsidRDefault="00236E18" w:rsidP="00236E18">
      <w:pPr>
        <w:widowControl w:val="0"/>
        <w:rPr>
          <w:b/>
        </w:rPr>
      </w:pPr>
    </w:p>
    <w:p w:rsidR="00236E18" w:rsidRPr="00352124"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Para entender el trasfondo de los indicadores de rendimiento para el resultado previsto  “mejora de la productividad y de la calidad de los servicios en las operaciones del Sistema de Madrid”, es necesario tener en cuenta la evolución de los siguientes factores:</w:t>
      </w:r>
    </w:p>
    <w:p w:rsidR="00236E18" w:rsidRPr="00352124" w:rsidRDefault="00236E18" w:rsidP="00236E18">
      <w:pPr>
        <w:widowControl w:val="0"/>
        <w:jc w:val="both"/>
        <w:rPr>
          <w:sz w:val="20"/>
        </w:rPr>
      </w:pPr>
    </w:p>
    <w:p w:rsidR="00236E18" w:rsidRPr="00352124" w:rsidRDefault="00236E18" w:rsidP="00236E18">
      <w:pPr>
        <w:widowControl w:val="0"/>
        <w:numPr>
          <w:ilvl w:val="0"/>
          <w:numId w:val="53"/>
        </w:numPr>
        <w:tabs>
          <w:tab w:val="clear" w:pos="720"/>
          <w:tab w:val="num" w:pos="1701"/>
        </w:tabs>
        <w:spacing w:after="120"/>
        <w:ind w:left="1701" w:hanging="567"/>
        <w:jc w:val="both"/>
        <w:rPr>
          <w:sz w:val="20"/>
        </w:rPr>
      </w:pPr>
      <w:r w:rsidRPr="00352124">
        <w:rPr>
          <w:sz w:val="20"/>
        </w:rPr>
        <w:t>El volumen de trabajo correspondiente al Sistema de Madrid;</w:t>
      </w:r>
    </w:p>
    <w:p w:rsidR="00236E18" w:rsidRPr="00352124" w:rsidRDefault="00236E18" w:rsidP="00236E18">
      <w:pPr>
        <w:widowControl w:val="0"/>
        <w:numPr>
          <w:ilvl w:val="0"/>
          <w:numId w:val="53"/>
        </w:numPr>
        <w:tabs>
          <w:tab w:val="clear" w:pos="720"/>
          <w:tab w:val="num" w:pos="1701"/>
        </w:tabs>
        <w:spacing w:after="120"/>
        <w:ind w:left="1701" w:hanging="567"/>
        <w:jc w:val="both"/>
        <w:rPr>
          <w:sz w:val="20"/>
        </w:rPr>
      </w:pPr>
      <w:r w:rsidRPr="00352124">
        <w:rPr>
          <w:sz w:val="20"/>
        </w:rPr>
        <w:t>La composición de ese volumen de trabajo;</w:t>
      </w:r>
    </w:p>
    <w:p w:rsidR="00236E18" w:rsidRPr="00352124" w:rsidRDefault="00236E18" w:rsidP="00236E18">
      <w:pPr>
        <w:widowControl w:val="0"/>
        <w:numPr>
          <w:ilvl w:val="0"/>
          <w:numId w:val="53"/>
        </w:numPr>
        <w:tabs>
          <w:tab w:val="clear" w:pos="720"/>
          <w:tab w:val="num" w:pos="1701"/>
        </w:tabs>
        <w:spacing w:after="120"/>
        <w:ind w:left="1701" w:hanging="567"/>
        <w:jc w:val="both"/>
        <w:rPr>
          <w:sz w:val="20"/>
        </w:rPr>
      </w:pPr>
      <w:r w:rsidRPr="00352124">
        <w:rPr>
          <w:sz w:val="20"/>
        </w:rPr>
        <w:t>El número de funcionarios asignados a la tramitación de ese volumen de trabajo;</w:t>
      </w:r>
    </w:p>
    <w:p w:rsidR="00236E18" w:rsidRPr="00352124" w:rsidRDefault="00236E18" w:rsidP="00236E18">
      <w:pPr>
        <w:widowControl w:val="0"/>
        <w:numPr>
          <w:ilvl w:val="0"/>
          <w:numId w:val="53"/>
        </w:numPr>
        <w:tabs>
          <w:tab w:val="clear" w:pos="720"/>
          <w:tab w:val="num" w:pos="1701"/>
        </w:tabs>
        <w:spacing w:after="120"/>
        <w:ind w:left="1701" w:hanging="567"/>
        <w:jc w:val="both"/>
        <w:rPr>
          <w:sz w:val="20"/>
        </w:rPr>
      </w:pPr>
      <w:r w:rsidRPr="00352124">
        <w:rPr>
          <w:sz w:val="20"/>
        </w:rPr>
        <w:t>El grado de automatización ; y</w:t>
      </w:r>
    </w:p>
    <w:p w:rsidR="00236E18" w:rsidRPr="00352124" w:rsidRDefault="00236E18" w:rsidP="00236E18">
      <w:pPr>
        <w:widowControl w:val="0"/>
        <w:numPr>
          <w:ilvl w:val="0"/>
          <w:numId w:val="53"/>
        </w:numPr>
        <w:tabs>
          <w:tab w:val="clear" w:pos="720"/>
          <w:tab w:val="num" w:pos="1701"/>
        </w:tabs>
        <w:ind w:left="1701" w:hanging="567"/>
        <w:jc w:val="both"/>
        <w:rPr>
          <w:sz w:val="20"/>
        </w:rPr>
      </w:pPr>
      <w:r w:rsidRPr="00352124">
        <w:rPr>
          <w:sz w:val="20"/>
        </w:rPr>
        <w:t>El costo total de la producción.</w:t>
      </w:r>
    </w:p>
    <w:p w:rsidR="00236E18" w:rsidRPr="00352124" w:rsidRDefault="00236E18" w:rsidP="00236E18">
      <w:pPr>
        <w:widowControl w:val="0"/>
        <w:ind w:left="360"/>
        <w:jc w:val="both"/>
        <w:rPr>
          <w:sz w:val="20"/>
        </w:rPr>
      </w:pPr>
    </w:p>
    <w:p w:rsidR="00236E18" w:rsidRPr="00352124" w:rsidRDefault="00236E18" w:rsidP="00236E18">
      <w:pPr>
        <w:pStyle w:val="ListParagraph"/>
        <w:widowControl w:val="0"/>
        <w:numPr>
          <w:ilvl w:val="0"/>
          <w:numId w:val="52"/>
        </w:numPr>
        <w:ind w:left="360" w:hanging="360"/>
        <w:jc w:val="both"/>
        <w:rPr>
          <w:rFonts w:ascii="Arial" w:hAnsi="Arial" w:cs="Arial"/>
          <w:b/>
          <w:sz w:val="20"/>
          <w:szCs w:val="20"/>
          <w:lang w:val="es-ES"/>
        </w:rPr>
      </w:pPr>
      <w:r w:rsidRPr="00352124">
        <w:rPr>
          <w:rFonts w:ascii="Arial" w:hAnsi="Arial" w:cs="Arial"/>
          <w:b/>
          <w:sz w:val="20"/>
          <w:szCs w:val="20"/>
          <w:lang w:val="es-ES"/>
        </w:rPr>
        <w:t>Documentos recibidos</w:t>
      </w:r>
    </w:p>
    <w:p w:rsidR="00236E18" w:rsidRPr="00352124" w:rsidRDefault="00236E18" w:rsidP="00236E18">
      <w:pPr>
        <w:pStyle w:val="ListParagraph"/>
        <w:widowControl w:val="0"/>
        <w:ind w:left="1080"/>
        <w:jc w:val="both"/>
        <w:rPr>
          <w:rFonts w:ascii="Arial" w:hAnsi="Arial" w:cs="Arial"/>
          <w:sz w:val="20"/>
          <w:szCs w:val="20"/>
          <w:lang w:val="es-ES"/>
        </w:rPr>
      </w:pPr>
    </w:p>
    <w:p w:rsidR="00236E18" w:rsidRPr="00352124"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La Oficina Internacional recibe seis categorías distintas de documentos, a saber, solicitudes internacionales, renovaciones, designaciones posteriores, cambios, decisiones y correcciones.  A continuación se presentan las últimas tendencias en relación con cada uno de esos documentos.  También se proporciona información complementaria sobre las solicitudes, como el número medio de clases y el número de medio de palabras.  Por razones técnicas, algunos indicadores reflejan datos basados en documentos tramitados más bien que en documentos recibidos. Es posible, por lo tanto, que los atrasos en la tramitación afecten algunos indicadores.</w:t>
      </w:r>
    </w:p>
    <w:p w:rsidR="00236E18" w:rsidRPr="00352124" w:rsidRDefault="00236E18" w:rsidP="00236E18">
      <w:pPr>
        <w:pStyle w:val="ListParagraph"/>
        <w:widowControl w:val="0"/>
        <w:ind w:left="0"/>
        <w:jc w:val="both"/>
        <w:rPr>
          <w:rFonts w:ascii="Arial" w:hAnsi="Arial" w:cs="Arial"/>
          <w:lang w:val="es-ES"/>
        </w:rPr>
      </w:pPr>
    </w:p>
    <w:p w:rsidR="00236E18" w:rsidRPr="00352124" w:rsidRDefault="00236E18" w:rsidP="00236E18">
      <w:pPr>
        <w:pStyle w:val="ListParagraph"/>
        <w:widowControl w:val="0"/>
        <w:ind w:left="0"/>
        <w:jc w:val="both"/>
        <w:rPr>
          <w:rFonts w:ascii="Arial" w:hAnsi="Arial" w:cs="Arial"/>
          <w:sz w:val="20"/>
          <w:u w:val="single"/>
          <w:lang w:val="es-ES"/>
        </w:rPr>
      </w:pPr>
      <w:r w:rsidRPr="00352124">
        <w:rPr>
          <w:rFonts w:ascii="Arial" w:hAnsi="Arial" w:cs="Arial"/>
          <w:sz w:val="20"/>
          <w:u w:val="single"/>
          <w:lang w:val="es-ES"/>
        </w:rPr>
        <w:t>Solicitudes internacionales</w:t>
      </w:r>
    </w:p>
    <w:p w:rsidR="00236E18" w:rsidRPr="00352124" w:rsidRDefault="00236E18" w:rsidP="00236E18">
      <w:pPr>
        <w:widowControl w:val="0"/>
        <w:jc w:val="center"/>
      </w:pPr>
      <w:r w:rsidRPr="00223D78">
        <w:rPr>
          <w:noProof/>
          <w:lang w:val="en-US" w:eastAsia="en-US"/>
        </w:rPr>
        <w:drawing>
          <wp:inline distT="0" distB="0" distL="0" distR="0" wp14:anchorId="78B4F8FC" wp14:editId="51C0D6CE">
            <wp:extent cx="5284382" cy="2388362"/>
            <wp:effectExtent l="0" t="0" r="0" b="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301340" cy="2396026"/>
                    </a:xfrm>
                    <a:prstGeom prst="rect">
                      <a:avLst/>
                    </a:prstGeom>
                    <a:noFill/>
                    <a:ln>
                      <a:noFill/>
                    </a:ln>
                  </pic:spPr>
                </pic:pic>
              </a:graphicData>
            </a:graphic>
          </wp:inline>
        </w:drawing>
      </w:r>
    </w:p>
    <w:p w:rsidR="00236E18" w:rsidRPr="00352124" w:rsidRDefault="00236E18" w:rsidP="00236E18">
      <w:pPr>
        <w:pStyle w:val="ListParagraph"/>
        <w:widowControl w:val="0"/>
        <w:tabs>
          <w:tab w:val="left" w:pos="993"/>
        </w:tabs>
        <w:ind w:left="567"/>
        <w:jc w:val="both"/>
        <w:rPr>
          <w:rFonts w:ascii="Arial" w:hAnsi="Arial" w:cs="Arial"/>
          <w:sz w:val="20"/>
          <w:szCs w:val="20"/>
          <w:lang w:val="es-ES"/>
        </w:rPr>
      </w:pPr>
    </w:p>
    <w:p w:rsidR="00236E18" w:rsidRPr="00352124" w:rsidRDefault="00236E18" w:rsidP="00236E18">
      <w:pPr>
        <w:widowControl w:val="0"/>
        <w:numPr>
          <w:ilvl w:val="0"/>
          <w:numId w:val="53"/>
        </w:numPr>
        <w:tabs>
          <w:tab w:val="clear" w:pos="720"/>
          <w:tab w:val="num" w:pos="1560"/>
        </w:tabs>
        <w:spacing w:after="120"/>
        <w:ind w:left="993" w:hanging="426"/>
        <w:jc w:val="both"/>
        <w:rPr>
          <w:sz w:val="20"/>
        </w:rPr>
      </w:pPr>
      <w:r w:rsidRPr="00352124">
        <w:rPr>
          <w:sz w:val="20"/>
        </w:rPr>
        <w:t xml:space="preserve">La Oficina Internacional recibió 47.885 solicitudes en 2014, lo que supuso un incremento del 2,3% con respecto a 2013. </w:t>
      </w:r>
    </w:p>
    <w:p w:rsidR="00236E18" w:rsidRPr="00352124" w:rsidRDefault="00236E18" w:rsidP="00236E18">
      <w:pPr>
        <w:widowControl w:val="0"/>
        <w:numPr>
          <w:ilvl w:val="0"/>
          <w:numId w:val="53"/>
        </w:numPr>
        <w:tabs>
          <w:tab w:val="clear" w:pos="720"/>
          <w:tab w:val="num" w:pos="1560"/>
        </w:tabs>
        <w:spacing w:after="120"/>
        <w:ind w:left="993" w:hanging="426"/>
        <w:jc w:val="both"/>
        <w:rPr>
          <w:sz w:val="20"/>
        </w:rPr>
      </w:pPr>
      <w:r w:rsidRPr="00352124">
        <w:rPr>
          <w:sz w:val="20"/>
        </w:rPr>
        <w:t>El número de solicitudes recibidas ha aumentado de forma constante desde 2010.</w:t>
      </w:r>
    </w:p>
    <w:p w:rsidR="00236E18" w:rsidRPr="00352124" w:rsidRDefault="00236E18" w:rsidP="00236E18">
      <w:pPr>
        <w:pStyle w:val="ListParagraph"/>
        <w:widowControl w:val="0"/>
        <w:ind w:left="1418"/>
        <w:jc w:val="both"/>
        <w:rPr>
          <w:rFonts w:ascii="Arial" w:hAnsi="Arial" w:cs="Arial"/>
          <w:sz w:val="20"/>
          <w:szCs w:val="20"/>
          <w:lang w:val="es-ES"/>
        </w:rPr>
      </w:pPr>
    </w:p>
    <w:p w:rsidR="00236E18" w:rsidRPr="00352124" w:rsidRDefault="00236E18" w:rsidP="00236E18">
      <w:pPr>
        <w:pStyle w:val="ListParagraph"/>
        <w:keepNext/>
        <w:widowControl w:val="0"/>
        <w:tabs>
          <w:tab w:val="left" w:pos="1701"/>
        </w:tabs>
        <w:ind w:left="567"/>
        <w:jc w:val="both"/>
        <w:rPr>
          <w:rFonts w:ascii="Arial" w:hAnsi="Arial" w:cs="Arial"/>
          <w:i/>
          <w:sz w:val="20"/>
          <w:szCs w:val="20"/>
          <w:lang w:val="es-ES"/>
        </w:rPr>
      </w:pPr>
      <w:r w:rsidRPr="00352124">
        <w:rPr>
          <w:rFonts w:ascii="Arial" w:hAnsi="Arial" w:cs="Arial"/>
          <w:i/>
          <w:sz w:val="20"/>
          <w:szCs w:val="20"/>
          <w:lang w:val="es-ES"/>
        </w:rPr>
        <w:lastRenderedPageBreak/>
        <w:t xml:space="preserve">Distribución de las solicitudes por idioma de presentación </w:t>
      </w:r>
    </w:p>
    <w:p w:rsidR="00236E18" w:rsidRPr="00352124" w:rsidRDefault="00236E18" w:rsidP="00236E18">
      <w:pPr>
        <w:pStyle w:val="ListParagraph"/>
        <w:keepNext/>
        <w:widowControl w:val="0"/>
        <w:tabs>
          <w:tab w:val="left" w:pos="1701"/>
        </w:tabs>
        <w:ind w:left="1134"/>
        <w:jc w:val="both"/>
        <w:rPr>
          <w:rFonts w:ascii="Arial" w:hAnsi="Arial" w:cs="Arial"/>
          <w:sz w:val="20"/>
          <w:szCs w:val="20"/>
          <w:lang w:val="es-ES"/>
        </w:rPr>
      </w:pPr>
    </w:p>
    <w:p w:rsidR="00236E18" w:rsidRPr="00352124" w:rsidRDefault="00236E18" w:rsidP="00236E18">
      <w:pPr>
        <w:widowControl w:val="0"/>
        <w:jc w:val="center"/>
      </w:pPr>
      <w:r w:rsidRPr="00C84458">
        <w:rPr>
          <w:noProof/>
          <w:lang w:val="en-US" w:eastAsia="en-US"/>
        </w:rPr>
        <w:drawing>
          <wp:inline distT="0" distB="0" distL="0" distR="0" wp14:anchorId="3A9B6671" wp14:editId="76B5CFD8">
            <wp:extent cx="5252484" cy="2593530"/>
            <wp:effectExtent l="0" t="0" r="5715" b="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259392" cy="2596941"/>
                    </a:xfrm>
                    <a:prstGeom prst="rect">
                      <a:avLst/>
                    </a:prstGeom>
                    <a:noFill/>
                    <a:ln>
                      <a:noFill/>
                    </a:ln>
                  </pic:spPr>
                </pic:pic>
              </a:graphicData>
            </a:graphic>
          </wp:inline>
        </w:drawing>
      </w:r>
    </w:p>
    <w:p w:rsidR="00236E18" w:rsidRPr="00352124" w:rsidRDefault="00236E18" w:rsidP="00236E18">
      <w:pPr>
        <w:widowControl w:val="0"/>
        <w:numPr>
          <w:ilvl w:val="0"/>
          <w:numId w:val="53"/>
        </w:numPr>
        <w:tabs>
          <w:tab w:val="clear" w:pos="720"/>
          <w:tab w:val="num" w:pos="993"/>
        </w:tabs>
        <w:spacing w:after="120"/>
        <w:ind w:left="993" w:hanging="426"/>
        <w:jc w:val="both"/>
        <w:rPr>
          <w:sz w:val="20"/>
        </w:rPr>
      </w:pPr>
      <w:r w:rsidRPr="00352124">
        <w:rPr>
          <w:sz w:val="20"/>
        </w:rPr>
        <w:t xml:space="preserve">En 2014, el 80% de todas las solicitudes se presentaron en inglés.  Este porcentaje aumentó en 15 puntos porcentuales, pasando del 65% en 2008 al 80% en 2014. </w:t>
      </w:r>
    </w:p>
    <w:p w:rsidR="00236E18" w:rsidRPr="00352124" w:rsidRDefault="00236E18" w:rsidP="00236E18">
      <w:pPr>
        <w:widowControl w:val="0"/>
        <w:jc w:val="both"/>
        <w:rPr>
          <w:sz w:val="20"/>
        </w:rPr>
      </w:pPr>
    </w:p>
    <w:p w:rsidR="00236E18" w:rsidRPr="00352124" w:rsidRDefault="00236E18" w:rsidP="00236E18">
      <w:pPr>
        <w:widowControl w:val="0"/>
        <w:jc w:val="both"/>
        <w:rPr>
          <w:sz w:val="20"/>
        </w:rPr>
      </w:pPr>
    </w:p>
    <w:p w:rsidR="00236E18" w:rsidRPr="00352124" w:rsidRDefault="00236E18" w:rsidP="00236E18">
      <w:pPr>
        <w:pStyle w:val="ListParagraph"/>
        <w:widowControl w:val="0"/>
        <w:tabs>
          <w:tab w:val="left" w:pos="1701"/>
        </w:tabs>
        <w:ind w:left="567"/>
        <w:jc w:val="both"/>
        <w:rPr>
          <w:rFonts w:ascii="Arial" w:hAnsi="Arial" w:cs="Arial"/>
          <w:i/>
          <w:sz w:val="20"/>
          <w:szCs w:val="20"/>
          <w:lang w:val="es-ES"/>
        </w:rPr>
      </w:pPr>
      <w:r w:rsidRPr="00352124">
        <w:rPr>
          <w:rFonts w:ascii="Arial" w:hAnsi="Arial" w:cs="Arial"/>
          <w:i/>
          <w:sz w:val="20"/>
          <w:szCs w:val="20"/>
          <w:lang w:val="es-ES"/>
        </w:rPr>
        <w:t>Promedio de designaciones por registro</w:t>
      </w:r>
    </w:p>
    <w:p w:rsidR="00236E18" w:rsidRPr="00352124" w:rsidRDefault="00236E18" w:rsidP="00236E18">
      <w:pPr>
        <w:widowControl w:val="0"/>
        <w:jc w:val="center"/>
      </w:pPr>
      <w:r w:rsidRPr="00747BF7">
        <w:rPr>
          <w:noProof/>
          <w:lang w:val="en-US" w:eastAsia="en-US"/>
        </w:rPr>
        <w:drawing>
          <wp:inline distT="0" distB="0" distL="0" distR="0" wp14:anchorId="2503B5FF" wp14:editId="1A69AB57">
            <wp:extent cx="5337544" cy="2549724"/>
            <wp:effectExtent l="0" t="0" r="0" b="3175"/>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334987" cy="2548502"/>
                    </a:xfrm>
                    <a:prstGeom prst="rect">
                      <a:avLst/>
                    </a:prstGeom>
                    <a:noFill/>
                    <a:ln>
                      <a:noFill/>
                    </a:ln>
                  </pic:spPr>
                </pic:pic>
              </a:graphicData>
            </a:graphic>
          </wp:inline>
        </w:drawing>
      </w:r>
    </w:p>
    <w:p w:rsidR="00236E18" w:rsidRPr="00352124" w:rsidRDefault="00236E18" w:rsidP="00236E18">
      <w:pPr>
        <w:widowControl w:val="0"/>
        <w:numPr>
          <w:ilvl w:val="0"/>
          <w:numId w:val="53"/>
        </w:numPr>
        <w:tabs>
          <w:tab w:val="clear" w:pos="720"/>
          <w:tab w:val="num" w:pos="1134"/>
        </w:tabs>
        <w:spacing w:after="120"/>
        <w:ind w:left="993" w:hanging="426"/>
        <w:jc w:val="both"/>
        <w:rPr>
          <w:sz w:val="20"/>
        </w:rPr>
      </w:pPr>
      <w:r w:rsidRPr="00352124">
        <w:rPr>
          <w:sz w:val="20"/>
        </w:rPr>
        <w:t>Se inscribieron en promedio 6,9 designaciones en las solicitudes registradas en 2014.</w:t>
      </w:r>
    </w:p>
    <w:p w:rsidR="00236E18" w:rsidRPr="00352124" w:rsidRDefault="00236E18" w:rsidP="00236E18">
      <w:pPr>
        <w:widowControl w:val="0"/>
        <w:numPr>
          <w:ilvl w:val="0"/>
          <w:numId w:val="53"/>
        </w:numPr>
        <w:tabs>
          <w:tab w:val="clear" w:pos="720"/>
          <w:tab w:val="num" w:pos="1134"/>
        </w:tabs>
        <w:spacing w:after="120"/>
        <w:ind w:left="993" w:hanging="426"/>
        <w:jc w:val="both"/>
        <w:rPr>
          <w:sz w:val="20"/>
        </w:rPr>
      </w:pPr>
      <w:r w:rsidRPr="00352124">
        <w:rPr>
          <w:sz w:val="20"/>
        </w:rPr>
        <w:t>El número promedio de designaciones por registro se ha mantenido prácticamente  inalterado desde 2010.</w:t>
      </w:r>
    </w:p>
    <w:p w:rsidR="00236E18" w:rsidRPr="00352124" w:rsidRDefault="00236E18" w:rsidP="00236E18">
      <w:pPr>
        <w:widowControl w:val="0"/>
        <w:tabs>
          <w:tab w:val="num" w:pos="1134"/>
        </w:tabs>
        <w:spacing w:after="120"/>
        <w:ind w:left="993" w:hanging="426"/>
        <w:jc w:val="both"/>
        <w:rPr>
          <w:sz w:val="20"/>
        </w:rPr>
      </w:pPr>
    </w:p>
    <w:p w:rsidR="00236E18" w:rsidRPr="00352124" w:rsidRDefault="00236E18" w:rsidP="00236E18">
      <w:pPr>
        <w:pStyle w:val="ListParagraph"/>
        <w:keepNext/>
        <w:widowControl w:val="0"/>
        <w:tabs>
          <w:tab w:val="left" w:pos="1701"/>
        </w:tabs>
        <w:ind w:left="567"/>
        <w:jc w:val="both"/>
        <w:rPr>
          <w:rFonts w:ascii="Arial" w:hAnsi="Arial" w:cs="Arial"/>
          <w:i/>
          <w:sz w:val="20"/>
          <w:szCs w:val="20"/>
          <w:lang w:val="es-ES"/>
        </w:rPr>
      </w:pPr>
      <w:r w:rsidRPr="00352124">
        <w:rPr>
          <w:rFonts w:ascii="Arial" w:hAnsi="Arial" w:cs="Arial"/>
          <w:i/>
          <w:sz w:val="20"/>
          <w:szCs w:val="20"/>
          <w:lang w:val="es-ES"/>
        </w:rPr>
        <w:lastRenderedPageBreak/>
        <w:t>Promedio de clases por registro</w:t>
      </w:r>
    </w:p>
    <w:p w:rsidR="00236E18" w:rsidRPr="00352124" w:rsidRDefault="00236E18" w:rsidP="00236E18">
      <w:pPr>
        <w:widowControl w:val="0"/>
        <w:jc w:val="center"/>
      </w:pPr>
      <w:r w:rsidRPr="00DA3EED">
        <w:rPr>
          <w:noProof/>
          <w:lang w:val="en-US" w:eastAsia="en-US"/>
        </w:rPr>
        <w:drawing>
          <wp:inline distT="0" distB="0" distL="0" distR="0" wp14:anchorId="0E7B8E9F" wp14:editId="351B1080">
            <wp:extent cx="5231218" cy="2387548"/>
            <wp:effectExtent l="0" t="0" r="7620"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238502" cy="2390872"/>
                    </a:xfrm>
                    <a:prstGeom prst="rect">
                      <a:avLst/>
                    </a:prstGeom>
                    <a:noFill/>
                    <a:ln>
                      <a:noFill/>
                    </a:ln>
                  </pic:spPr>
                </pic:pic>
              </a:graphicData>
            </a:graphic>
          </wp:inline>
        </w:drawing>
      </w:r>
    </w:p>
    <w:p w:rsidR="00236E18" w:rsidRPr="00352124" w:rsidRDefault="00236E18" w:rsidP="00236E18">
      <w:pPr>
        <w:widowControl w:val="0"/>
        <w:numPr>
          <w:ilvl w:val="0"/>
          <w:numId w:val="53"/>
        </w:numPr>
        <w:tabs>
          <w:tab w:val="clear" w:pos="720"/>
          <w:tab w:val="num" w:pos="993"/>
        </w:tabs>
        <w:spacing w:after="120"/>
        <w:ind w:left="993" w:hanging="426"/>
        <w:jc w:val="both"/>
        <w:rPr>
          <w:sz w:val="20"/>
        </w:rPr>
      </w:pPr>
      <w:r w:rsidRPr="00352124">
        <w:rPr>
          <w:sz w:val="20"/>
        </w:rPr>
        <w:t xml:space="preserve">Se especificaron en promedio 2,5 clases en todas las solicitudes registradas en 2014. </w:t>
      </w:r>
    </w:p>
    <w:p w:rsidR="00236E18" w:rsidRPr="00352124" w:rsidRDefault="00236E18" w:rsidP="00236E18">
      <w:pPr>
        <w:widowControl w:val="0"/>
        <w:jc w:val="both"/>
        <w:rPr>
          <w:sz w:val="20"/>
        </w:rPr>
      </w:pPr>
    </w:p>
    <w:p w:rsidR="00236E18" w:rsidRPr="00352124" w:rsidRDefault="00236E18" w:rsidP="00236E18">
      <w:pPr>
        <w:pStyle w:val="ListParagraph"/>
        <w:widowControl w:val="0"/>
        <w:tabs>
          <w:tab w:val="left" w:pos="1701"/>
        </w:tabs>
        <w:ind w:left="567"/>
        <w:jc w:val="both"/>
        <w:rPr>
          <w:rFonts w:ascii="Arial" w:hAnsi="Arial" w:cs="Arial"/>
          <w:i/>
          <w:sz w:val="20"/>
          <w:szCs w:val="20"/>
          <w:lang w:val="es-ES"/>
        </w:rPr>
      </w:pPr>
      <w:r w:rsidRPr="00352124">
        <w:rPr>
          <w:rFonts w:ascii="Arial" w:hAnsi="Arial" w:cs="Arial"/>
          <w:i/>
          <w:sz w:val="20"/>
          <w:szCs w:val="20"/>
          <w:lang w:val="es-ES"/>
        </w:rPr>
        <w:t xml:space="preserve">Extensión media de las solicitudes </w:t>
      </w:r>
    </w:p>
    <w:p w:rsidR="00236E18" w:rsidRPr="00352124" w:rsidRDefault="00236E18" w:rsidP="00236E18">
      <w:pPr>
        <w:pStyle w:val="ListParagraph"/>
        <w:widowControl w:val="0"/>
        <w:ind w:left="1980"/>
        <w:jc w:val="both"/>
        <w:rPr>
          <w:rFonts w:ascii="Arial" w:hAnsi="Arial" w:cs="Arial"/>
          <w:sz w:val="20"/>
          <w:szCs w:val="20"/>
          <w:lang w:val="es-ES"/>
        </w:rPr>
      </w:pPr>
    </w:p>
    <w:p w:rsidR="00236E18" w:rsidRPr="00352124"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La extensión de una solicitud depende del número total de palabras utilizadas por el solicitante para describir su marca, su lista básica de productos y servicios, y cualquier limitación que la acompañe.  La Oficina Internacional traduce estos tres elementos en dos idiomas (inglés</w:t>
      </w:r>
      <w:r>
        <w:rPr>
          <w:rFonts w:ascii="Arial" w:hAnsi="Arial" w:cs="Arial"/>
          <w:sz w:val="20"/>
          <w:szCs w:val="20"/>
          <w:lang w:val="es-ES"/>
        </w:rPr>
        <w:t>,</w:t>
      </w:r>
      <w:r w:rsidRPr="00352124">
        <w:rPr>
          <w:rFonts w:ascii="Arial" w:hAnsi="Arial" w:cs="Arial"/>
          <w:sz w:val="20"/>
          <w:szCs w:val="20"/>
          <w:lang w:val="es-ES"/>
        </w:rPr>
        <w:t xml:space="preserve"> francés o español). </w:t>
      </w:r>
    </w:p>
    <w:p w:rsidR="00236E18" w:rsidRPr="00352124" w:rsidRDefault="00236E18" w:rsidP="00236E18">
      <w:pPr>
        <w:widowControl w:val="0"/>
        <w:jc w:val="both"/>
        <w:rPr>
          <w:sz w:val="20"/>
        </w:rPr>
      </w:pPr>
    </w:p>
    <w:p w:rsidR="00236E18" w:rsidRPr="00352124"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 xml:space="preserve">La extensión de las solicitudes incide en el volumen de trabajo de los examinadores, que tienen que clasificar los productos y/o servicios que figuran en la solicitud con arreglo a la Clasificación de Niza. </w:t>
      </w:r>
    </w:p>
    <w:p w:rsidR="00236E18" w:rsidRPr="00352124" w:rsidRDefault="00236E18" w:rsidP="00236E18">
      <w:pPr>
        <w:widowControl w:val="0"/>
        <w:jc w:val="both"/>
        <w:rPr>
          <w:sz w:val="20"/>
        </w:rPr>
      </w:pPr>
    </w:p>
    <w:p w:rsidR="00236E18"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La extensión media de una solicitud depende del número total de palabras en la lista básica de productos y servicios, las limitaciones y descripciones, divididas por el número de solicitudes registradas</w:t>
      </w:r>
      <w:r>
        <w:rPr>
          <w:rFonts w:ascii="Arial" w:hAnsi="Arial" w:cs="Arial"/>
          <w:sz w:val="20"/>
          <w:szCs w:val="20"/>
          <w:lang w:val="es-ES"/>
        </w:rPr>
        <w:t>.</w:t>
      </w:r>
    </w:p>
    <w:p w:rsidR="00236E18" w:rsidRDefault="00236E18" w:rsidP="00236E18">
      <w:pPr>
        <w:pStyle w:val="ListParagraph"/>
        <w:widowControl w:val="0"/>
        <w:tabs>
          <w:tab w:val="left" w:pos="567"/>
        </w:tabs>
        <w:ind w:left="0"/>
        <w:jc w:val="center"/>
        <w:rPr>
          <w:rFonts w:ascii="Arial" w:hAnsi="Arial" w:cs="Arial"/>
          <w:sz w:val="20"/>
          <w:szCs w:val="20"/>
          <w:lang w:val="es-ES"/>
        </w:rPr>
      </w:pPr>
      <w:r w:rsidRPr="00F01A74">
        <w:rPr>
          <w:noProof/>
          <w:lang w:eastAsia="en-US"/>
        </w:rPr>
        <w:drawing>
          <wp:inline distT="0" distB="0" distL="0" distR="0" wp14:anchorId="7505443B" wp14:editId="66176F03">
            <wp:extent cx="5100816" cy="2518639"/>
            <wp:effectExtent l="0" t="0" r="508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110294" cy="2523319"/>
                    </a:xfrm>
                    <a:prstGeom prst="rect">
                      <a:avLst/>
                    </a:prstGeom>
                    <a:noFill/>
                    <a:ln>
                      <a:noFill/>
                    </a:ln>
                  </pic:spPr>
                </pic:pic>
              </a:graphicData>
            </a:graphic>
          </wp:inline>
        </w:drawing>
      </w:r>
    </w:p>
    <w:p w:rsidR="00236E18" w:rsidRPr="00352124" w:rsidRDefault="00236E18" w:rsidP="00236E18">
      <w:pPr>
        <w:pStyle w:val="ListParagraph"/>
        <w:widowControl w:val="0"/>
        <w:tabs>
          <w:tab w:val="left" w:pos="567"/>
        </w:tabs>
        <w:ind w:left="0"/>
        <w:jc w:val="center"/>
        <w:rPr>
          <w:rFonts w:ascii="Arial" w:hAnsi="Arial" w:cs="Arial"/>
          <w:sz w:val="20"/>
          <w:szCs w:val="20"/>
          <w:lang w:val="es-ES"/>
        </w:rPr>
      </w:pPr>
    </w:p>
    <w:p w:rsidR="00236E18" w:rsidRPr="00352124" w:rsidRDefault="00236E18" w:rsidP="00236E18">
      <w:pPr>
        <w:widowControl w:val="0"/>
        <w:numPr>
          <w:ilvl w:val="0"/>
          <w:numId w:val="53"/>
        </w:numPr>
        <w:tabs>
          <w:tab w:val="clear" w:pos="720"/>
          <w:tab w:val="num" w:pos="993"/>
        </w:tabs>
        <w:spacing w:after="120"/>
        <w:ind w:left="993" w:hanging="426"/>
        <w:jc w:val="both"/>
        <w:rPr>
          <w:sz w:val="20"/>
        </w:rPr>
      </w:pPr>
      <w:r w:rsidRPr="00352124">
        <w:rPr>
          <w:sz w:val="20"/>
        </w:rPr>
        <w:t>En 2014, la extensión media de una solicitud era de 239 palabras.  Esto representa un aumento del 12% con respecto a 2013.</w:t>
      </w:r>
    </w:p>
    <w:p w:rsidR="00236E18" w:rsidRPr="00352124" w:rsidRDefault="00236E18" w:rsidP="00236E18">
      <w:pPr>
        <w:widowControl w:val="0"/>
        <w:numPr>
          <w:ilvl w:val="0"/>
          <w:numId w:val="53"/>
        </w:numPr>
        <w:tabs>
          <w:tab w:val="clear" w:pos="720"/>
          <w:tab w:val="num" w:pos="993"/>
        </w:tabs>
        <w:spacing w:after="120"/>
        <w:ind w:left="993" w:hanging="426"/>
        <w:jc w:val="both"/>
        <w:rPr>
          <w:sz w:val="20"/>
        </w:rPr>
      </w:pPr>
      <w:r w:rsidRPr="00352124">
        <w:rPr>
          <w:sz w:val="20"/>
        </w:rPr>
        <w:t>Si bien algunos aspectos de la labor de traducción y de clasificación son automáticos, el aumento significativo de la extensión de las solicitudes tiene importantes repercusiones en el volumen de trabajo de la Oficina Internacional.</w:t>
      </w:r>
    </w:p>
    <w:p w:rsidR="00236E18" w:rsidRPr="00352124" w:rsidRDefault="00236E18" w:rsidP="00236E18">
      <w:pPr>
        <w:pStyle w:val="ListParagraph"/>
        <w:widowControl w:val="0"/>
        <w:jc w:val="both"/>
        <w:rPr>
          <w:rFonts w:ascii="Arial" w:hAnsi="Arial" w:cs="Arial"/>
          <w:sz w:val="20"/>
          <w:szCs w:val="20"/>
          <w:lang w:val="es-ES"/>
        </w:rPr>
      </w:pPr>
    </w:p>
    <w:p w:rsidR="00236E18" w:rsidRPr="00352124" w:rsidRDefault="00236E18" w:rsidP="00236E18">
      <w:pPr>
        <w:pStyle w:val="ListParagraph"/>
        <w:widowControl w:val="0"/>
        <w:jc w:val="both"/>
        <w:rPr>
          <w:rFonts w:ascii="Arial" w:hAnsi="Arial" w:cs="Arial"/>
          <w:sz w:val="20"/>
          <w:szCs w:val="20"/>
          <w:lang w:val="es-ES"/>
        </w:rPr>
      </w:pPr>
    </w:p>
    <w:p w:rsidR="00236E18" w:rsidRPr="00352124" w:rsidRDefault="00236E18" w:rsidP="00236E18">
      <w:pPr>
        <w:pStyle w:val="ListParagraph"/>
        <w:keepNext/>
        <w:keepLines/>
        <w:widowControl w:val="0"/>
        <w:tabs>
          <w:tab w:val="left" w:pos="1701"/>
        </w:tabs>
        <w:ind w:left="567"/>
        <w:jc w:val="both"/>
        <w:rPr>
          <w:rFonts w:ascii="Arial" w:hAnsi="Arial" w:cs="Arial"/>
          <w:i/>
          <w:sz w:val="20"/>
          <w:szCs w:val="20"/>
          <w:lang w:val="es-ES"/>
        </w:rPr>
      </w:pPr>
      <w:r w:rsidRPr="00352124">
        <w:rPr>
          <w:rFonts w:ascii="Arial" w:hAnsi="Arial" w:cs="Arial"/>
          <w:i/>
          <w:sz w:val="20"/>
          <w:szCs w:val="20"/>
          <w:lang w:val="es-ES"/>
        </w:rPr>
        <w:lastRenderedPageBreak/>
        <w:t xml:space="preserve">Distribución de solicitudes regulares e irregulares </w:t>
      </w:r>
    </w:p>
    <w:p w:rsidR="00236E18" w:rsidRPr="00352124" w:rsidRDefault="00236E18" w:rsidP="00236E18">
      <w:pPr>
        <w:pStyle w:val="ListParagraph"/>
        <w:keepNext/>
        <w:keepLines/>
        <w:widowControl w:val="0"/>
        <w:tabs>
          <w:tab w:val="left" w:pos="1701"/>
        </w:tabs>
        <w:ind w:left="567"/>
        <w:jc w:val="both"/>
        <w:rPr>
          <w:rFonts w:ascii="Arial" w:hAnsi="Arial" w:cs="Arial"/>
          <w:i/>
          <w:sz w:val="20"/>
          <w:szCs w:val="20"/>
          <w:lang w:val="es-ES"/>
        </w:rPr>
      </w:pPr>
    </w:p>
    <w:p w:rsidR="00236E18" w:rsidRPr="00352124" w:rsidRDefault="00236E18" w:rsidP="00236E18">
      <w:pPr>
        <w:pStyle w:val="ListParagraph"/>
        <w:widowControl w:val="0"/>
        <w:tabs>
          <w:tab w:val="left" w:pos="1701"/>
        </w:tabs>
        <w:ind w:left="567"/>
        <w:jc w:val="both"/>
        <w:rPr>
          <w:rFonts w:ascii="Arial" w:hAnsi="Arial" w:cs="Arial"/>
          <w:i/>
          <w:sz w:val="20"/>
          <w:szCs w:val="20"/>
          <w:lang w:val="es-ES"/>
        </w:rPr>
      </w:pPr>
      <w:r w:rsidRPr="00352124">
        <w:rPr>
          <w:rFonts w:ascii="Arial" w:eastAsia="Times New Roman" w:hAnsi="Arial" w:cs="Arial"/>
          <w:noProof/>
          <w:szCs w:val="20"/>
          <w:lang w:eastAsia="en-US"/>
        </w:rPr>
        <w:drawing>
          <wp:inline distT="0" distB="0" distL="0" distR="0" wp14:anchorId="1E291376" wp14:editId="28DC45D3">
            <wp:extent cx="5756910" cy="2910840"/>
            <wp:effectExtent l="0" t="0" r="0" b="3810"/>
            <wp:docPr id="10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756910" cy="2910840"/>
                    </a:xfrm>
                    <a:prstGeom prst="rect">
                      <a:avLst/>
                    </a:prstGeom>
                    <a:noFill/>
                    <a:ln>
                      <a:noFill/>
                    </a:ln>
                  </pic:spPr>
                </pic:pic>
              </a:graphicData>
            </a:graphic>
          </wp:inline>
        </w:drawing>
      </w:r>
    </w:p>
    <w:p w:rsidR="00236E18" w:rsidRPr="00352124" w:rsidRDefault="00236E18" w:rsidP="00236E18">
      <w:pPr>
        <w:pStyle w:val="ListParagraph"/>
        <w:numPr>
          <w:ilvl w:val="0"/>
          <w:numId w:val="60"/>
        </w:numPr>
        <w:tabs>
          <w:tab w:val="num" w:pos="993"/>
        </w:tabs>
        <w:spacing w:after="120"/>
        <w:jc w:val="both"/>
        <w:rPr>
          <w:rFonts w:ascii="Arial" w:hAnsi="Arial" w:cs="Arial"/>
          <w:sz w:val="20"/>
          <w:szCs w:val="20"/>
          <w:lang w:val="es-ES"/>
        </w:rPr>
      </w:pPr>
      <w:r w:rsidRPr="00352124">
        <w:rPr>
          <w:rFonts w:ascii="Arial" w:hAnsi="Arial" w:cs="Arial"/>
          <w:sz w:val="20"/>
          <w:szCs w:val="20"/>
          <w:lang w:val="es-ES"/>
        </w:rPr>
        <w:t xml:space="preserve">El porcentaje de solicitudes regulares se ha mantenido más o menos estable desde 2011. </w:t>
      </w:r>
    </w:p>
    <w:p w:rsidR="00236E18" w:rsidRPr="00352124" w:rsidRDefault="00236E18" w:rsidP="00236E18">
      <w:pPr>
        <w:widowControl w:val="0"/>
        <w:jc w:val="both"/>
        <w:rPr>
          <w:sz w:val="20"/>
        </w:rPr>
      </w:pPr>
    </w:p>
    <w:p w:rsidR="00236E18" w:rsidRPr="00352124" w:rsidRDefault="00236E18" w:rsidP="00236E18">
      <w:pPr>
        <w:pStyle w:val="ListParagraph"/>
        <w:widowControl w:val="0"/>
        <w:ind w:left="0"/>
        <w:jc w:val="both"/>
        <w:rPr>
          <w:rFonts w:ascii="Arial" w:hAnsi="Arial" w:cs="Arial"/>
          <w:sz w:val="20"/>
          <w:u w:val="single"/>
          <w:lang w:val="es-ES"/>
        </w:rPr>
      </w:pPr>
      <w:r w:rsidRPr="00352124">
        <w:rPr>
          <w:rFonts w:ascii="Arial" w:hAnsi="Arial" w:cs="Arial"/>
          <w:sz w:val="20"/>
          <w:u w:val="single"/>
          <w:lang w:val="es-ES"/>
        </w:rPr>
        <w:t xml:space="preserve">Renovaciones </w:t>
      </w:r>
    </w:p>
    <w:p w:rsidR="00236E18" w:rsidRDefault="00236E18" w:rsidP="00236E18">
      <w:pPr>
        <w:widowControl w:val="0"/>
        <w:jc w:val="center"/>
        <w:rPr>
          <w:sz w:val="20"/>
        </w:rPr>
      </w:pPr>
      <w:r w:rsidRPr="00373200">
        <w:rPr>
          <w:noProof/>
          <w:lang w:val="en-US" w:eastAsia="en-US"/>
        </w:rPr>
        <w:drawing>
          <wp:inline distT="0" distB="0" distL="0" distR="0" wp14:anchorId="5E3232DF" wp14:editId="46D66AA8">
            <wp:extent cx="5087534" cy="2485000"/>
            <wp:effectExtent l="0" t="0" r="0" b="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099337" cy="2490765"/>
                    </a:xfrm>
                    <a:prstGeom prst="rect">
                      <a:avLst/>
                    </a:prstGeom>
                    <a:noFill/>
                    <a:ln>
                      <a:noFill/>
                    </a:ln>
                  </pic:spPr>
                </pic:pic>
              </a:graphicData>
            </a:graphic>
          </wp:inline>
        </w:drawing>
      </w:r>
    </w:p>
    <w:p w:rsidR="00236E18" w:rsidRPr="00352124" w:rsidRDefault="00236E18" w:rsidP="00236E18">
      <w:pPr>
        <w:widowControl w:val="0"/>
        <w:jc w:val="center"/>
        <w:rPr>
          <w:sz w:val="20"/>
        </w:rPr>
      </w:pPr>
    </w:p>
    <w:p w:rsidR="00236E18" w:rsidRPr="00352124" w:rsidRDefault="00236E18" w:rsidP="00236E18">
      <w:pPr>
        <w:widowControl w:val="0"/>
        <w:numPr>
          <w:ilvl w:val="0"/>
          <w:numId w:val="53"/>
        </w:numPr>
        <w:tabs>
          <w:tab w:val="clear" w:pos="720"/>
          <w:tab w:val="num" w:pos="1560"/>
        </w:tabs>
        <w:spacing w:after="120"/>
        <w:ind w:left="993" w:hanging="426"/>
        <w:jc w:val="both"/>
        <w:rPr>
          <w:sz w:val="20"/>
        </w:rPr>
      </w:pPr>
      <w:r w:rsidRPr="00352124">
        <w:rPr>
          <w:sz w:val="20"/>
        </w:rPr>
        <w:t xml:space="preserve">En 2014, la Oficina Internacional registró 25.729 renovaciones, lo que representa un aumento del 12% con respecto a 2013. </w:t>
      </w:r>
    </w:p>
    <w:p w:rsidR="00236E18" w:rsidRPr="00352124" w:rsidRDefault="00236E18" w:rsidP="00236E18">
      <w:pPr>
        <w:widowControl w:val="0"/>
        <w:numPr>
          <w:ilvl w:val="0"/>
          <w:numId w:val="53"/>
        </w:numPr>
        <w:tabs>
          <w:tab w:val="clear" w:pos="720"/>
          <w:tab w:val="num" w:pos="1560"/>
        </w:tabs>
        <w:spacing w:after="120"/>
        <w:ind w:left="993" w:hanging="426"/>
        <w:jc w:val="both"/>
        <w:rPr>
          <w:sz w:val="20"/>
        </w:rPr>
      </w:pPr>
      <w:r w:rsidRPr="00352124">
        <w:rPr>
          <w:sz w:val="20"/>
        </w:rPr>
        <w:t>A pesar del aumento de las renovaciones entre 2009 y 2014, el número de renovaciones tramitadas manualmente se ha mantenido relativamente estable.  En 2014, el 59% de las renovaciones se tramitaron automáticamente.</w:t>
      </w:r>
    </w:p>
    <w:p w:rsidR="00236E18" w:rsidRPr="00352124" w:rsidRDefault="00236E18" w:rsidP="00236E18">
      <w:pPr>
        <w:widowControl w:val="0"/>
        <w:spacing w:after="120"/>
        <w:ind w:left="993" w:hanging="426"/>
        <w:jc w:val="both"/>
        <w:rPr>
          <w:sz w:val="20"/>
        </w:rPr>
      </w:pPr>
    </w:p>
    <w:p w:rsidR="00236E18" w:rsidRPr="00352124" w:rsidRDefault="00236E18" w:rsidP="00236E18">
      <w:pPr>
        <w:pStyle w:val="ListParagraph"/>
        <w:keepNext/>
        <w:widowControl w:val="0"/>
        <w:ind w:left="0"/>
        <w:jc w:val="both"/>
        <w:rPr>
          <w:rFonts w:ascii="Arial" w:hAnsi="Arial" w:cs="Arial"/>
          <w:sz w:val="20"/>
          <w:u w:val="single"/>
          <w:lang w:val="es-ES"/>
        </w:rPr>
      </w:pPr>
      <w:r w:rsidRPr="00352124">
        <w:rPr>
          <w:rFonts w:ascii="Arial" w:hAnsi="Arial" w:cs="Arial"/>
          <w:sz w:val="20"/>
          <w:u w:val="single"/>
          <w:lang w:val="es-ES"/>
        </w:rPr>
        <w:lastRenderedPageBreak/>
        <w:t xml:space="preserve">Designaciones posteriores </w:t>
      </w:r>
    </w:p>
    <w:p w:rsidR="00236E18" w:rsidRPr="00352124" w:rsidRDefault="00236E18" w:rsidP="00236E18">
      <w:pPr>
        <w:widowControl w:val="0"/>
        <w:jc w:val="center"/>
        <w:rPr>
          <w:sz w:val="20"/>
        </w:rPr>
      </w:pPr>
      <w:r w:rsidRPr="00A63F20">
        <w:rPr>
          <w:noProof/>
          <w:lang w:val="en-US" w:eastAsia="en-US"/>
        </w:rPr>
        <w:drawing>
          <wp:inline distT="0" distB="0" distL="0" distR="0" wp14:anchorId="414EC30F" wp14:editId="059DF311">
            <wp:extent cx="5018568" cy="2630300"/>
            <wp:effectExtent l="0" t="0" r="0" b="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021878" cy="2632035"/>
                    </a:xfrm>
                    <a:prstGeom prst="rect">
                      <a:avLst/>
                    </a:prstGeom>
                    <a:noFill/>
                    <a:ln>
                      <a:noFill/>
                    </a:ln>
                  </pic:spPr>
                </pic:pic>
              </a:graphicData>
            </a:graphic>
          </wp:inline>
        </w:drawing>
      </w:r>
    </w:p>
    <w:p w:rsidR="00236E18" w:rsidRPr="00352124" w:rsidRDefault="00236E18" w:rsidP="00236E18">
      <w:pPr>
        <w:widowControl w:val="0"/>
        <w:jc w:val="both"/>
        <w:rPr>
          <w:sz w:val="20"/>
        </w:rPr>
      </w:pPr>
    </w:p>
    <w:p w:rsidR="00236E18" w:rsidRPr="00352124" w:rsidRDefault="00236E18" w:rsidP="00236E18">
      <w:pPr>
        <w:widowControl w:val="0"/>
        <w:numPr>
          <w:ilvl w:val="0"/>
          <w:numId w:val="53"/>
        </w:numPr>
        <w:tabs>
          <w:tab w:val="clear" w:pos="720"/>
          <w:tab w:val="num" w:pos="993"/>
        </w:tabs>
        <w:spacing w:after="120"/>
        <w:ind w:left="993" w:hanging="426"/>
        <w:jc w:val="both"/>
        <w:rPr>
          <w:sz w:val="20"/>
        </w:rPr>
      </w:pPr>
      <w:r w:rsidRPr="00352124">
        <w:rPr>
          <w:sz w:val="20"/>
        </w:rPr>
        <w:t xml:space="preserve">En 2014, la Oficina Internacional registró 17.316 designaciones posteriores, lo que supone un descenso del 2,5% con respecto a 2013. </w:t>
      </w:r>
    </w:p>
    <w:p w:rsidR="00236E18" w:rsidRPr="00352124" w:rsidRDefault="00236E18" w:rsidP="00236E18">
      <w:pPr>
        <w:widowControl w:val="0"/>
        <w:numPr>
          <w:ilvl w:val="0"/>
          <w:numId w:val="53"/>
        </w:numPr>
        <w:tabs>
          <w:tab w:val="clear" w:pos="720"/>
          <w:tab w:val="num" w:pos="993"/>
        </w:tabs>
        <w:ind w:left="993" w:hanging="426"/>
        <w:jc w:val="both"/>
        <w:rPr>
          <w:b/>
          <w:sz w:val="20"/>
        </w:rPr>
      </w:pPr>
      <w:r w:rsidRPr="00352124">
        <w:rPr>
          <w:sz w:val="20"/>
        </w:rPr>
        <w:t xml:space="preserve">En 2014, el nuevo formulario electrónico denominado </w:t>
      </w:r>
      <w:r w:rsidRPr="00352124">
        <w:rPr>
          <w:i/>
          <w:sz w:val="20"/>
        </w:rPr>
        <w:t>E-</w:t>
      </w:r>
      <w:proofErr w:type="spellStart"/>
      <w:r w:rsidRPr="00352124">
        <w:rPr>
          <w:i/>
          <w:sz w:val="20"/>
        </w:rPr>
        <w:t>Subsequent</w:t>
      </w:r>
      <w:proofErr w:type="spellEnd"/>
      <w:r w:rsidRPr="00352124">
        <w:rPr>
          <w:i/>
          <w:sz w:val="20"/>
        </w:rPr>
        <w:t xml:space="preserve"> </w:t>
      </w:r>
      <w:proofErr w:type="spellStart"/>
      <w:r w:rsidRPr="00352124">
        <w:rPr>
          <w:i/>
          <w:sz w:val="20"/>
        </w:rPr>
        <w:t>Designation</w:t>
      </w:r>
      <w:proofErr w:type="spellEnd"/>
      <w:r w:rsidRPr="00352124">
        <w:rPr>
          <w:sz w:val="20"/>
        </w:rPr>
        <w:t xml:space="preserve"> se puso a disposición de los solicitantes.  Ese formulario electrónico permitió a la Oficina Internacional  tramitar automáticamente el 14% de las designaciones posteriores. </w:t>
      </w:r>
    </w:p>
    <w:p w:rsidR="00236E18" w:rsidRPr="00352124" w:rsidRDefault="00236E18" w:rsidP="00236E18">
      <w:pPr>
        <w:pStyle w:val="ListParagraph"/>
        <w:widowControl w:val="0"/>
        <w:ind w:left="1418"/>
        <w:jc w:val="both"/>
        <w:rPr>
          <w:rFonts w:ascii="Arial" w:hAnsi="Arial" w:cs="Arial"/>
          <w:b/>
          <w:sz w:val="20"/>
          <w:szCs w:val="20"/>
          <w:lang w:val="es-ES"/>
        </w:rPr>
      </w:pPr>
    </w:p>
    <w:p w:rsidR="00236E18" w:rsidRPr="00352124" w:rsidRDefault="00236E18" w:rsidP="00236E18">
      <w:pPr>
        <w:pStyle w:val="ListParagraph"/>
        <w:widowControl w:val="0"/>
        <w:ind w:left="1418"/>
        <w:jc w:val="both"/>
        <w:rPr>
          <w:rFonts w:ascii="Arial" w:hAnsi="Arial" w:cs="Arial"/>
          <w:b/>
          <w:sz w:val="20"/>
          <w:szCs w:val="20"/>
          <w:lang w:val="es-ES"/>
        </w:rPr>
      </w:pPr>
    </w:p>
    <w:p w:rsidR="00236E18" w:rsidRPr="00352124" w:rsidRDefault="00236E18" w:rsidP="00236E18">
      <w:pPr>
        <w:pStyle w:val="ListParagraph"/>
        <w:widowControl w:val="0"/>
        <w:ind w:left="0"/>
        <w:jc w:val="both"/>
        <w:rPr>
          <w:rFonts w:ascii="Arial" w:hAnsi="Arial" w:cs="Arial"/>
          <w:sz w:val="20"/>
          <w:u w:val="single"/>
          <w:lang w:val="es-ES"/>
        </w:rPr>
      </w:pPr>
      <w:r w:rsidRPr="00352124">
        <w:rPr>
          <w:rFonts w:ascii="Arial" w:hAnsi="Arial" w:cs="Arial"/>
          <w:sz w:val="20"/>
          <w:u w:val="single"/>
          <w:lang w:val="es-ES"/>
        </w:rPr>
        <w:t>Cambios</w:t>
      </w:r>
    </w:p>
    <w:p w:rsidR="00236E18" w:rsidRPr="00352124" w:rsidRDefault="00236E18" w:rsidP="00236E18">
      <w:pPr>
        <w:widowControl w:val="0"/>
        <w:ind w:left="360"/>
        <w:jc w:val="center"/>
      </w:pPr>
      <w:r w:rsidRPr="00094538">
        <w:rPr>
          <w:noProof/>
          <w:lang w:val="en-US" w:eastAsia="en-US"/>
        </w:rPr>
        <w:drawing>
          <wp:inline distT="0" distB="0" distL="0" distR="0" wp14:anchorId="32C8B7BC" wp14:editId="593D6CAE">
            <wp:extent cx="5135526" cy="2572410"/>
            <wp:effectExtent l="0" t="0" r="8255" b="0"/>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142566" cy="2575936"/>
                    </a:xfrm>
                    <a:prstGeom prst="rect">
                      <a:avLst/>
                    </a:prstGeom>
                    <a:noFill/>
                    <a:ln>
                      <a:noFill/>
                    </a:ln>
                  </pic:spPr>
                </pic:pic>
              </a:graphicData>
            </a:graphic>
          </wp:inline>
        </w:drawing>
      </w:r>
    </w:p>
    <w:p w:rsidR="00236E18" w:rsidRPr="00352124" w:rsidRDefault="00236E18" w:rsidP="00236E18">
      <w:pPr>
        <w:widowControl w:val="0"/>
        <w:numPr>
          <w:ilvl w:val="0"/>
          <w:numId w:val="53"/>
        </w:numPr>
        <w:tabs>
          <w:tab w:val="clear" w:pos="720"/>
          <w:tab w:val="num" w:pos="993"/>
        </w:tabs>
        <w:spacing w:after="120"/>
        <w:ind w:left="993" w:hanging="426"/>
        <w:jc w:val="both"/>
        <w:rPr>
          <w:sz w:val="20"/>
        </w:rPr>
      </w:pPr>
      <w:r w:rsidRPr="00352124">
        <w:rPr>
          <w:sz w:val="20"/>
        </w:rPr>
        <w:t xml:space="preserve">En 2014, la Oficina Internacional recibió 38.817 peticiones de cambios, lo que representó un aumento del 5,5% con respecto a 2003. </w:t>
      </w:r>
    </w:p>
    <w:p w:rsidR="00236E18" w:rsidRPr="00352124" w:rsidRDefault="00236E18" w:rsidP="00236E18">
      <w:pPr>
        <w:widowControl w:val="0"/>
        <w:spacing w:after="120"/>
        <w:jc w:val="both"/>
        <w:rPr>
          <w:sz w:val="20"/>
        </w:rPr>
      </w:pPr>
    </w:p>
    <w:p w:rsidR="00236E18" w:rsidRPr="00352124" w:rsidRDefault="00236E18" w:rsidP="00236E18">
      <w:pPr>
        <w:pStyle w:val="ListParagraph"/>
        <w:keepNext/>
        <w:widowControl w:val="0"/>
        <w:ind w:left="0"/>
        <w:jc w:val="both"/>
        <w:rPr>
          <w:rFonts w:ascii="Arial" w:hAnsi="Arial" w:cs="Arial"/>
          <w:sz w:val="20"/>
          <w:u w:val="single"/>
          <w:lang w:val="es-ES"/>
        </w:rPr>
      </w:pPr>
      <w:r w:rsidRPr="00352124">
        <w:rPr>
          <w:rFonts w:ascii="Arial" w:hAnsi="Arial" w:cs="Arial"/>
          <w:sz w:val="20"/>
          <w:u w:val="single"/>
          <w:lang w:val="es-ES"/>
        </w:rPr>
        <w:lastRenderedPageBreak/>
        <w:t>Decisiones</w:t>
      </w:r>
    </w:p>
    <w:p w:rsidR="00236E18" w:rsidRDefault="00236E18" w:rsidP="00236E18">
      <w:pPr>
        <w:widowControl w:val="0"/>
        <w:jc w:val="center"/>
      </w:pPr>
      <w:r w:rsidRPr="002471B4">
        <w:rPr>
          <w:noProof/>
          <w:lang w:val="en-US" w:eastAsia="en-US"/>
        </w:rPr>
        <w:drawing>
          <wp:inline distT="0" distB="0" distL="0" distR="0" wp14:anchorId="19DEDCF4" wp14:editId="15CF2A80">
            <wp:extent cx="5171888" cy="2636874"/>
            <wp:effectExtent l="0" t="0" r="0"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191608" cy="2646928"/>
                    </a:xfrm>
                    <a:prstGeom prst="rect">
                      <a:avLst/>
                    </a:prstGeom>
                    <a:noFill/>
                    <a:ln>
                      <a:noFill/>
                    </a:ln>
                  </pic:spPr>
                </pic:pic>
              </a:graphicData>
            </a:graphic>
          </wp:inline>
        </w:drawing>
      </w:r>
    </w:p>
    <w:p w:rsidR="00236E18" w:rsidRPr="00352124" w:rsidRDefault="00236E18" w:rsidP="00236E18">
      <w:pPr>
        <w:widowControl w:val="0"/>
        <w:jc w:val="center"/>
      </w:pPr>
    </w:p>
    <w:p w:rsidR="00236E18" w:rsidRPr="00352124" w:rsidRDefault="00236E18" w:rsidP="00236E18">
      <w:pPr>
        <w:widowControl w:val="0"/>
        <w:numPr>
          <w:ilvl w:val="0"/>
          <w:numId w:val="53"/>
        </w:numPr>
        <w:tabs>
          <w:tab w:val="clear" w:pos="720"/>
          <w:tab w:val="num" w:pos="993"/>
        </w:tabs>
        <w:spacing w:after="120"/>
        <w:ind w:left="993" w:hanging="426"/>
        <w:jc w:val="both"/>
        <w:rPr>
          <w:sz w:val="20"/>
        </w:rPr>
      </w:pPr>
      <w:r w:rsidRPr="00352124">
        <w:rPr>
          <w:sz w:val="20"/>
        </w:rPr>
        <w:t>En 2014, el número de decisiones registradas disminuyó en 0,3% frente a 2013, totalizando 521.208.  El número de decisiones tramitadas ha crecido rápidamente desde 2010.</w:t>
      </w:r>
    </w:p>
    <w:p w:rsidR="00236E18" w:rsidRPr="00352124" w:rsidRDefault="00236E18" w:rsidP="00236E18">
      <w:pPr>
        <w:widowControl w:val="0"/>
        <w:numPr>
          <w:ilvl w:val="0"/>
          <w:numId w:val="53"/>
        </w:numPr>
        <w:tabs>
          <w:tab w:val="clear" w:pos="720"/>
          <w:tab w:val="num" w:pos="993"/>
        </w:tabs>
        <w:spacing w:after="120"/>
        <w:ind w:left="993" w:hanging="426"/>
        <w:jc w:val="both"/>
        <w:rPr>
          <w:sz w:val="20"/>
        </w:rPr>
      </w:pPr>
      <w:r w:rsidRPr="00352124">
        <w:rPr>
          <w:sz w:val="20"/>
        </w:rPr>
        <w:t>En 2014, el 62% de las decisiones se tramitaron automáticamente.  La mayoría de las decisiones se han tramitado automáticamente desde 2011.</w:t>
      </w:r>
    </w:p>
    <w:p w:rsidR="00236E18" w:rsidRPr="00352124" w:rsidRDefault="00236E18" w:rsidP="00236E18">
      <w:pPr>
        <w:widowControl w:val="0"/>
        <w:jc w:val="both"/>
      </w:pPr>
    </w:p>
    <w:p w:rsidR="00236E18" w:rsidRPr="00352124" w:rsidRDefault="00236E18" w:rsidP="00236E18">
      <w:pPr>
        <w:pStyle w:val="ListParagraph"/>
        <w:widowControl w:val="0"/>
        <w:ind w:left="0"/>
        <w:jc w:val="both"/>
        <w:rPr>
          <w:rFonts w:ascii="Arial" w:hAnsi="Arial" w:cs="Arial"/>
          <w:sz w:val="20"/>
          <w:u w:val="single"/>
          <w:lang w:val="es-ES"/>
        </w:rPr>
      </w:pPr>
      <w:r w:rsidRPr="00352124">
        <w:rPr>
          <w:rFonts w:ascii="Arial" w:hAnsi="Arial" w:cs="Arial"/>
          <w:sz w:val="20"/>
          <w:u w:val="single"/>
          <w:lang w:val="es-ES"/>
        </w:rPr>
        <w:t>Correcciones</w:t>
      </w:r>
    </w:p>
    <w:p w:rsidR="00236E18" w:rsidRDefault="00236E18" w:rsidP="00236E18">
      <w:pPr>
        <w:widowControl w:val="0"/>
        <w:jc w:val="center"/>
      </w:pPr>
      <w:r w:rsidRPr="00F12627">
        <w:rPr>
          <w:noProof/>
          <w:lang w:val="en-US" w:eastAsia="en-US"/>
        </w:rPr>
        <w:drawing>
          <wp:inline distT="0" distB="0" distL="0" distR="0" wp14:anchorId="7330B8A2" wp14:editId="2F280488">
            <wp:extent cx="5326911" cy="2487933"/>
            <wp:effectExtent l="0" t="0" r="7620" b="7620"/>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335129" cy="2491771"/>
                    </a:xfrm>
                    <a:prstGeom prst="rect">
                      <a:avLst/>
                    </a:prstGeom>
                    <a:noFill/>
                    <a:ln>
                      <a:noFill/>
                    </a:ln>
                  </pic:spPr>
                </pic:pic>
              </a:graphicData>
            </a:graphic>
          </wp:inline>
        </w:drawing>
      </w:r>
    </w:p>
    <w:p w:rsidR="00236E18" w:rsidRPr="00352124" w:rsidRDefault="00236E18" w:rsidP="00236E18">
      <w:pPr>
        <w:widowControl w:val="0"/>
        <w:jc w:val="center"/>
      </w:pPr>
    </w:p>
    <w:p w:rsidR="00236E18" w:rsidRPr="00352124" w:rsidRDefault="00236E18" w:rsidP="00236E18">
      <w:pPr>
        <w:widowControl w:val="0"/>
        <w:numPr>
          <w:ilvl w:val="0"/>
          <w:numId w:val="53"/>
        </w:numPr>
        <w:tabs>
          <w:tab w:val="clear" w:pos="720"/>
          <w:tab w:val="num" w:pos="993"/>
        </w:tabs>
        <w:spacing w:after="120"/>
        <w:ind w:left="993" w:hanging="426"/>
        <w:jc w:val="both"/>
        <w:rPr>
          <w:sz w:val="20"/>
        </w:rPr>
      </w:pPr>
      <w:r w:rsidRPr="00352124">
        <w:rPr>
          <w:sz w:val="20"/>
        </w:rPr>
        <w:t>En 2014, la Oficina Internacional registró aproximadamente 6.000 correcciones.  Esto representa un aumento del 17% con respecto a 2013.</w:t>
      </w:r>
    </w:p>
    <w:p w:rsidR="00236E18" w:rsidRPr="00352124" w:rsidRDefault="00236E18" w:rsidP="00236E18">
      <w:pPr>
        <w:rPr>
          <w:sz w:val="20"/>
        </w:rPr>
      </w:pPr>
      <w:r w:rsidRPr="00352124">
        <w:rPr>
          <w:sz w:val="20"/>
        </w:rPr>
        <w:br w:type="page"/>
      </w:r>
    </w:p>
    <w:p w:rsidR="00236E18" w:rsidRPr="00352124" w:rsidRDefault="00236E18" w:rsidP="00236E18">
      <w:pPr>
        <w:pStyle w:val="ListParagraph"/>
        <w:widowControl w:val="0"/>
        <w:numPr>
          <w:ilvl w:val="0"/>
          <w:numId w:val="52"/>
        </w:numPr>
        <w:ind w:left="540" w:hanging="540"/>
        <w:jc w:val="both"/>
        <w:rPr>
          <w:rFonts w:ascii="Arial" w:hAnsi="Arial" w:cs="Arial"/>
          <w:b/>
          <w:sz w:val="20"/>
          <w:szCs w:val="20"/>
          <w:lang w:val="es-ES"/>
        </w:rPr>
      </w:pPr>
      <w:r w:rsidRPr="00352124">
        <w:rPr>
          <w:rFonts w:ascii="Arial" w:hAnsi="Arial" w:cs="Arial"/>
          <w:b/>
          <w:sz w:val="20"/>
          <w:szCs w:val="20"/>
          <w:lang w:val="es-ES"/>
        </w:rPr>
        <w:lastRenderedPageBreak/>
        <w:t>Volumen total de trabajo</w:t>
      </w:r>
    </w:p>
    <w:p w:rsidR="00236E18" w:rsidRPr="00352124" w:rsidRDefault="00236E18" w:rsidP="00236E18">
      <w:pPr>
        <w:widowControl w:val="0"/>
        <w:jc w:val="both"/>
        <w:rPr>
          <w:sz w:val="20"/>
        </w:rPr>
      </w:pPr>
    </w:p>
    <w:p w:rsidR="00236E18" w:rsidRPr="00352124"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El volumen total de trabajo corresponde al número total ponderado de los documentos tramitados por la Oficina Internacional.  En el total se incluyen las seis categorías de documentos mencionadas, a saber, las solicitudes, las renovaciones, las designaciones posteriores, los cambios, las decisiones y las correcciones.</w:t>
      </w:r>
    </w:p>
    <w:p w:rsidR="00236E18" w:rsidRPr="00352124" w:rsidRDefault="00236E18" w:rsidP="00236E18">
      <w:pPr>
        <w:widowControl w:val="0"/>
        <w:jc w:val="both"/>
        <w:rPr>
          <w:sz w:val="20"/>
        </w:rPr>
      </w:pPr>
    </w:p>
    <w:p w:rsidR="00236E18" w:rsidRPr="00352124"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 xml:space="preserve">En vista de que para la tramitación de esos tipos de documentos no se necesita la misma cantidad de recursos, se ponderan de manera diferente.  Según ese sistema de ponderación, en el tiempo necesario para tramitar una solicitud internacional, un examinador puede tramitar 1,6 renovaciones, 1,8 designaciones posteriores, 1,8 cambios o 10 decisiones.  Asimismo, en el tiempo necesario para tramitar una solicitud internacional, un empleado encargado de los procesos automáticos puede normalmente tramitar 17 documentos. </w:t>
      </w:r>
    </w:p>
    <w:p w:rsidR="00236E18" w:rsidRPr="00352124" w:rsidRDefault="00236E18" w:rsidP="00236E18">
      <w:pPr>
        <w:widowControl w:val="0"/>
        <w:jc w:val="both"/>
        <w:rPr>
          <w:sz w:val="16"/>
          <w:szCs w:val="16"/>
        </w:rPr>
      </w:pPr>
    </w:p>
    <w:p w:rsidR="00236E18" w:rsidRDefault="00236E18" w:rsidP="00236E18">
      <w:pPr>
        <w:widowControl w:val="0"/>
        <w:jc w:val="center"/>
      </w:pPr>
      <w:r w:rsidRPr="00BB4E31">
        <w:rPr>
          <w:noProof/>
          <w:lang w:val="en-US" w:eastAsia="en-US"/>
        </w:rPr>
        <w:drawing>
          <wp:inline distT="0" distB="0" distL="0" distR="0" wp14:anchorId="7C408DFD" wp14:editId="53941121">
            <wp:extent cx="5039832" cy="2328531"/>
            <wp:effectExtent l="0" t="0" r="0" b="0"/>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049165" cy="2332843"/>
                    </a:xfrm>
                    <a:prstGeom prst="rect">
                      <a:avLst/>
                    </a:prstGeom>
                    <a:noFill/>
                    <a:ln>
                      <a:noFill/>
                    </a:ln>
                  </pic:spPr>
                </pic:pic>
              </a:graphicData>
            </a:graphic>
          </wp:inline>
        </w:drawing>
      </w:r>
    </w:p>
    <w:p w:rsidR="00236E18" w:rsidRPr="00352124" w:rsidRDefault="00236E18" w:rsidP="00236E18">
      <w:pPr>
        <w:widowControl w:val="0"/>
        <w:jc w:val="center"/>
      </w:pPr>
    </w:p>
    <w:p w:rsidR="00236E18" w:rsidRPr="00352124" w:rsidRDefault="00236E18" w:rsidP="00236E18">
      <w:pPr>
        <w:widowControl w:val="0"/>
        <w:numPr>
          <w:ilvl w:val="0"/>
          <w:numId w:val="53"/>
        </w:numPr>
        <w:tabs>
          <w:tab w:val="clear" w:pos="720"/>
          <w:tab w:val="num" w:pos="993"/>
        </w:tabs>
        <w:spacing w:after="120"/>
        <w:ind w:left="993" w:hanging="426"/>
        <w:jc w:val="both"/>
        <w:rPr>
          <w:sz w:val="20"/>
        </w:rPr>
      </w:pPr>
      <w:r w:rsidRPr="00352124">
        <w:rPr>
          <w:sz w:val="20"/>
        </w:rPr>
        <w:t>En 2014, el volumen total de trabajo se mantuvo estable en relación con 2013. Las solicitudes, las decisiones y los cambios representaron casi el 80% de la carga total de trabajo.</w:t>
      </w:r>
    </w:p>
    <w:p w:rsidR="00236E18" w:rsidRPr="00352124" w:rsidRDefault="00236E18" w:rsidP="00236E18">
      <w:pPr>
        <w:widowControl w:val="0"/>
        <w:numPr>
          <w:ilvl w:val="0"/>
          <w:numId w:val="53"/>
        </w:numPr>
        <w:tabs>
          <w:tab w:val="clear" w:pos="720"/>
          <w:tab w:val="num" w:pos="993"/>
        </w:tabs>
        <w:spacing w:after="120"/>
        <w:ind w:left="993" w:hanging="426"/>
        <w:jc w:val="both"/>
      </w:pPr>
      <w:r w:rsidRPr="00352124">
        <w:rPr>
          <w:sz w:val="20"/>
        </w:rPr>
        <w:t>Entre 2011 y 2013, el volumen de trabajo aumentó notablemente, principalmente debido al creciente número de decisiones.</w:t>
      </w:r>
    </w:p>
    <w:p w:rsidR="00236E18" w:rsidRPr="00352124" w:rsidRDefault="00236E18" w:rsidP="00236E18">
      <w:pPr>
        <w:pStyle w:val="ListParagraph"/>
        <w:widowControl w:val="0"/>
        <w:ind w:left="1080"/>
        <w:jc w:val="both"/>
        <w:rPr>
          <w:rFonts w:ascii="Arial" w:hAnsi="Arial" w:cs="Arial"/>
          <w:sz w:val="16"/>
          <w:szCs w:val="16"/>
          <w:lang w:val="es-ES"/>
        </w:rPr>
      </w:pPr>
    </w:p>
    <w:p w:rsidR="00236E18" w:rsidRPr="00352124" w:rsidRDefault="00236E18" w:rsidP="00236E18">
      <w:pPr>
        <w:pStyle w:val="ListParagraph"/>
        <w:widowControl w:val="0"/>
        <w:ind w:left="1080"/>
        <w:jc w:val="both"/>
        <w:rPr>
          <w:rFonts w:ascii="Arial" w:hAnsi="Arial" w:cs="Arial"/>
          <w:sz w:val="16"/>
          <w:szCs w:val="16"/>
          <w:lang w:val="es-ES"/>
        </w:rPr>
      </w:pPr>
    </w:p>
    <w:p w:rsidR="00236E18" w:rsidRPr="00352124" w:rsidRDefault="00236E18" w:rsidP="00236E18">
      <w:pPr>
        <w:pStyle w:val="ListParagraph"/>
        <w:widowControl w:val="0"/>
        <w:numPr>
          <w:ilvl w:val="0"/>
          <w:numId w:val="52"/>
        </w:numPr>
        <w:ind w:left="567" w:hanging="567"/>
        <w:jc w:val="both"/>
        <w:rPr>
          <w:rFonts w:ascii="Arial" w:hAnsi="Arial" w:cs="Arial"/>
          <w:b/>
          <w:sz w:val="20"/>
          <w:szCs w:val="20"/>
          <w:lang w:val="es-ES"/>
        </w:rPr>
      </w:pPr>
      <w:r w:rsidRPr="00352124">
        <w:rPr>
          <w:rFonts w:ascii="Arial" w:hAnsi="Arial" w:cs="Arial"/>
          <w:b/>
          <w:sz w:val="20"/>
          <w:szCs w:val="20"/>
          <w:lang w:val="es-ES"/>
        </w:rPr>
        <w:t>Medios de transmisión de los documentos recibidos</w:t>
      </w:r>
    </w:p>
    <w:p w:rsidR="00236E18" w:rsidRPr="00352124" w:rsidRDefault="00236E18" w:rsidP="00236E18">
      <w:pPr>
        <w:pStyle w:val="ListParagraph"/>
        <w:widowControl w:val="0"/>
        <w:ind w:left="1080"/>
        <w:jc w:val="both"/>
        <w:rPr>
          <w:rFonts w:ascii="Arial" w:hAnsi="Arial" w:cs="Arial"/>
          <w:b/>
          <w:sz w:val="20"/>
          <w:szCs w:val="20"/>
          <w:lang w:val="es-ES"/>
        </w:rPr>
      </w:pPr>
    </w:p>
    <w:p w:rsidR="00236E18" w:rsidRPr="00352124" w:rsidRDefault="00236E18" w:rsidP="00236E18">
      <w:pPr>
        <w:widowControl w:val="0"/>
        <w:jc w:val="center"/>
        <w:rPr>
          <w:noProof/>
        </w:rPr>
      </w:pPr>
      <w:r w:rsidRPr="003A64FB">
        <w:rPr>
          <w:noProof/>
          <w:lang w:val="en-US" w:eastAsia="en-US"/>
        </w:rPr>
        <w:drawing>
          <wp:inline distT="0" distB="0" distL="0" distR="0" wp14:anchorId="3CE535BD" wp14:editId="404B6B1A">
            <wp:extent cx="5252484" cy="2294171"/>
            <wp:effectExtent l="0" t="0" r="5715" b="0"/>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261832" cy="2298254"/>
                    </a:xfrm>
                    <a:prstGeom prst="rect">
                      <a:avLst/>
                    </a:prstGeom>
                    <a:noFill/>
                    <a:ln>
                      <a:noFill/>
                    </a:ln>
                  </pic:spPr>
                </pic:pic>
              </a:graphicData>
            </a:graphic>
          </wp:inline>
        </w:drawing>
      </w:r>
    </w:p>
    <w:p w:rsidR="00236E18" w:rsidRPr="00352124" w:rsidRDefault="00236E18" w:rsidP="00236E18">
      <w:pPr>
        <w:widowControl w:val="0"/>
        <w:numPr>
          <w:ilvl w:val="0"/>
          <w:numId w:val="53"/>
        </w:numPr>
        <w:tabs>
          <w:tab w:val="clear" w:pos="720"/>
          <w:tab w:val="num" w:pos="993"/>
        </w:tabs>
        <w:spacing w:after="120"/>
        <w:ind w:left="993" w:hanging="426"/>
        <w:jc w:val="both"/>
        <w:rPr>
          <w:sz w:val="20"/>
        </w:rPr>
      </w:pPr>
      <w:r w:rsidRPr="00352124">
        <w:rPr>
          <w:sz w:val="20"/>
        </w:rPr>
        <w:t xml:space="preserve">En 2014, el 66% de todos los documentos recibidos se transmitieron a la Oficina Internacional  por vía electrónica. </w:t>
      </w:r>
    </w:p>
    <w:p w:rsidR="00236E18" w:rsidRPr="00352124" w:rsidRDefault="00236E18" w:rsidP="00236E18">
      <w:pPr>
        <w:pStyle w:val="ListParagraph"/>
        <w:widowControl w:val="0"/>
        <w:numPr>
          <w:ilvl w:val="0"/>
          <w:numId w:val="55"/>
        </w:numPr>
        <w:tabs>
          <w:tab w:val="num" w:pos="993"/>
        </w:tabs>
        <w:spacing w:after="200"/>
        <w:ind w:left="993" w:hanging="426"/>
        <w:jc w:val="both"/>
        <w:rPr>
          <w:rFonts w:ascii="Arial" w:hAnsi="Arial" w:cs="Arial"/>
          <w:sz w:val="20"/>
          <w:szCs w:val="20"/>
          <w:lang w:val="es-ES"/>
        </w:rPr>
      </w:pPr>
      <w:r w:rsidRPr="00352124">
        <w:rPr>
          <w:rFonts w:ascii="Arial" w:hAnsi="Arial" w:cs="Arial"/>
          <w:sz w:val="20"/>
          <w:szCs w:val="20"/>
          <w:lang w:val="es-ES"/>
        </w:rPr>
        <w:t>El porcentaje de documentos transmitidos por vía electrónica se ha mantenido estable desde 2012.</w:t>
      </w:r>
    </w:p>
    <w:p w:rsidR="00236E18" w:rsidRPr="00352124" w:rsidRDefault="00236E18" w:rsidP="00236E18">
      <w:pPr>
        <w:widowControl w:val="0"/>
        <w:tabs>
          <w:tab w:val="num" w:pos="993"/>
        </w:tabs>
        <w:jc w:val="both"/>
        <w:rPr>
          <w:sz w:val="20"/>
        </w:rPr>
      </w:pPr>
    </w:p>
    <w:p w:rsidR="00236E18" w:rsidRPr="00352124" w:rsidRDefault="00236E18" w:rsidP="00236E18">
      <w:pPr>
        <w:pStyle w:val="ListParagraph"/>
        <w:widowControl w:val="0"/>
        <w:numPr>
          <w:ilvl w:val="0"/>
          <w:numId w:val="52"/>
        </w:numPr>
        <w:ind w:left="567" w:hanging="567"/>
        <w:jc w:val="both"/>
        <w:rPr>
          <w:rFonts w:ascii="Arial" w:hAnsi="Arial" w:cs="Arial"/>
          <w:b/>
          <w:sz w:val="20"/>
          <w:szCs w:val="20"/>
          <w:lang w:val="es-ES"/>
        </w:rPr>
      </w:pPr>
      <w:r w:rsidRPr="00352124">
        <w:rPr>
          <w:rFonts w:ascii="Arial" w:hAnsi="Arial" w:cs="Arial"/>
          <w:b/>
          <w:sz w:val="20"/>
          <w:szCs w:val="20"/>
          <w:lang w:val="es-ES"/>
        </w:rPr>
        <w:t>Tramitación</w:t>
      </w:r>
    </w:p>
    <w:p w:rsidR="00236E18" w:rsidRPr="00352124" w:rsidRDefault="00236E18" w:rsidP="00236E18">
      <w:pPr>
        <w:widowControl w:val="0"/>
        <w:jc w:val="both"/>
        <w:rPr>
          <w:sz w:val="20"/>
        </w:rPr>
      </w:pPr>
    </w:p>
    <w:p w:rsidR="00236E18" w:rsidRPr="00352124" w:rsidRDefault="00236E18" w:rsidP="00236E18">
      <w:pPr>
        <w:pStyle w:val="ListParagraph"/>
        <w:widowControl w:val="0"/>
        <w:ind w:left="0"/>
        <w:jc w:val="both"/>
        <w:rPr>
          <w:rFonts w:ascii="Arial" w:hAnsi="Arial" w:cs="Arial"/>
          <w:sz w:val="20"/>
          <w:u w:val="single"/>
          <w:lang w:val="es-ES"/>
        </w:rPr>
      </w:pPr>
      <w:r w:rsidRPr="00352124">
        <w:rPr>
          <w:rFonts w:ascii="Arial" w:hAnsi="Arial" w:cs="Arial"/>
          <w:sz w:val="20"/>
          <w:u w:val="single"/>
          <w:lang w:val="es-ES"/>
        </w:rPr>
        <w:t>Costo total de producción</w:t>
      </w:r>
    </w:p>
    <w:p w:rsidR="00236E18" w:rsidRPr="00352124" w:rsidRDefault="00236E18" w:rsidP="00236E18">
      <w:pPr>
        <w:pStyle w:val="ListParagraph"/>
        <w:widowControl w:val="0"/>
        <w:ind w:left="1440"/>
        <w:jc w:val="both"/>
        <w:rPr>
          <w:rFonts w:ascii="Arial" w:hAnsi="Arial" w:cs="Arial"/>
          <w:b/>
          <w:i/>
          <w:sz w:val="20"/>
          <w:szCs w:val="20"/>
          <w:lang w:val="es-ES"/>
        </w:rPr>
      </w:pPr>
    </w:p>
    <w:p w:rsidR="00236E18" w:rsidRPr="00352124"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Los costos totales de producción pueden ser directos o indirectos.  Los costos directos reflejan los gastos en que incurre la Oficina Internacional para administrar el Sistema de Madrid (como los gastos de gestión, traducción y registro).  Los costos indirectos reflejan los gastos efectuados para el apoyo de actividades (como los relativos a los edificios y a la tecnología de la información).  Estos últimos se ponderan para tener en cuenta únicamente la proporción imputable al Sistema del Madrid.</w:t>
      </w:r>
    </w:p>
    <w:p w:rsidR="00236E18" w:rsidRPr="00352124" w:rsidRDefault="00236E18" w:rsidP="00236E18">
      <w:pPr>
        <w:widowControl w:val="0"/>
        <w:jc w:val="center"/>
      </w:pPr>
      <w:r w:rsidRPr="008A49C4">
        <w:rPr>
          <w:noProof/>
          <w:lang w:val="en-US" w:eastAsia="en-US"/>
        </w:rPr>
        <w:drawing>
          <wp:inline distT="0" distB="0" distL="0" distR="0" wp14:anchorId="72189423" wp14:editId="33F7FCB3">
            <wp:extent cx="4918088" cy="2770320"/>
            <wp:effectExtent l="0" t="0" r="0" b="0"/>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4930011" cy="2777036"/>
                    </a:xfrm>
                    <a:prstGeom prst="rect">
                      <a:avLst/>
                    </a:prstGeom>
                    <a:noFill/>
                    <a:ln>
                      <a:noFill/>
                    </a:ln>
                  </pic:spPr>
                </pic:pic>
              </a:graphicData>
            </a:graphic>
          </wp:inline>
        </w:drawing>
      </w:r>
    </w:p>
    <w:p w:rsidR="00236E18" w:rsidRPr="00352124" w:rsidRDefault="00236E18" w:rsidP="00236E18">
      <w:pPr>
        <w:pStyle w:val="ListParagraph"/>
        <w:widowControl w:val="0"/>
        <w:numPr>
          <w:ilvl w:val="0"/>
          <w:numId w:val="56"/>
        </w:numPr>
        <w:spacing w:after="200"/>
        <w:ind w:left="1134" w:hanging="567"/>
        <w:jc w:val="both"/>
        <w:rPr>
          <w:rFonts w:ascii="Arial" w:hAnsi="Arial" w:cs="Arial"/>
          <w:sz w:val="20"/>
          <w:szCs w:val="20"/>
          <w:lang w:val="es-ES"/>
        </w:rPr>
      </w:pPr>
      <w:r w:rsidRPr="00352124">
        <w:rPr>
          <w:rFonts w:ascii="Arial" w:hAnsi="Arial" w:cs="Arial"/>
          <w:sz w:val="20"/>
          <w:szCs w:val="20"/>
          <w:lang w:val="es-ES"/>
        </w:rPr>
        <w:t>Se calcula que el costo total de producción fue de 41,8 mill</w:t>
      </w:r>
      <w:r>
        <w:rPr>
          <w:rFonts w:ascii="Arial" w:hAnsi="Arial" w:cs="Arial"/>
          <w:sz w:val="20"/>
          <w:szCs w:val="20"/>
          <w:lang w:val="es-ES"/>
        </w:rPr>
        <w:t>ones de francos suizos en </w:t>
      </w:r>
      <w:r w:rsidRPr="00352124">
        <w:rPr>
          <w:rFonts w:ascii="Arial" w:hAnsi="Arial" w:cs="Arial"/>
          <w:sz w:val="20"/>
          <w:szCs w:val="20"/>
          <w:lang w:val="es-ES"/>
        </w:rPr>
        <w:t xml:space="preserve">2014.  Esto supone un leve aumento del 0,1% con respecto a 2013. </w:t>
      </w:r>
    </w:p>
    <w:p w:rsidR="00236E18" w:rsidRPr="00352124" w:rsidRDefault="00236E18" w:rsidP="00236E18">
      <w:pPr>
        <w:pStyle w:val="ListParagraph"/>
        <w:widowControl w:val="0"/>
        <w:ind w:left="1134" w:hanging="567"/>
        <w:jc w:val="both"/>
        <w:rPr>
          <w:rFonts w:ascii="Arial" w:hAnsi="Arial" w:cs="Arial"/>
          <w:sz w:val="20"/>
          <w:szCs w:val="20"/>
          <w:lang w:val="es-ES"/>
        </w:rPr>
      </w:pPr>
    </w:p>
    <w:p w:rsidR="00236E18" w:rsidRPr="00352124" w:rsidRDefault="00236E18" w:rsidP="00236E18">
      <w:pPr>
        <w:pStyle w:val="ListParagraph"/>
        <w:widowControl w:val="0"/>
        <w:numPr>
          <w:ilvl w:val="0"/>
          <w:numId w:val="56"/>
        </w:numPr>
        <w:ind w:left="1134" w:hanging="567"/>
        <w:jc w:val="both"/>
        <w:rPr>
          <w:rFonts w:ascii="Arial" w:hAnsi="Arial" w:cs="Arial"/>
          <w:sz w:val="20"/>
          <w:szCs w:val="20"/>
          <w:lang w:val="es-ES"/>
        </w:rPr>
      </w:pPr>
      <w:r w:rsidRPr="00352124">
        <w:rPr>
          <w:rFonts w:ascii="Arial" w:hAnsi="Arial" w:cs="Arial"/>
          <w:sz w:val="20"/>
          <w:szCs w:val="20"/>
          <w:lang w:val="es-ES"/>
        </w:rPr>
        <w:t xml:space="preserve">En 2014, los costos directos representaron el 61% de los costos totales. </w:t>
      </w:r>
    </w:p>
    <w:p w:rsidR="00236E18" w:rsidRPr="00352124" w:rsidRDefault="00236E18" w:rsidP="00236E18">
      <w:pPr>
        <w:widowControl w:val="0"/>
        <w:ind w:left="1134" w:hanging="567"/>
        <w:jc w:val="both"/>
        <w:rPr>
          <w:sz w:val="20"/>
        </w:rPr>
      </w:pPr>
    </w:p>
    <w:p w:rsidR="00236E18" w:rsidRPr="00352124" w:rsidRDefault="00236E18" w:rsidP="00236E18">
      <w:pPr>
        <w:widowControl w:val="0"/>
        <w:ind w:left="1080"/>
        <w:jc w:val="both"/>
        <w:rPr>
          <w:sz w:val="20"/>
        </w:rPr>
      </w:pPr>
    </w:p>
    <w:p w:rsidR="00236E18" w:rsidRPr="00352124" w:rsidRDefault="00236E18" w:rsidP="00236E18">
      <w:pPr>
        <w:pStyle w:val="ListParagraph"/>
        <w:widowControl w:val="0"/>
        <w:ind w:left="0"/>
        <w:jc w:val="both"/>
        <w:rPr>
          <w:rFonts w:ascii="Arial" w:hAnsi="Arial" w:cs="Arial"/>
          <w:sz w:val="20"/>
          <w:u w:val="single"/>
          <w:lang w:val="es-ES"/>
        </w:rPr>
      </w:pPr>
      <w:r w:rsidRPr="00352124">
        <w:rPr>
          <w:rFonts w:ascii="Arial" w:hAnsi="Arial" w:cs="Arial"/>
          <w:sz w:val="20"/>
          <w:u w:val="single"/>
          <w:lang w:val="es-ES"/>
        </w:rPr>
        <w:t xml:space="preserve">Costo unitario </w:t>
      </w:r>
    </w:p>
    <w:p w:rsidR="00236E18" w:rsidRPr="00352124" w:rsidRDefault="00236E18" w:rsidP="00236E18">
      <w:pPr>
        <w:widowControl w:val="0"/>
        <w:jc w:val="both"/>
        <w:rPr>
          <w:sz w:val="20"/>
        </w:rPr>
      </w:pPr>
    </w:p>
    <w:p w:rsidR="00236E18" w:rsidRPr="00352124"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La eficacia de la tramitación de las transacciones de la Oficina Internacional puede medirse por el costo unitario, que se define como el costo medio de producción de una unidad de producto.</w:t>
      </w:r>
    </w:p>
    <w:p w:rsidR="00236E18" w:rsidRPr="00352124" w:rsidRDefault="00236E18" w:rsidP="00236E18">
      <w:pPr>
        <w:widowControl w:val="0"/>
        <w:contextualSpacing/>
        <w:jc w:val="both"/>
        <w:rPr>
          <w:sz w:val="20"/>
        </w:rPr>
      </w:pPr>
    </w:p>
    <w:p w:rsidR="00236E18" w:rsidRPr="00352124"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Dado que la Oficina Internacional registra nuevas solicitudes y mantiene los registros existentes, resulta pertinente contar con una unidad de producto que englobe una serie de transacciones.  A continuación se presentan dos indicadores de costo unitario que utilizan dos unidades de producto diferentes.</w:t>
      </w:r>
    </w:p>
    <w:p w:rsidR="00236E18" w:rsidRPr="00352124" w:rsidRDefault="00236E18" w:rsidP="00236E18">
      <w:pPr>
        <w:pStyle w:val="ListParagraph"/>
        <w:widowControl w:val="0"/>
        <w:tabs>
          <w:tab w:val="left" w:pos="567"/>
        </w:tabs>
        <w:ind w:left="0"/>
        <w:jc w:val="both"/>
        <w:rPr>
          <w:rFonts w:ascii="Arial" w:hAnsi="Arial" w:cs="Arial"/>
          <w:sz w:val="20"/>
          <w:szCs w:val="20"/>
          <w:lang w:val="es-ES"/>
        </w:rPr>
      </w:pPr>
    </w:p>
    <w:p w:rsidR="00236E18" w:rsidRPr="00352124"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En el marco de las iniciativas de la Oficina Internacional para mejorar constantemente la metodología para el cálculo de los costos unitarios, se revisó dicha metodología en el Presupuesto por Programas de 2016/2017, con el fin de reflejar de forma más precisa el costo de la tramitación del volumen de trabajo relativo al Sistema de Madrid en la Oficina Internacional  :</w:t>
      </w:r>
    </w:p>
    <w:p w:rsidR="00236E18" w:rsidRPr="00352124" w:rsidRDefault="00236E18" w:rsidP="00236E18">
      <w:pPr>
        <w:pStyle w:val="ListParagraph"/>
        <w:widowControl w:val="0"/>
        <w:tabs>
          <w:tab w:val="left" w:pos="567"/>
        </w:tabs>
        <w:ind w:left="0"/>
        <w:jc w:val="both"/>
        <w:rPr>
          <w:rFonts w:ascii="Arial" w:hAnsi="Arial" w:cs="Arial"/>
          <w:sz w:val="20"/>
          <w:szCs w:val="20"/>
          <w:lang w:val="es-ES"/>
        </w:rPr>
      </w:pPr>
    </w:p>
    <w:p w:rsidR="00236E18" w:rsidRPr="00352124" w:rsidRDefault="00236E18" w:rsidP="00236E18">
      <w:pPr>
        <w:pStyle w:val="ListParagraph"/>
        <w:widowControl w:val="0"/>
        <w:numPr>
          <w:ilvl w:val="0"/>
          <w:numId w:val="54"/>
        </w:numPr>
        <w:spacing w:after="200"/>
        <w:ind w:left="1134" w:hanging="567"/>
        <w:jc w:val="both"/>
        <w:rPr>
          <w:rFonts w:ascii="Arial" w:hAnsi="Arial" w:cs="Arial"/>
          <w:sz w:val="20"/>
          <w:szCs w:val="20"/>
          <w:lang w:val="es-ES"/>
        </w:rPr>
      </w:pPr>
      <w:r w:rsidRPr="00352124">
        <w:rPr>
          <w:rFonts w:ascii="Arial" w:hAnsi="Arial" w:cs="Arial"/>
          <w:sz w:val="20"/>
          <w:szCs w:val="20"/>
          <w:lang w:val="es-ES"/>
        </w:rPr>
        <w:t xml:space="preserve">La metodología para calcular los costos directos e indirectos del Sistema de Madrid se ha armonizado con las metodologías para calcular los costos unitarios del PCT y del Sistema de </w:t>
      </w:r>
      <w:r>
        <w:rPr>
          <w:rFonts w:ascii="Arial" w:hAnsi="Arial" w:cs="Arial"/>
          <w:sz w:val="20"/>
          <w:szCs w:val="20"/>
          <w:lang w:val="es-ES"/>
        </w:rPr>
        <w:t>La Haya</w:t>
      </w:r>
      <w:r w:rsidRPr="00352124">
        <w:rPr>
          <w:rFonts w:ascii="Arial" w:hAnsi="Arial" w:cs="Arial"/>
          <w:sz w:val="20"/>
          <w:szCs w:val="20"/>
          <w:lang w:val="es-ES"/>
        </w:rPr>
        <w:t>.</w:t>
      </w:r>
    </w:p>
    <w:p w:rsidR="00236E18" w:rsidRPr="00352124" w:rsidRDefault="00236E18" w:rsidP="00236E18">
      <w:pPr>
        <w:pStyle w:val="ListParagraph"/>
        <w:widowControl w:val="0"/>
        <w:ind w:left="1134" w:hanging="567"/>
        <w:jc w:val="both"/>
        <w:rPr>
          <w:rFonts w:ascii="Arial" w:hAnsi="Arial" w:cs="Arial"/>
          <w:sz w:val="20"/>
          <w:szCs w:val="20"/>
          <w:lang w:val="es-ES"/>
        </w:rPr>
      </w:pPr>
    </w:p>
    <w:p w:rsidR="00236E18" w:rsidRPr="00352124" w:rsidRDefault="00236E18" w:rsidP="00236E18">
      <w:pPr>
        <w:pStyle w:val="ListParagraph"/>
        <w:widowControl w:val="0"/>
        <w:numPr>
          <w:ilvl w:val="0"/>
          <w:numId w:val="54"/>
        </w:numPr>
        <w:spacing w:after="200"/>
        <w:ind w:left="1134" w:hanging="567"/>
        <w:jc w:val="both"/>
        <w:rPr>
          <w:rFonts w:ascii="Arial" w:hAnsi="Arial" w:cs="Arial"/>
          <w:sz w:val="20"/>
          <w:szCs w:val="20"/>
          <w:lang w:val="es-ES"/>
        </w:rPr>
      </w:pPr>
      <w:r w:rsidRPr="00352124">
        <w:rPr>
          <w:rFonts w:ascii="Arial" w:hAnsi="Arial" w:cs="Arial"/>
          <w:sz w:val="20"/>
          <w:szCs w:val="20"/>
          <w:lang w:val="es-ES"/>
        </w:rPr>
        <w:t>Se ha puesto en marcha un sistema de ponderación que permite evaluar mejor el trabajo real necesario para tramitar las seis categorías de documentos, teniendo en cuenta que algunos de esos documentos requieren más mano de obra que otros.</w:t>
      </w:r>
      <w:r w:rsidRPr="00352124">
        <w:rPr>
          <w:rStyle w:val="FootnoteReference"/>
          <w:rFonts w:ascii="Arial" w:hAnsi="Arial" w:cs="Arial"/>
          <w:sz w:val="20"/>
          <w:szCs w:val="20"/>
          <w:lang w:val="es-ES"/>
        </w:rPr>
        <w:footnoteReference w:id="28"/>
      </w:r>
    </w:p>
    <w:p w:rsidR="00236E18" w:rsidRPr="00352124" w:rsidRDefault="00236E18" w:rsidP="00236E18">
      <w:pPr>
        <w:pStyle w:val="ListParagraph"/>
        <w:widowControl w:val="0"/>
        <w:ind w:left="1134" w:hanging="567"/>
        <w:jc w:val="both"/>
        <w:rPr>
          <w:rFonts w:ascii="Arial" w:hAnsi="Arial" w:cs="Arial"/>
          <w:sz w:val="20"/>
          <w:szCs w:val="20"/>
          <w:lang w:val="es-ES"/>
        </w:rPr>
      </w:pPr>
    </w:p>
    <w:p w:rsidR="00236E18" w:rsidRPr="00352124" w:rsidRDefault="00236E18" w:rsidP="00236E18">
      <w:pPr>
        <w:pStyle w:val="ListParagraph"/>
        <w:widowControl w:val="0"/>
        <w:numPr>
          <w:ilvl w:val="0"/>
          <w:numId w:val="54"/>
        </w:numPr>
        <w:spacing w:after="200"/>
        <w:jc w:val="both"/>
        <w:rPr>
          <w:rFonts w:ascii="Arial" w:hAnsi="Arial" w:cs="Arial"/>
          <w:sz w:val="20"/>
          <w:szCs w:val="20"/>
          <w:lang w:val="es-ES"/>
        </w:rPr>
      </w:pPr>
      <w:r w:rsidRPr="00352124">
        <w:rPr>
          <w:rFonts w:ascii="Arial" w:hAnsi="Arial" w:cs="Arial"/>
          <w:sz w:val="20"/>
          <w:szCs w:val="20"/>
          <w:lang w:val="es-ES"/>
        </w:rPr>
        <w:lastRenderedPageBreak/>
        <w:t>Se ha redefinido el primer costo unitario para incluir solo los nuevos registros internacionales  y sus renovaciones (el costo unitario en el Presupuesto por Programas de 2014/2015 también incluía las designaciones posteriores).  Se decidió retirar las designaciones posteriores del cálculo del costo unitario con el fin de dar más relevancia a los productos esenciales del Sistema de Madrid, a saber, los registros internacionales y sus renovaciones.  Todas las demás transacciones del Sistema de Madrid  (las designaciones posteriores, los cambios, las decisiones y correcciones) se pueden considerar secundarios frente a esas dos transacciones esenciales.  Además, no hay nada que justifique la inclusión de una de esas transacciones secundarias como componentes de los costos unitarios en detrimento de las demás.</w:t>
      </w:r>
    </w:p>
    <w:p w:rsidR="00236E18" w:rsidRPr="00352124" w:rsidRDefault="00236E18" w:rsidP="00236E18">
      <w:pPr>
        <w:pStyle w:val="ListParagraph"/>
        <w:widowControl w:val="0"/>
        <w:ind w:left="1134" w:hanging="567"/>
        <w:rPr>
          <w:rFonts w:ascii="Arial" w:hAnsi="Arial" w:cs="Arial"/>
          <w:sz w:val="20"/>
          <w:szCs w:val="20"/>
          <w:lang w:val="es-ES"/>
        </w:rPr>
      </w:pPr>
    </w:p>
    <w:p w:rsidR="00236E18" w:rsidRPr="00352124" w:rsidRDefault="00236E18" w:rsidP="00236E18">
      <w:pPr>
        <w:pStyle w:val="ListParagraph"/>
        <w:widowControl w:val="0"/>
        <w:numPr>
          <w:ilvl w:val="0"/>
          <w:numId w:val="54"/>
        </w:numPr>
        <w:ind w:left="714" w:hanging="357"/>
        <w:jc w:val="both"/>
        <w:rPr>
          <w:rFonts w:ascii="Arial" w:hAnsi="Arial" w:cs="Arial"/>
          <w:sz w:val="20"/>
          <w:szCs w:val="20"/>
          <w:lang w:val="es-ES"/>
        </w:rPr>
      </w:pPr>
      <w:r w:rsidRPr="00352124">
        <w:rPr>
          <w:rFonts w:ascii="Arial" w:hAnsi="Arial" w:cs="Arial"/>
          <w:sz w:val="20"/>
          <w:szCs w:val="20"/>
          <w:lang w:val="es-ES"/>
        </w:rPr>
        <w:t>El segundo costo unitario se basa en el número de documentos inscritos en el registro más que en el número de inscripciones realizadas en razón de los diferentes tipos de actividades necesarias para tramitar los diversos documentos.</w:t>
      </w:r>
    </w:p>
    <w:p w:rsidR="00236E18" w:rsidRPr="00352124" w:rsidRDefault="00236E18" w:rsidP="00236E18">
      <w:pPr>
        <w:widowControl w:val="0"/>
        <w:jc w:val="both"/>
        <w:rPr>
          <w:sz w:val="20"/>
        </w:rPr>
      </w:pPr>
    </w:p>
    <w:p w:rsidR="00236E18" w:rsidRPr="00352124"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A efectos de comparación, en los gráficos que figuran a continuación se muestra la evolución de dos tipos de costos unitarios de 2008 a 2014 (Metodología antigua) y de 2012 a 2014 (Metodología nueva), con inclusión de un desglose de la contribución de los costos directos e indirectos.</w:t>
      </w:r>
    </w:p>
    <w:p w:rsidR="00236E18" w:rsidRPr="00352124" w:rsidRDefault="00236E18" w:rsidP="00236E18">
      <w:pPr>
        <w:widowControl w:val="0"/>
        <w:jc w:val="both"/>
        <w:rPr>
          <w:sz w:val="20"/>
        </w:rPr>
      </w:pPr>
    </w:p>
    <w:p w:rsidR="00236E18" w:rsidRPr="00352124" w:rsidRDefault="00236E18" w:rsidP="00236E18">
      <w:pPr>
        <w:pStyle w:val="ListParagraph"/>
        <w:widowControl w:val="0"/>
        <w:tabs>
          <w:tab w:val="left" w:pos="1701"/>
        </w:tabs>
        <w:ind w:left="567"/>
        <w:jc w:val="both"/>
        <w:rPr>
          <w:rFonts w:ascii="Arial" w:hAnsi="Arial" w:cs="Arial"/>
          <w:i/>
          <w:sz w:val="20"/>
          <w:szCs w:val="20"/>
          <w:lang w:val="es-ES"/>
        </w:rPr>
      </w:pPr>
      <w:r w:rsidRPr="00352124">
        <w:rPr>
          <w:rFonts w:ascii="Arial" w:hAnsi="Arial" w:cs="Arial"/>
          <w:i/>
          <w:sz w:val="20"/>
          <w:szCs w:val="20"/>
          <w:lang w:val="es-ES"/>
        </w:rPr>
        <w:t>Costo unitario por registro internacional nuevo o renovado</w:t>
      </w:r>
    </w:p>
    <w:p w:rsidR="00236E18" w:rsidRPr="00352124" w:rsidRDefault="00236E18" w:rsidP="00236E18">
      <w:pPr>
        <w:widowControl w:val="0"/>
        <w:jc w:val="both"/>
        <w:rPr>
          <w:sz w:val="20"/>
        </w:rPr>
      </w:pPr>
    </w:p>
    <w:p w:rsidR="00236E18" w:rsidRPr="00352124"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Los nuevos registros internacionales consisten en solicitudes que se registran en un año dado y los registros internacionales renovados son los registros existentes que se renuevan en un año dado.  En conjunto, estos dos tipos de transacciones constituyen la actividad central de la Oficina Internacional.</w:t>
      </w:r>
    </w:p>
    <w:p w:rsidR="00236E18" w:rsidRPr="00352124" w:rsidRDefault="00236E18" w:rsidP="00236E18">
      <w:pPr>
        <w:widowControl w:val="0"/>
        <w:jc w:val="both"/>
        <w:rPr>
          <w:sz w:val="20"/>
        </w:rPr>
      </w:pPr>
    </w:p>
    <w:p w:rsidR="00236E18" w:rsidRPr="00352124"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En vista de que la tramitación de estos dos tipos de transacciones no exige la misma cantidad de recursos, cada uno se pondera de forma diferente</w:t>
      </w:r>
      <w:r w:rsidRPr="00352124">
        <w:rPr>
          <w:rStyle w:val="FootnoteReference"/>
          <w:rFonts w:ascii="Arial" w:hAnsi="Arial" w:cs="Arial"/>
          <w:sz w:val="20"/>
          <w:szCs w:val="20"/>
          <w:lang w:val="es-ES"/>
        </w:rPr>
        <w:t xml:space="preserve"> </w:t>
      </w:r>
      <w:r w:rsidRPr="00352124">
        <w:rPr>
          <w:rStyle w:val="FootnoteReference"/>
          <w:rFonts w:ascii="Arial" w:hAnsi="Arial" w:cs="Arial"/>
          <w:sz w:val="20"/>
          <w:szCs w:val="20"/>
          <w:lang w:val="es-ES"/>
        </w:rPr>
        <w:footnoteReference w:id="29"/>
      </w:r>
      <w:r w:rsidRPr="00352124">
        <w:rPr>
          <w:rFonts w:ascii="Arial" w:hAnsi="Arial" w:cs="Arial"/>
          <w:sz w:val="20"/>
          <w:szCs w:val="20"/>
          <w:lang w:val="es-ES"/>
        </w:rPr>
        <w:t xml:space="preserve">.  Los costos unitarios se calculan dividiendo el costo total de producción  por el número de nuevos o renovados registros internacionales.  </w:t>
      </w:r>
    </w:p>
    <w:p w:rsidR="00236E18" w:rsidRPr="00352124" w:rsidRDefault="00236E18" w:rsidP="00236E18">
      <w:pPr>
        <w:widowControl w:val="0"/>
      </w:pPr>
    </w:p>
    <w:tbl>
      <w:tblPr>
        <w:tblW w:w="9464" w:type="dxa"/>
        <w:tblLayout w:type="fixed"/>
        <w:tblLook w:val="04A0" w:firstRow="1" w:lastRow="0" w:firstColumn="1" w:lastColumn="0" w:noHBand="0" w:noVBand="1"/>
      </w:tblPr>
      <w:tblGrid>
        <w:gridCol w:w="4503"/>
        <w:gridCol w:w="4961"/>
      </w:tblGrid>
      <w:tr w:rsidR="00236E18" w:rsidRPr="00352124" w:rsidTr="00294272">
        <w:trPr>
          <w:cantSplit/>
        </w:trPr>
        <w:tc>
          <w:tcPr>
            <w:tcW w:w="4503" w:type="dxa"/>
          </w:tcPr>
          <w:p w:rsidR="00236E18" w:rsidRPr="00352124" w:rsidRDefault="00236E18" w:rsidP="00294272">
            <w:pPr>
              <w:keepNext/>
              <w:widowControl w:val="0"/>
              <w:jc w:val="center"/>
            </w:pPr>
            <w:r w:rsidRPr="00352124">
              <w:t>Metodología antigua</w:t>
            </w:r>
          </w:p>
        </w:tc>
        <w:tc>
          <w:tcPr>
            <w:tcW w:w="4961" w:type="dxa"/>
          </w:tcPr>
          <w:p w:rsidR="00236E18" w:rsidRPr="00352124" w:rsidRDefault="00236E18" w:rsidP="00294272">
            <w:pPr>
              <w:keepNext/>
              <w:widowControl w:val="0"/>
              <w:jc w:val="center"/>
            </w:pPr>
            <w:r w:rsidRPr="00352124">
              <w:t>Metodología nueva</w:t>
            </w:r>
          </w:p>
        </w:tc>
      </w:tr>
      <w:tr w:rsidR="00236E18" w:rsidRPr="00352124" w:rsidTr="00294272">
        <w:trPr>
          <w:cantSplit/>
          <w:trHeight w:val="3125"/>
        </w:trPr>
        <w:tc>
          <w:tcPr>
            <w:tcW w:w="4503" w:type="dxa"/>
          </w:tcPr>
          <w:p w:rsidR="00236E18" w:rsidRPr="00352124" w:rsidRDefault="00236E18" w:rsidP="00294272">
            <w:pPr>
              <w:widowControl w:val="0"/>
              <w:jc w:val="center"/>
            </w:pPr>
            <w:r>
              <w:rPr>
                <w:noProof/>
                <w:lang w:val="en-US" w:eastAsia="en-US"/>
              </w:rPr>
              <w:drawing>
                <wp:inline distT="0" distB="0" distL="0" distR="0" wp14:anchorId="14E5200F" wp14:editId="350BA49C">
                  <wp:extent cx="2679405" cy="1881963"/>
                  <wp:effectExtent l="0" t="0" r="6985" b="4445"/>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679310" cy="1881896"/>
                          </a:xfrm>
                          <a:prstGeom prst="rect">
                            <a:avLst/>
                          </a:prstGeom>
                          <a:noFill/>
                          <a:ln>
                            <a:noFill/>
                          </a:ln>
                        </pic:spPr>
                      </pic:pic>
                    </a:graphicData>
                  </a:graphic>
                </wp:inline>
              </w:drawing>
            </w:r>
          </w:p>
        </w:tc>
        <w:tc>
          <w:tcPr>
            <w:tcW w:w="4961" w:type="dxa"/>
          </w:tcPr>
          <w:p w:rsidR="00236E18" w:rsidRPr="00352124" w:rsidRDefault="00236E18" w:rsidP="00294272">
            <w:pPr>
              <w:widowControl w:val="0"/>
              <w:jc w:val="center"/>
            </w:pPr>
            <w:r>
              <w:rPr>
                <w:noProof/>
                <w:lang w:val="en-US" w:eastAsia="en-US"/>
              </w:rPr>
              <w:drawing>
                <wp:inline distT="0" distB="0" distL="0" distR="0" wp14:anchorId="70208026" wp14:editId="29E13215">
                  <wp:extent cx="2837423" cy="1935126"/>
                  <wp:effectExtent l="0" t="0" r="1270" b="8255"/>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848914" cy="1942963"/>
                          </a:xfrm>
                          <a:prstGeom prst="rect">
                            <a:avLst/>
                          </a:prstGeom>
                          <a:noFill/>
                          <a:ln>
                            <a:noFill/>
                          </a:ln>
                        </pic:spPr>
                      </pic:pic>
                    </a:graphicData>
                  </a:graphic>
                </wp:inline>
              </w:drawing>
            </w:r>
          </w:p>
        </w:tc>
      </w:tr>
    </w:tbl>
    <w:p w:rsidR="00236E18" w:rsidRPr="00352124" w:rsidRDefault="00236E18" w:rsidP="00236E18">
      <w:pPr>
        <w:widowControl w:val="0"/>
      </w:pPr>
    </w:p>
    <w:p w:rsidR="00236E18" w:rsidRPr="00352124" w:rsidRDefault="00236E18" w:rsidP="00236E18">
      <w:pPr>
        <w:pStyle w:val="ListParagraph"/>
        <w:widowControl w:val="0"/>
        <w:numPr>
          <w:ilvl w:val="0"/>
          <w:numId w:val="57"/>
        </w:numPr>
        <w:ind w:left="851" w:hanging="284"/>
        <w:jc w:val="both"/>
        <w:rPr>
          <w:rFonts w:ascii="Arial" w:hAnsi="Arial" w:cs="Arial"/>
          <w:sz w:val="20"/>
          <w:szCs w:val="20"/>
          <w:lang w:val="es-ES"/>
        </w:rPr>
      </w:pPr>
      <w:r w:rsidRPr="00352124">
        <w:rPr>
          <w:rFonts w:ascii="Arial" w:hAnsi="Arial" w:cs="Arial"/>
          <w:sz w:val="20"/>
          <w:szCs w:val="20"/>
          <w:lang w:val="es-ES"/>
        </w:rPr>
        <w:t>El costo medio de la tramitación de un registro internacional nuevo o renovado ascendió a</w:t>
      </w:r>
      <w:r>
        <w:rPr>
          <w:rFonts w:ascii="Arial" w:hAnsi="Arial" w:cs="Arial"/>
          <w:sz w:val="20"/>
          <w:szCs w:val="20"/>
          <w:lang w:val="es-ES"/>
        </w:rPr>
        <w:t> </w:t>
      </w:r>
      <w:r w:rsidRPr="00352124">
        <w:rPr>
          <w:rFonts w:ascii="Arial" w:hAnsi="Arial" w:cs="Arial"/>
          <w:sz w:val="20"/>
          <w:szCs w:val="20"/>
          <w:lang w:val="es-ES"/>
        </w:rPr>
        <w:t>837 francos suizos en 2014.  Esto representa un aumento del 2,6% con respecto a 2013.  Ese aumento se debió esencialmente a que el costo de tramitación se mantuvo relativamente estable, conjuntamente con un descenso del 4,5% del número de solicitudes internacionales registradas.</w:t>
      </w:r>
    </w:p>
    <w:p w:rsidR="00236E18" w:rsidRPr="00352124" w:rsidRDefault="00236E18" w:rsidP="00236E18">
      <w:pPr>
        <w:widowControl w:val="0"/>
        <w:jc w:val="center"/>
        <w:rPr>
          <w:sz w:val="20"/>
        </w:rPr>
      </w:pPr>
    </w:p>
    <w:p w:rsidR="00236E18" w:rsidRPr="00352124" w:rsidRDefault="00236E18" w:rsidP="00236E18">
      <w:pPr>
        <w:pStyle w:val="ListParagraph"/>
        <w:keepNext/>
        <w:keepLines/>
        <w:widowControl w:val="0"/>
        <w:tabs>
          <w:tab w:val="left" w:pos="1701"/>
        </w:tabs>
        <w:ind w:left="567"/>
        <w:jc w:val="both"/>
        <w:rPr>
          <w:rFonts w:ascii="Arial" w:hAnsi="Arial" w:cs="Arial"/>
          <w:i/>
          <w:sz w:val="20"/>
          <w:szCs w:val="20"/>
          <w:lang w:val="es-ES"/>
        </w:rPr>
      </w:pPr>
      <w:r w:rsidRPr="00352124">
        <w:rPr>
          <w:rFonts w:ascii="Arial" w:hAnsi="Arial" w:cs="Arial"/>
          <w:i/>
          <w:sz w:val="20"/>
          <w:szCs w:val="20"/>
          <w:lang w:val="es-ES"/>
        </w:rPr>
        <w:lastRenderedPageBreak/>
        <w:t>Costo unitario por documento inscrito en el registro</w:t>
      </w:r>
    </w:p>
    <w:p w:rsidR="00236E18" w:rsidRPr="00352124" w:rsidRDefault="00236E18" w:rsidP="00236E18">
      <w:pPr>
        <w:keepNext/>
        <w:keepLines/>
        <w:widowControl w:val="0"/>
        <w:jc w:val="both"/>
        <w:rPr>
          <w:sz w:val="20"/>
        </w:rPr>
      </w:pPr>
    </w:p>
    <w:p w:rsidR="00236E18" w:rsidRPr="00352124" w:rsidRDefault="00236E18" w:rsidP="00236E18">
      <w:pPr>
        <w:pStyle w:val="ListParagraph"/>
        <w:keepNext/>
        <w:keepLines/>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 xml:space="preserve">Los documentos inscritos en el registro corresponden al volumen total de trabajo (véase el “volumen total de trabajo” arriba). </w:t>
      </w:r>
    </w:p>
    <w:p w:rsidR="00236E18" w:rsidRPr="00352124" w:rsidRDefault="00236E18" w:rsidP="00236E18">
      <w:pPr>
        <w:keepNext/>
        <w:keepLines/>
        <w:widowControl w:val="0"/>
        <w:jc w:val="center"/>
      </w:pPr>
    </w:p>
    <w:tbl>
      <w:tblPr>
        <w:tblW w:w="10173" w:type="dxa"/>
        <w:tblLayout w:type="fixed"/>
        <w:tblLook w:val="04A0" w:firstRow="1" w:lastRow="0" w:firstColumn="1" w:lastColumn="0" w:noHBand="0" w:noVBand="1"/>
      </w:tblPr>
      <w:tblGrid>
        <w:gridCol w:w="5177"/>
        <w:gridCol w:w="4996"/>
      </w:tblGrid>
      <w:tr w:rsidR="00236E18" w:rsidRPr="00352124" w:rsidTr="00294272">
        <w:trPr>
          <w:cantSplit/>
          <w:trHeight w:val="273"/>
        </w:trPr>
        <w:tc>
          <w:tcPr>
            <w:tcW w:w="5177" w:type="dxa"/>
          </w:tcPr>
          <w:p w:rsidR="00236E18" w:rsidRPr="00352124" w:rsidRDefault="00236E18" w:rsidP="00294272">
            <w:pPr>
              <w:keepNext/>
              <w:keepLines/>
              <w:widowControl w:val="0"/>
              <w:jc w:val="center"/>
            </w:pPr>
            <w:r w:rsidRPr="00352124">
              <w:t>Metodología antigua</w:t>
            </w:r>
          </w:p>
        </w:tc>
        <w:tc>
          <w:tcPr>
            <w:tcW w:w="4996" w:type="dxa"/>
          </w:tcPr>
          <w:p w:rsidR="00236E18" w:rsidRPr="00352124" w:rsidRDefault="00236E18" w:rsidP="00294272">
            <w:pPr>
              <w:keepNext/>
              <w:keepLines/>
              <w:widowControl w:val="0"/>
              <w:jc w:val="center"/>
            </w:pPr>
            <w:r w:rsidRPr="00352124">
              <w:t>Metodología nueva</w:t>
            </w:r>
          </w:p>
        </w:tc>
      </w:tr>
      <w:tr w:rsidR="00236E18" w:rsidRPr="00352124" w:rsidTr="00294272">
        <w:trPr>
          <w:cantSplit/>
          <w:trHeight w:val="3013"/>
        </w:trPr>
        <w:tc>
          <w:tcPr>
            <w:tcW w:w="5177" w:type="dxa"/>
          </w:tcPr>
          <w:p w:rsidR="00236E18" w:rsidRPr="00352124" w:rsidRDefault="00236E18" w:rsidP="00294272">
            <w:pPr>
              <w:keepNext/>
              <w:keepLines/>
              <w:widowControl w:val="0"/>
              <w:jc w:val="center"/>
            </w:pPr>
            <w:r>
              <w:rPr>
                <w:noProof/>
                <w:lang w:val="en-US" w:eastAsia="en-US"/>
              </w:rPr>
              <w:drawing>
                <wp:inline distT="0" distB="0" distL="0" distR="0" wp14:anchorId="52B4F4BB" wp14:editId="031D8C2B">
                  <wp:extent cx="3147060" cy="1828800"/>
                  <wp:effectExtent l="0" t="0" r="0" b="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147060" cy="1828800"/>
                          </a:xfrm>
                          <a:prstGeom prst="rect">
                            <a:avLst/>
                          </a:prstGeom>
                          <a:noFill/>
                          <a:ln>
                            <a:noFill/>
                          </a:ln>
                        </pic:spPr>
                      </pic:pic>
                    </a:graphicData>
                  </a:graphic>
                </wp:inline>
              </w:drawing>
            </w:r>
          </w:p>
        </w:tc>
        <w:tc>
          <w:tcPr>
            <w:tcW w:w="4996" w:type="dxa"/>
          </w:tcPr>
          <w:p w:rsidR="00236E18" w:rsidRPr="00352124" w:rsidRDefault="00236E18" w:rsidP="00294272">
            <w:pPr>
              <w:keepNext/>
              <w:keepLines/>
              <w:widowControl w:val="0"/>
              <w:jc w:val="center"/>
            </w:pPr>
            <w:r>
              <w:rPr>
                <w:noProof/>
                <w:lang w:val="en-US" w:eastAsia="en-US"/>
              </w:rPr>
              <w:drawing>
                <wp:inline distT="0" distB="0" distL="0" distR="0" wp14:anchorId="7FD28516" wp14:editId="4A48AC2E">
                  <wp:extent cx="3030279" cy="1828800"/>
                  <wp:effectExtent l="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3030220" cy="1828764"/>
                          </a:xfrm>
                          <a:prstGeom prst="rect">
                            <a:avLst/>
                          </a:prstGeom>
                          <a:noFill/>
                          <a:ln>
                            <a:noFill/>
                          </a:ln>
                        </pic:spPr>
                      </pic:pic>
                    </a:graphicData>
                  </a:graphic>
                </wp:inline>
              </w:drawing>
            </w:r>
          </w:p>
        </w:tc>
      </w:tr>
    </w:tbl>
    <w:p w:rsidR="00236E18" w:rsidRPr="00352124" w:rsidRDefault="00236E18" w:rsidP="00236E18">
      <w:pPr>
        <w:keepNext/>
        <w:keepLines/>
        <w:widowControl w:val="0"/>
        <w:jc w:val="center"/>
      </w:pPr>
    </w:p>
    <w:p w:rsidR="00236E18" w:rsidRPr="00352124" w:rsidRDefault="00236E18" w:rsidP="00236E18">
      <w:pPr>
        <w:pStyle w:val="ListParagraph"/>
        <w:keepNext/>
        <w:keepLines/>
        <w:widowControl w:val="0"/>
        <w:numPr>
          <w:ilvl w:val="0"/>
          <w:numId w:val="57"/>
        </w:numPr>
        <w:jc w:val="both"/>
        <w:rPr>
          <w:rFonts w:ascii="Arial" w:hAnsi="Arial" w:cs="Arial"/>
          <w:sz w:val="20"/>
          <w:szCs w:val="20"/>
          <w:lang w:val="es-ES"/>
        </w:rPr>
      </w:pPr>
      <w:r w:rsidRPr="00352124">
        <w:rPr>
          <w:rFonts w:ascii="Arial" w:hAnsi="Arial" w:cs="Arial"/>
          <w:sz w:val="20"/>
          <w:szCs w:val="20"/>
          <w:lang w:val="es-ES"/>
        </w:rPr>
        <w:t xml:space="preserve">El costo medio de la inscripción de un documento en el registro aumentó ligeramente de 320 francos suizos en 2012 a 322 francos suizos en 2014. </w:t>
      </w:r>
    </w:p>
    <w:p w:rsidR="00236E18" w:rsidRPr="00352124" w:rsidRDefault="00236E18" w:rsidP="00236E18">
      <w:pPr>
        <w:pStyle w:val="ListParagraph"/>
        <w:widowControl w:val="0"/>
        <w:ind w:left="1417"/>
        <w:jc w:val="both"/>
        <w:rPr>
          <w:rFonts w:ascii="Arial" w:hAnsi="Arial" w:cs="Arial"/>
          <w:sz w:val="20"/>
          <w:szCs w:val="20"/>
          <w:lang w:val="es-ES"/>
        </w:rPr>
      </w:pPr>
    </w:p>
    <w:p w:rsidR="00236E18" w:rsidRPr="00352124" w:rsidRDefault="00236E18" w:rsidP="00236E18">
      <w:pPr>
        <w:widowControl w:val="0"/>
        <w:jc w:val="both"/>
        <w:rPr>
          <w:sz w:val="20"/>
        </w:rPr>
      </w:pPr>
    </w:p>
    <w:p w:rsidR="00236E18" w:rsidRPr="00352124" w:rsidRDefault="00236E18" w:rsidP="00236E18">
      <w:pPr>
        <w:pStyle w:val="ListParagraph"/>
        <w:widowControl w:val="0"/>
        <w:numPr>
          <w:ilvl w:val="0"/>
          <w:numId w:val="52"/>
        </w:numPr>
        <w:ind w:left="567" w:hanging="567"/>
        <w:jc w:val="both"/>
        <w:rPr>
          <w:rFonts w:ascii="Arial" w:hAnsi="Arial" w:cs="Arial"/>
          <w:b/>
          <w:sz w:val="20"/>
          <w:szCs w:val="20"/>
          <w:lang w:val="es-ES"/>
        </w:rPr>
      </w:pPr>
      <w:r w:rsidRPr="00352124">
        <w:rPr>
          <w:rFonts w:ascii="Arial" w:hAnsi="Arial" w:cs="Arial"/>
          <w:b/>
          <w:sz w:val="20"/>
          <w:szCs w:val="20"/>
          <w:lang w:val="es-ES"/>
        </w:rPr>
        <w:t xml:space="preserve">Productividad </w:t>
      </w:r>
      <w:r>
        <w:rPr>
          <w:rFonts w:ascii="Arial" w:hAnsi="Arial" w:cs="Arial"/>
          <w:b/>
          <w:sz w:val="20"/>
          <w:szCs w:val="20"/>
          <w:lang w:val="es-ES"/>
        </w:rPr>
        <w:t>de</w:t>
      </w:r>
      <w:r w:rsidRPr="00352124">
        <w:rPr>
          <w:rFonts w:ascii="Arial" w:hAnsi="Arial" w:cs="Arial"/>
          <w:b/>
          <w:sz w:val="20"/>
          <w:szCs w:val="20"/>
          <w:lang w:val="es-ES"/>
        </w:rPr>
        <w:t>l examen</w:t>
      </w:r>
    </w:p>
    <w:p w:rsidR="00236E18" w:rsidRPr="00352124" w:rsidRDefault="00236E18" w:rsidP="00236E18">
      <w:pPr>
        <w:widowControl w:val="0"/>
        <w:jc w:val="both"/>
        <w:rPr>
          <w:sz w:val="20"/>
        </w:rPr>
      </w:pPr>
    </w:p>
    <w:p w:rsidR="00236E18" w:rsidRPr="00352124"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 xml:space="preserve">La productividad del proceso de examen se puede definir como el número de registros internacionales nuevos o renovados tramitados por los examinadores, dividido por el número de empleados que participaron en el examen.  En el número de empleados se cuentan los becarios, los pasantes y el personal externo. </w:t>
      </w:r>
    </w:p>
    <w:p w:rsidR="00236E18" w:rsidRPr="00352124" w:rsidRDefault="00236E18" w:rsidP="00236E18">
      <w:pPr>
        <w:widowControl w:val="0"/>
        <w:jc w:val="center"/>
      </w:pPr>
      <w:r w:rsidRPr="00FE1137">
        <w:rPr>
          <w:noProof/>
          <w:lang w:val="en-US" w:eastAsia="en-US"/>
        </w:rPr>
        <w:drawing>
          <wp:inline distT="0" distB="0" distL="0" distR="0" wp14:anchorId="194B9020" wp14:editId="02E4E1FD">
            <wp:extent cx="5720317" cy="2869011"/>
            <wp:effectExtent l="0" t="0" r="0" b="7620"/>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738825" cy="2878293"/>
                    </a:xfrm>
                    <a:prstGeom prst="rect">
                      <a:avLst/>
                    </a:prstGeom>
                    <a:noFill/>
                    <a:ln>
                      <a:noFill/>
                    </a:ln>
                  </pic:spPr>
                </pic:pic>
              </a:graphicData>
            </a:graphic>
          </wp:inline>
        </w:drawing>
      </w:r>
    </w:p>
    <w:p w:rsidR="00236E18" w:rsidRPr="00352124" w:rsidRDefault="00236E18" w:rsidP="00236E18">
      <w:pPr>
        <w:pStyle w:val="ListParagraph"/>
        <w:widowControl w:val="0"/>
        <w:numPr>
          <w:ilvl w:val="0"/>
          <w:numId w:val="57"/>
        </w:numPr>
        <w:ind w:left="1134" w:hanging="567"/>
        <w:jc w:val="both"/>
        <w:rPr>
          <w:rFonts w:ascii="Arial" w:hAnsi="Arial" w:cs="Arial"/>
          <w:sz w:val="20"/>
          <w:szCs w:val="20"/>
          <w:lang w:val="es-ES"/>
        </w:rPr>
      </w:pPr>
      <w:r w:rsidRPr="00352124">
        <w:rPr>
          <w:rFonts w:ascii="Arial" w:hAnsi="Arial" w:cs="Arial"/>
          <w:sz w:val="20"/>
          <w:szCs w:val="20"/>
          <w:lang w:val="es-ES"/>
        </w:rPr>
        <w:t>La productividad del proceso de examen se mantuvo relativamente estable en 2014 frente a la registrada en 2013.</w:t>
      </w:r>
    </w:p>
    <w:p w:rsidR="00236E18" w:rsidRPr="00352124" w:rsidRDefault="00236E18" w:rsidP="00236E18">
      <w:pPr>
        <w:pStyle w:val="ListParagraph"/>
        <w:widowControl w:val="0"/>
        <w:jc w:val="both"/>
        <w:rPr>
          <w:rFonts w:ascii="Arial" w:hAnsi="Arial" w:cs="Arial"/>
          <w:sz w:val="20"/>
          <w:szCs w:val="20"/>
          <w:lang w:val="es-ES"/>
        </w:rPr>
      </w:pPr>
    </w:p>
    <w:p w:rsidR="00236E18" w:rsidRPr="00352124" w:rsidRDefault="00236E18" w:rsidP="00236E18">
      <w:pPr>
        <w:pStyle w:val="ListParagraph"/>
        <w:keepNext/>
        <w:keepLines/>
        <w:widowControl w:val="0"/>
        <w:numPr>
          <w:ilvl w:val="0"/>
          <w:numId w:val="52"/>
        </w:numPr>
        <w:ind w:left="567" w:hanging="567"/>
        <w:jc w:val="both"/>
        <w:rPr>
          <w:rFonts w:ascii="Arial" w:hAnsi="Arial" w:cs="Arial"/>
          <w:b/>
          <w:sz w:val="20"/>
          <w:szCs w:val="20"/>
          <w:lang w:val="es-ES"/>
        </w:rPr>
      </w:pPr>
      <w:r w:rsidRPr="00352124">
        <w:rPr>
          <w:rFonts w:ascii="Arial" w:hAnsi="Arial" w:cs="Arial"/>
          <w:b/>
          <w:sz w:val="20"/>
          <w:szCs w:val="20"/>
          <w:lang w:val="es-ES"/>
        </w:rPr>
        <w:lastRenderedPageBreak/>
        <w:t>Personal</w:t>
      </w:r>
    </w:p>
    <w:p w:rsidR="00236E18" w:rsidRPr="00352124" w:rsidRDefault="00236E18" w:rsidP="00236E18">
      <w:pPr>
        <w:keepNext/>
        <w:keepLines/>
        <w:widowControl w:val="0"/>
        <w:jc w:val="both"/>
        <w:rPr>
          <w:b/>
          <w:sz w:val="20"/>
        </w:rPr>
      </w:pPr>
    </w:p>
    <w:p w:rsidR="00236E18" w:rsidRDefault="00236E18" w:rsidP="00236E18">
      <w:pPr>
        <w:pStyle w:val="ListParagraph"/>
        <w:keepNext/>
        <w:keepLines/>
        <w:widowControl w:val="0"/>
        <w:ind w:left="0"/>
        <w:jc w:val="center"/>
        <w:rPr>
          <w:rFonts w:ascii="Arial" w:hAnsi="Arial" w:cs="Arial"/>
          <w:sz w:val="20"/>
          <w:szCs w:val="20"/>
          <w:lang w:val="es-ES"/>
        </w:rPr>
      </w:pPr>
      <w:r w:rsidRPr="00352124">
        <w:rPr>
          <w:rFonts w:ascii="Arial" w:hAnsi="Arial" w:cs="Arial"/>
          <w:noProof/>
          <w:sz w:val="20"/>
          <w:szCs w:val="20"/>
          <w:lang w:eastAsia="en-US"/>
        </w:rPr>
        <w:drawing>
          <wp:inline distT="0" distB="0" distL="0" distR="0" wp14:anchorId="49E3B708" wp14:editId="3FF18F63">
            <wp:extent cx="5103628" cy="2471674"/>
            <wp:effectExtent l="0" t="0" r="1905" b="5080"/>
            <wp:docPr id="80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118084" cy="2478675"/>
                    </a:xfrm>
                    <a:prstGeom prst="rect">
                      <a:avLst/>
                    </a:prstGeom>
                    <a:noFill/>
                    <a:ln>
                      <a:noFill/>
                    </a:ln>
                  </pic:spPr>
                </pic:pic>
              </a:graphicData>
            </a:graphic>
          </wp:inline>
        </w:drawing>
      </w:r>
    </w:p>
    <w:p w:rsidR="00236E18" w:rsidRPr="00352124" w:rsidRDefault="00236E18" w:rsidP="00236E18">
      <w:pPr>
        <w:pStyle w:val="ListParagraph"/>
        <w:keepNext/>
        <w:keepLines/>
        <w:widowControl w:val="0"/>
        <w:ind w:left="0"/>
        <w:jc w:val="center"/>
        <w:rPr>
          <w:rFonts w:ascii="Arial" w:hAnsi="Arial" w:cs="Arial"/>
          <w:sz w:val="20"/>
          <w:szCs w:val="20"/>
          <w:lang w:val="es-ES"/>
        </w:rPr>
      </w:pPr>
    </w:p>
    <w:p w:rsidR="00236E18" w:rsidRPr="00352124" w:rsidRDefault="00236E18" w:rsidP="00236E18">
      <w:pPr>
        <w:pStyle w:val="ListParagraph"/>
        <w:keepNext/>
        <w:keepLines/>
        <w:widowControl w:val="0"/>
        <w:numPr>
          <w:ilvl w:val="0"/>
          <w:numId w:val="57"/>
        </w:numPr>
        <w:spacing w:after="120"/>
        <w:ind w:left="993" w:hanging="426"/>
        <w:contextualSpacing w:val="0"/>
        <w:jc w:val="both"/>
        <w:rPr>
          <w:rFonts w:ascii="Arial" w:hAnsi="Arial" w:cs="Arial"/>
          <w:sz w:val="20"/>
          <w:szCs w:val="20"/>
          <w:lang w:val="es-ES"/>
        </w:rPr>
      </w:pPr>
      <w:r w:rsidRPr="00352124">
        <w:rPr>
          <w:rFonts w:ascii="Arial" w:hAnsi="Arial" w:cs="Arial"/>
          <w:sz w:val="20"/>
          <w:szCs w:val="20"/>
          <w:lang w:val="es-ES"/>
        </w:rPr>
        <w:t>El número de empleados se ha mantenido relativamente estable desde 2010, aunque el número de recursos flexibles aumentó de 1 persona en 2012 a 12 en 2014.</w:t>
      </w:r>
    </w:p>
    <w:p w:rsidR="00236E18" w:rsidRPr="00352124" w:rsidRDefault="00236E18" w:rsidP="00236E18">
      <w:pPr>
        <w:pStyle w:val="ListParagraph"/>
        <w:widowControl w:val="0"/>
        <w:numPr>
          <w:ilvl w:val="0"/>
          <w:numId w:val="57"/>
        </w:numPr>
        <w:spacing w:after="120"/>
        <w:ind w:left="993" w:hanging="426"/>
        <w:contextualSpacing w:val="0"/>
        <w:jc w:val="both"/>
        <w:rPr>
          <w:rFonts w:ascii="Arial" w:hAnsi="Arial" w:cs="Arial"/>
          <w:sz w:val="20"/>
          <w:szCs w:val="20"/>
          <w:lang w:val="es-ES"/>
        </w:rPr>
      </w:pPr>
      <w:r w:rsidRPr="00352124">
        <w:rPr>
          <w:rFonts w:ascii="Arial" w:hAnsi="Arial" w:cs="Arial"/>
          <w:sz w:val="20"/>
          <w:szCs w:val="20"/>
          <w:lang w:val="es-ES"/>
        </w:rPr>
        <w:t>Los empleados que proceden de empresas de contratación que no trabajan en los locales de la OMPI no se incluyen en este indicador.</w:t>
      </w:r>
    </w:p>
    <w:p w:rsidR="00236E18" w:rsidRPr="00352124" w:rsidRDefault="00236E18" w:rsidP="00236E18">
      <w:pPr>
        <w:widowControl w:val="0"/>
        <w:ind w:left="567" w:hanging="567"/>
        <w:rPr>
          <w:b/>
          <w:sz w:val="20"/>
          <w:u w:val="single"/>
        </w:rPr>
      </w:pPr>
    </w:p>
    <w:p w:rsidR="00236E18" w:rsidRPr="00352124" w:rsidRDefault="00236E18" w:rsidP="00236E18">
      <w:pPr>
        <w:pStyle w:val="ListParagraph"/>
        <w:widowControl w:val="0"/>
        <w:numPr>
          <w:ilvl w:val="0"/>
          <w:numId w:val="52"/>
        </w:numPr>
        <w:ind w:left="567" w:hanging="567"/>
        <w:jc w:val="both"/>
        <w:rPr>
          <w:rFonts w:ascii="Arial" w:hAnsi="Arial" w:cs="Arial"/>
          <w:b/>
          <w:sz w:val="20"/>
          <w:szCs w:val="20"/>
          <w:lang w:val="es-ES"/>
        </w:rPr>
      </w:pPr>
      <w:r w:rsidRPr="00352124">
        <w:rPr>
          <w:rFonts w:ascii="Arial" w:hAnsi="Arial" w:cs="Arial"/>
          <w:b/>
          <w:sz w:val="20"/>
          <w:szCs w:val="20"/>
          <w:lang w:val="es-ES"/>
        </w:rPr>
        <w:t>Tiempo de tramitación</w:t>
      </w:r>
    </w:p>
    <w:p w:rsidR="00236E18" w:rsidRPr="00352124" w:rsidRDefault="00236E18" w:rsidP="00236E18">
      <w:pPr>
        <w:pStyle w:val="ListParagraph"/>
        <w:widowControl w:val="0"/>
        <w:ind w:left="567" w:hanging="567"/>
        <w:jc w:val="both"/>
        <w:rPr>
          <w:rFonts w:ascii="Arial" w:hAnsi="Arial" w:cs="Arial"/>
          <w:sz w:val="20"/>
          <w:szCs w:val="20"/>
          <w:lang w:val="es-ES"/>
        </w:rPr>
      </w:pPr>
    </w:p>
    <w:p w:rsidR="00236E18" w:rsidRPr="00352124" w:rsidRDefault="00236E18" w:rsidP="00236E18">
      <w:pPr>
        <w:pStyle w:val="ListParagraph"/>
        <w:widowControl w:val="0"/>
        <w:numPr>
          <w:ilvl w:val="0"/>
          <w:numId w:val="59"/>
        </w:numPr>
        <w:tabs>
          <w:tab w:val="left" w:pos="567"/>
        </w:tabs>
        <w:ind w:left="0" w:firstLine="0"/>
        <w:jc w:val="both"/>
        <w:rPr>
          <w:rFonts w:ascii="Arial" w:hAnsi="Arial" w:cs="Arial"/>
          <w:sz w:val="20"/>
          <w:szCs w:val="20"/>
          <w:lang w:val="es-ES"/>
        </w:rPr>
      </w:pPr>
      <w:r w:rsidRPr="00352124">
        <w:rPr>
          <w:rFonts w:ascii="Arial" w:hAnsi="Arial" w:cs="Arial"/>
          <w:sz w:val="20"/>
          <w:szCs w:val="20"/>
          <w:lang w:val="es-ES"/>
        </w:rPr>
        <w:t>A continuación se muestra el tiempo medio de tramitación para las seis transacciones realizadas por la Oficina Internacional.  Ese tiempo se calcula desde la fecha en que se recibe el documento hasta la fecha en que se inscribe.</w:t>
      </w:r>
    </w:p>
    <w:p w:rsidR="00236E18" w:rsidRPr="00352124" w:rsidRDefault="00236E18" w:rsidP="00236E18">
      <w:pPr>
        <w:pStyle w:val="ListParagraph"/>
        <w:widowControl w:val="0"/>
        <w:ind w:left="0"/>
        <w:jc w:val="both"/>
        <w:rPr>
          <w:rFonts w:ascii="Arial" w:hAnsi="Arial" w:cs="Arial"/>
          <w:lang w:val="es-ES"/>
        </w:rPr>
      </w:pPr>
    </w:p>
    <w:tbl>
      <w:tblPr>
        <w:tblW w:w="0" w:type="auto"/>
        <w:jc w:val="center"/>
        <w:tblLook w:val="04A0" w:firstRow="1" w:lastRow="0" w:firstColumn="1" w:lastColumn="0" w:noHBand="0" w:noVBand="1"/>
      </w:tblPr>
      <w:tblGrid>
        <w:gridCol w:w="4659"/>
        <w:gridCol w:w="4628"/>
      </w:tblGrid>
      <w:tr w:rsidR="00236E18" w:rsidRPr="00352124" w:rsidTr="00294272">
        <w:trPr>
          <w:trHeight w:val="3298"/>
          <w:jc w:val="center"/>
        </w:trPr>
        <w:tc>
          <w:tcPr>
            <w:tcW w:w="4560" w:type="dxa"/>
          </w:tcPr>
          <w:p w:rsidR="00236E18" w:rsidRPr="00352124" w:rsidRDefault="00236E18" w:rsidP="00294272">
            <w:pPr>
              <w:widowControl w:val="0"/>
              <w:jc w:val="both"/>
            </w:pPr>
            <w:r>
              <w:rPr>
                <w:noProof/>
                <w:lang w:val="en-US" w:eastAsia="en-US"/>
              </w:rPr>
              <w:drawing>
                <wp:inline distT="0" distB="0" distL="0" distR="0" wp14:anchorId="521B488B" wp14:editId="7BBAEF6F">
                  <wp:extent cx="2806996" cy="1881962"/>
                  <wp:effectExtent l="0" t="0" r="0" b="4445"/>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815077" cy="1887380"/>
                          </a:xfrm>
                          <a:prstGeom prst="rect">
                            <a:avLst/>
                          </a:prstGeom>
                          <a:noFill/>
                          <a:ln>
                            <a:noFill/>
                          </a:ln>
                        </pic:spPr>
                      </pic:pic>
                    </a:graphicData>
                  </a:graphic>
                </wp:inline>
              </w:drawing>
            </w:r>
          </w:p>
        </w:tc>
        <w:tc>
          <w:tcPr>
            <w:tcW w:w="4591" w:type="dxa"/>
          </w:tcPr>
          <w:p w:rsidR="00236E18" w:rsidRPr="00352124" w:rsidRDefault="00236E18" w:rsidP="00294272">
            <w:pPr>
              <w:widowControl w:val="0"/>
              <w:jc w:val="both"/>
            </w:pPr>
            <w:r>
              <w:rPr>
                <w:noProof/>
                <w:lang w:val="en-US" w:eastAsia="en-US"/>
              </w:rPr>
              <w:drawing>
                <wp:inline distT="0" distB="0" distL="0" distR="0" wp14:anchorId="5212E5D8" wp14:editId="3A086F14">
                  <wp:extent cx="2785730" cy="1881962"/>
                  <wp:effectExtent l="0" t="0" r="0" b="4445"/>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790082" cy="1884902"/>
                          </a:xfrm>
                          <a:prstGeom prst="rect">
                            <a:avLst/>
                          </a:prstGeom>
                          <a:noFill/>
                          <a:ln>
                            <a:noFill/>
                          </a:ln>
                        </pic:spPr>
                      </pic:pic>
                    </a:graphicData>
                  </a:graphic>
                </wp:inline>
              </w:drawing>
            </w:r>
          </w:p>
        </w:tc>
      </w:tr>
      <w:tr w:rsidR="00236E18" w:rsidRPr="00352124" w:rsidTr="00294272">
        <w:trPr>
          <w:trHeight w:val="3418"/>
          <w:jc w:val="center"/>
        </w:trPr>
        <w:tc>
          <w:tcPr>
            <w:tcW w:w="4560" w:type="dxa"/>
          </w:tcPr>
          <w:p w:rsidR="00236E18" w:rsidRPr="00352124" w:rsidRDefault="00236E18" w:rsidP="00294272">
            <w:pPr>
              <w:widowControl w:val="0"/>
              <w:jc w:val="both"/>
            </w:pPr>
            <w:r>
              <w:rPr>
                <w:noProof/>
                <w:lang w:val="en-US" w:eastAsia="en-US"/>
              </w:rPr>
              <w:drawing>
                <wp:inline distT="0" distB="0" distL="0" distR="0" wp14:anchorId="08AE21C3" wp14:editId="1B51D89C">
                  <wp:extent cx="2879437" cy="2041420"/>
                  <wp:effectExtent l="0" t="0" r="0"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2879401" cy="2041395"/>
                          </a:xfrm>
                          <a:prstGeom prst="rect">
                            <a:avLst/>
                          </a:prstGeom>
                          <a:noFill/>
                          <a:ln>
                            <a:noFill/>
                          </a:ln>
                        </pic:spPr>
                      </pic:pic>
                    </a:graphicData>
                  </a:graphic>
                </wp:inline>
              </w:drawing>
            </w:r>
          </w:p>
        </w:tc>
        <w:tc>
          <w:tcPr>
            <w:tcW w:w="4591" w:type="dxa"/>
          </w:tcPr>
          <w:p w:rsidR="00236E18" w:rsidRPr="00352124" w:rsidRDefault="00236E18" w:rsidP="00294272">
            <w:pPr>
              <w:widowControl w:val="0"/>
              <w:jc w:val="both"/>
            </w:pPr>
            <w:r>
              <w:rPr>
                <w:noProof/>
                <w:lang w:val="en-US" w:eastAsia="en-US"/>
              </w:rPr>
              <w:drawing>
                <wp:inline distT="0" distB="0" distL="0" distR="0" wp14:anchorId="5B7E4CDA" wp14:editId="175734F8">
                  <wp:extent cx="2785730" cy="2041451"/>
                  <wp:effectExtent l="0"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786954" cy="2042348"/>
                          </a:xfrm>
                          <a:prstGeom prst="rect">
                            <a:avLst/>
                          </a:prstGeom>
                          <a:noFill/>
                          <a:ln>
                            <a:noFill/>
                          </a:ln>
                        </pic:spPr>
                      </pic:pic>
                    </a:graphicData>
                  </a:graphic>
                </wp:inline>
              </w:drawing>
            </w:r>
          </w:p>
        </w:tc>
      </w:tr>
      <w:tr w:rsidR="00236E18" w:rsidRPr="00352124" w:rsidTr="00294272">
        <w:trPr>
          <w:trHeight w:val="3194"/>
          <w:jc w:val="center"/>
        </w:trPr>
        <w:tc>
          <w:tcPr>
            <w:tcW w:w="4560" w:type="dxa"/>
          </w:tcPr>
          <w:p w:rsidR="00236E18" w:rsidRPr="00352124" w:rsidRDefault="00236E18" w:rsidP="00294272">
            <w:pPr>
              <w:widowControl w:val="0"/>
              <w:jc w:val="both"/>
            </w:pPr>
            <w:r>
              <w:rPr>
                <w:noProof/>
                <w:lang w:val="en-US" w:eastAsia="en-US"/>
              </w:rPr>
              <w:lastRenderedPageBreak/>
              <w:drawing>
                <wp:inline distT="0" distB="0" distL="0" distR="0" wp14:anchorId="70663EB6" wp14:editId="1D80AE33">
                  <wp:extent cx="2861943" cy="1925918"/>
                  <wp:effectExtent l="0" t="0" r="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2863045" cy="1926660"/>
                          </a:xfrm>
                          <a:prstGeom prst="rect">
                            <a:avLst/>
                          </a:prstGeom>
                          <a:noFill/>
                          <a:ln>
                            <a:noFill/>
                          </a:ln>
                        </pic:spPr>
                      </pic:pic>
                    </a:graphicData>
                  </a:graphic>
                </wp:inline>
              </w:drawing>
            </w:r>
          </w:p>
        </w:tc>
        <w:tc>
          <w:tcPr>
            <w:tcW w:w="4591" w:type="dxa"/>
          </w:tcPr>
          <w:p w:rsidR="00236E18" w:rsidRPr="00352124" w:rsidRDefault="00236E18" w:rsidP="00294272">
            <w:pPr>
              <w:widowControl w:val="0"/>
              <w:jc w:val="both"/>
            </w:pPr>
            <w:r>
              <w:rPr>
                <w:noProof/>
                <w:lang w:val="en-US" w:eastAsia="en-US"/>
              </w:rPr>
              <w:drawing>
                <wp:inline distT="0" distB="0" distL="0" distR="0" wp14:anchorId="776C1B14" wp14:editId="0957C195">
                  <wp:extent cx="2859937" cy="2029784"/>
                  <wp:effectExtent l="0" t="0" r="0" b="889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860058" cy="2029870"/>
                          </a:xfrm>
                          <a:prstGeom prst="rect">
                            <a:avLst/>
                          </a:prstGeom>
                          <a:noFill/>
                          <a:ln>
                            <a:noFill/>
                          </a:ln>
                        </pic:spPr>
                      </pic:pic>
                    </a:graphicData>
                  </a:graphic>
                </wp:inline>
              </w:drawing>
            </w:r>
          </w:p>
        </w:tc>
      </w:tr>
    </w:tbl>
    <w:p w:rsidR="00236E18" w:rsidRPr="00352124" w:rsidRDefault="00236E18" w:rsidP="00236E18">
      <w:pPr>
        <w:widowControl w:val="0"/>
        <w:jc w:val="both"/>
      </w:pPr>
    </w:p>
    <w:p w:rsidR="00236E18" w:rsidRPr="00352124" w:rsidRDefault="00236E18" w:rsidP="00236E18">
      <w:pPr>
        <w:pStyle w:val="ListParagraph"/>
        <w:widowControl w:val="0"/>
        <w:numPr>
          <w:ilvl w:val="0"/>
          <w:numId w:val="58"/>
        </w:numPr>
        <w:spacing w:after="120"/>
        <w:ind w:left="993" w:hanging="426"/>
        <w:contextualSpacing w:val="0"/>
        <w:jc w:val="both"/>
        <w:rPr>
          <w:rFonts w:ascii="Arial" w:hAnsi="Arial" w:cs="Arial"/>
          <w:sz w:val="20"/>
          <w:szCs w:val="20"/>
          <w:lang w:val="es-ES"/>
        </w:rPr>
      </w:pPr>
      <w:r w:rsidRPr="00352124">
        <w:rPr>
          <w:rFonts w:ascii="Arial" w:hAnsi="Arial" w:cs="Arial"/>
          <w:sz w:val="20"/>
          <w:szCs w:val="20"/>
          <w:lang w:val="es-ES"/>
        </w:rPr>
        <w:t>El tiempo medio de tramitación en 2014 aumentó frente al de 2013 para las solicitudes, las correcciones, los cambios y las designaciones posteriores.  El tiempo medio de tramitación para las renovaciones se mantuvo estable, mientras que el de las decisiones descendió por segundo año consecutivo.</w:t>
      </w:r>
    </w:p>
    <w:p w:rsidR="00236E18" w:rsidRPr="00352124" w:rsidRDefault="00236E18" w:rsidP="00236E18">
      <w:pPr>
        <w:pStyle w:val="ListParagraph"/>
        <w:widowControl w:val="0"/>
        <w:numPr>
          <w:ilvl w:val="0"/>
          <w:numId w:val="58"/>
        </w:numPr>
        <w:spacing w:after="200"/>
        <w:ind w:left="993" w:hanging="426"/>
        <w:jc w:val="both"/>
        <w:rPr>
          <w:rFonts w:ascii="Arial" w:hAnsi="Arial" w:cs="Arial"/>
          <w:sz w:val="20"/>
          <w:szCs w:val="20"/>
          <w:lang w:val="es-ES"/>
        </w:rPr>
      </w:pPr>
      <w:r w:rsidRPr="00352124">
        <w:rPr>
          <w:rFonts w:ascii="Arial" w:hAnsi="Arial" w:cs="Arial"/>
          <w:sz w:val="20"/>
          <w:szCs w:val="20"/>
          <w:lang w:val="es-ES"/>
        </w:rPr>
        <w:t>Uno de los principales objetivos que se ha fijado la Oficina Internacional es mejorar y estabilizar los tiempos de tramitación para todas las transacciones.</w:t>
      </w:r>
    </w:p>
    <w:p w:rsidR="00236E18" w:rsidRPr="00352124" w:rsidRDefault="00236E18" w:rsidP="00236E18">
      <w:pPr>
        <w:pStyle w:val="ListParagraph"/>
        <w:widowControl w:val="0"/>
        <w:ind w:left="993"/>
        <w:jc w:val="both"/>
        <w:rPr>
          <w:rFonts w:ascii="Arial" w:hAnsi="Arial" w:cs="Arial"/>
          <w:sz w:val="20"/>
          <w:szCs w:val="20"/>
          <w:lang w:val="es-ES"/>
        </w:rPr>
      </w:pPr>
    </w:p>
    <w:p w:rsidR="00236E18" w:rsidRDefault="00236E18" w:rsidP="00236E18"/>
    <w:p w:rsidR="00236E18" w:rsidRDefault="00236E18" w:rsidP="00236E18">
      <w:pPr>
        <w:pStyle w:val="StyleHeading3ComplexItalic"/>
        <w:keepNext w:val="0"/>
        <w:tabs>
          <w:tab w:val="clear" w:pos="1985"/>
          <w:tab w:val="left" w:pos="1418"/>
        </w:tabs>
        <w:ind w:left="1418" w:hanging="1418"/>
        <w:rPr>
          <w:b w:val="0"/>
          <w:caps w:val="0"/>
          <w:lang w:val="es-ES"/>
        </w:rPr>
        <w:sectPr w:rsidR="00236E18" w:rsidSect="00080272">
          <w:headerReference w:type="even" r:id="rId304"/>
          <w:headerReference w:type="default" r:id="rId305"/>
          <w:footerReference w:type="even" r:id="rId306"/>
          <w:footerReference w:type="default" r:id="rId307"/>
          <w:pgSz w:w="11907" w:h="16839" w:code="9"/>
          <w:pgMar w:top="680" w:right="1418" w:bottom="1361" w:left="1418" w:header="624" w:footer="907" w:gutter="0"/>
          <w:cols w:space="720"/>
          <w:docGrid w:linePitch="360"/>
        </w:sectPr>
      </w:pPr>
    </w:p>
    <w:p w:rsidR="00236E18" w:rsidRPr="004E674F" w:rsidRDefault="00236E18" w:rsidP="00236E18">
      <w:pPr>
        <w:pStyle w:val="StyleHeading3ComplexItalic"/>
        <w:keepNext w:val="0"/>
        <w:tabs>
          <w:tab w:val="clear" w:pos="1985"/>
        </w:tabs>
        <w:ind w:left="1560" w:hanging="1560"/>
        <w:rPr>
          <w:caps w:val="0"/>
          <w:lang w:val="es-ES"/>
        </w:rPr>
      </w:pPr>
      <w:bookmarkStart w:id="158" w:name="_Toc431573585"/>
      <w:bookmarkStart w:id="159" w:name="_Toc431573986"/>
      <w:r w:rsidRPr="004E674F">
        <w:rPr>
          <w:caps w:val="0"/>
          <w:lang w:val="es-ES"/>
        </w:rPr>
        <w:lastRenderedPageBreak/>
        <w:t>ANE</w:t>
      </w:r>
      <w:r>
        <w:rPr>
          <w:caps w:val="0"/>
          <w:lang w:val="es-ES"/>
        </w:rPr>
        <w:t>XO VII</w:t>
      </w:r>
      <w:r>
        <w:rPr>
          <w:caps w:val="0"/>
          <w:lang w:val="es-ES"/>
        </w:rPr>
        <w:tab/>
      </w:r>
      <w:r w:rsidRPr="004E674F">
        <w:rPr>
          <w:caps w:val="0"/>
          <w:lang w:val="es-ES"/>
        </w:rPr>
        <w:t>INDICADORES DE LAS OPERACIONES DEL SISTEMA DE LA HAYA</w:t>
      </w:r>
      <w:bookmarkEnd w:id="158"/>
      <w:bookmarkEnd w:id="159"/>
    </w:p>
    <w:p w:rsidR="00236E18" w:rsidRPr="004E674F" w:rsidRDefault="00236E18" w:rsidP="00236E18">
      <w:pPr>
        <w:rPr>
          <w:b/>
        </w:rPr>
      </w:pPr>
    </w:p>
    <w:p w:rsidR="00236E18" w:rsidRPr="004E674F" w:rsidRDefault="00236E18" w:rsidP="00236E18"/>
    <w:p w:rsidR="00236E18" w:rsidRPr="004E674F" w:rsidRDefault="00236E18" w:rsidP="00236E18">
      <w:r w:rsidRPr="004E674F">
        <w:t>INDICADORES DE RENDIMIENTO CON RESPECTO AL RESULTADO PREVISTO</w:t>
      </w:r>
    </w:p>
    <w:p w:rsidR="00236E18" w:rsidRPr="004E674F" w:rsidRDefault="00236E18" w:rsidP="00236E18">
      <w:r w:rsidRPr="004E674F">
        <w:t>“MEJORA DE LA PRODUCTIVIDAD Y DE LA CALIDAD DE LOS SERVICIOS EN LAS OPERACIONES DEL SISTEMA DE LA HAYA”</w:t>
      </w:r>
    </w:p>
    <w:p w:rsidR="00236E18" w:rsidRPr="004E674F" w:rsidRDefault="00236E18" w:rsidP="00236E18">
      <w:pPr>
        <w:rPr>
          <w:b/>
          <w:sz w:val="20"/>
        </w:rPr>
      </w:pPr>
    </w:p>
    <w:p w:rsidR="00236E18" w:rsidRPr="004E674F" w:rsidRDefault="00236E18" w:rsidP="00236E18">
      <w:pPr>
        <w:rPr>
          <w:sz w:val="20"/>
        </w:rPr>
      </w:pPr>
    </w:p>
    <w:p w:rsidR="00236E18" w:rsidRPr="004E674F" w:rsidRDefault="00236E18" w:rsidP="00236E18">
      <w:pPr>
        <w:pStyle w:val="ListParagraph"/>
        <w:numPr>
          <w:ilvl w:val="0"/>
          <w:numId w:val="69"/>
        </w:numPr>
        <w:tabs>
          <w:tab w:val="left" w:pos="0"/>
          <w:tab w:val="left" w:pos="567"/>
        </w:tabs>
        <w:ind w:left="0" w:firstLine="0"/>
        <w:jc w:val="both"/>
        <w:rPr>
          <w:rFonts w:ascii="Arial" w:hAnsi="Arial" w:cs="Arial"/>
          <w:sz w:val="20"/>
          <w:szCs w:val="20"/>
          <w:lang w:val="es-ES"/>
        </w:rPr>
      </w:pPr>
      <w:r w:rsidRPr="004E674F">
        <w:rPr>
          <w:rFonts w:ascii="Arial" w:hAnsi="Arial" w:cs="Arial"/>
          <w:sz w:val="20"/>
          <w:szCs w:val="20"/>
          <w:lang w:val="es-ES"/>
        </w:rPr>
        <w:t xml:space="preserve">Como referencia de los indicadores de rendimiento en lo que respecta al resultado previsto “Mejora de la productividad y de la calidad de los servicios en las operaciones del sistema de </w:t>
      </w:r>
      <w:r>
        <w:rPr>
          <w:rFonts w:ascii="Arial" w:hAnsi="Arial" w:cs="Arial"/>
          <w:sz w:val="20"/>
          <w:szCs w:val="20"/>
          <w:lang w:val="es-ES"/>
        </w:rPr>
        <w:t>La Haya</w:t>
      </w:r>
      <w:r w:rsidRPr="004E674F">
        <w:rPr>
          <w:rFonts w:ascii="Arial" w:hAnsi="Arial" w:cs="Arial"/>
          <w:sz w:val="20"/>
          <w:szCs w:val="20"/>
          <w:lang w:val="es-ES"/>
        </w:rPr>
        <w:t>”, es necesario considerar la evolución de los siguientes factores:</w:t>
      </w:r>
    </w:p>
    <w:p w:rsidR="00236E18" w:rsidRPr="004E674F" w:rsidRDefault="00236E18" w:rsidP="00236E18">
      <w:pPr>
        <w:pStyle w:val="ListParagraph"/>
        <w:tabs>
          <w:tab w:val="left" w:pos="0"/>
          <w:tab w:val="left" w:pos="567"/>
        </w:tabs>
        <w:ind w:left="0"/>
        <w:jc w:val="both"/>
        <w:rPr>
          <w:rFonts w:ascii="Arial" w:hAnsi="Arial" w:cs="Arial"/>
          <w:sz w:val="20"/>
          <w:szCs w:val="20"/>
          <w:lang w:val="es-ES"/>
        </w:rPr>
      </w:pPr>
    </w:p>
    <w:p w:rsidR="00236E18" w:rsidRPr="004E674F" w:rsidRDefault="00236E18" w:rsidP="00236E18">
      <w:pPr>
        <w:numPr>
          <w:ilvl w:val="0"/>
          <w:numId w:val="53"/>
        </w:numPr>
        <w:spacing w:after="120"/>
        <w:ind w:left="1134" w:firstLine="0"/>
        <w:jc w:val="both"/>
        <w:rPr>
          <w:sz w:val="20"/>
        </w:rPr>
      </w:pPr>
      <w:r w:rsidRPr="004E674F">
        <w:rPr>
          <w:sz w:val="20"/>
        </w:rPr>
        <w:t xml:space="preserve">volúmenes de trabajo del sistema de </w:t>
      </w:r>
      <w:r>
        <w:rPr>
          <w:sz w:val="20"/>
        </w:rPr>
        <w:t>La Haya</w:t>
      </w:r>
      <w:r w:rsidRPr="004E674F">
        <w:rPr>
          <w:sz w:val="20"/>
        </w:rPr>
        <w:t>;</w:t>
      </w:r>
    </w:p>
    <w:p w:rsidR="00236E18" w:rsidRPr="004E674F" w:rsidRDefault="00236E18" w:rsidP="00236E18">
      <w:pPr>
        <w:numPr>
          <w:ilvl w:val="0"/>
          <w:numId w:val="53"/>
        </w:numPr>
        <w:spacing w:after="120"/>
        <w:ind w:left="1134" w:firstLine="0"/>
        <w:jc w:val="both"/>
        <w:rPr>
          <w:sz w:val="20"/>
        </w:rPr>
      </w:pPr>
      <w:r w:rsidRPr="004E674F">
        <w:rPr>
          <w:sz w:val="20"/>
        </w:rPr>
        <w:t>composición de</w:t>
      </w:r>
      <w:r>
        <w:rPr>
          <w:sz w:val="20"/>
        </w:rPr>
        <w:t xml:space="preserve"> esos volúmenes</w:t>
      </w:r>
      <w:r w:rsidRPr="004E674F">
        <w:rPr>
          <w:sz w:val="20"/>
        </w:rPr>
        <w:t>;</w:t>
      </w:r>
    </w:p>
    <w:p w:rsidR="00236E18" w:rsidRPr="004E674F" w:rsidRDefault="00236E18" w:rsidP="00236E18">
      <w:pPr>
        <w:numPr>
          <w:ilvl w:val="0"/>
          <w:numId w:val="53"/>
        </w:numPr>
        <w:spacing w:after="120"/>
        <w:ind w:left="1134" w:firstLine="0"/>
        <w:jc w:val="both"/>
        <w:rPr>
          <w:sz w:val="20"/>
        </w:rPr>
      </w:pPr>
      <w:r w:rsidRPr="004E674F">
        <w:rPr>
          <w:sz w:val="20"/>
        </w:rPr>
        <w:t>nivel de automatización;  y</w:t>
      </w:r>
    </w:p>
    <w:p w:rsidR="00236E18" w:rsidRPr="004E674F" w:rsidRDefault="00236E18" w:rsidP="00236E18">
      <w:pPr>
        <w:numPr>
          <w:ilvl w:val="0"/>
          <w:numId w:val="53"/>
        </w:numPr>
        <w:ind w:left="1134" w:firstLine="0"/>
        <w:jc w:val="both"/>
        <w:rPr>
          <w:sz w:val="20"/>
        </w:rPr>
      </w:pPr>
      <w:r>
        <w:rPr>
          <w:sz w:val="20"/>
        </w:rPr>
        <w:t>recursos</w:t>
      </w:r>
      <w:r w:rsidRPr="004E674F">
        <w:rPr>
          <w:sz w:val="20"/>
        </w:rPr>
        <w:t xml:space="preserve"> asignado</w:t>
      </w:r>
      <w:r>
        <w:rPr>
          <w:sz w:val="20"/>
        </w:rPr>
        <w:t>s</w:t>
      </w:r>
      <w:r w:rsidRPr="004E674F">
        <w:rPr>
          <w:sz w:val="20"/>
        </w:rPr>
        <w:t xml:space="preserve"> para </w:t>
      </w:r>
      <w:r>
        <w:rPr>
          <w:sz w:val="20"/>
        </w:rPr>
        <w:t>hacer frente al</w:t>
      </w:r>
      <w:r w:rsidRPr="004E674F">
        <w:rPr>
          <w:sz w:val="20"/>
        </w:rPr>
        <w:t xml:space="preserve"> volumen de trabajo.</w:t>
      </w:r>
    </w:p>
    <w:p w:rsidR="00236E18" w:rsidRPr="004E674F" w:rsidRDefault="00236E18" w:rsidP="00236E18">
      <w:pPr>
        <w:jc w:val="both"/>
        <w:rPr>
          <w:sz w:val="20"/>
        </w:rPr>
      </w:pPr>
    </w:p>
    <w:p w:rsidR="00236E18" w:rsidRPr="004E674F" w:rsidRDefault="00236E18" w:rsidP="00236E18">
      <w:pPr>
        <w:pStyle w:val="ListParagraph"/>
        <w:numPr>
          <w:ilvl w:val="0"/>
          <w:numId w:val="69"/>
        </w:numPr>
        <w:tabs>
          <w:tab w:val="left" w:pos="0"/>
          <w:tab w:val="left" w:pos="567"/>
        </w:tabs>
        <w:ind w:left="0" w:firstLine="0"/>
        <w:jc w:val="both"/>
        <w:rPr>
          <w:rFonts w:ascii="Arial" w:hAnsi="Arial" w:cs="Arial"/>
          <w:sz w:val="20"/>
          <w:szCs w:val="20"/>
          <w:lang w:val="es-ES"/>
        </w:rPr>
      </w:pPr>
      <w:r w:rsidRPr="004E674F">
        <w:rPr>
          <w:rFonts w:ascii="Arial" w:hAnsi="Arial" w:cs="Arial"/>
          <w:sz w:val="20"/>
          <w:szCs w:val="20"/>
          <w:lang w:val="es-ES"/>
        </w:rPr>
        <w:t xml:space="preserve">La Oficina Internacional recibe principalmente cuatro tipos de documentos, a saber solicitudes internacionales, renovaciones, cambios y decisiones.  Se presentan, </w:t>
      </w:r>
      <w:r w:rsidRPr="004E674F">
        <w:rPr>
          <w:rFonts w:ascii="Arial" w:hAnsi="Arial" w:cs="Arial"/>
          <w:i/>
          <w:sz w:val="20"/>
          <w:szCs w:val="20"/>
          <w:lang w:val="es-ES"/>
        </w:rPr>
        <w:t>infra</w:t>
      </w:r>
      <w:r w:rsidRPr="004E674F">
        <w:rPr>
          <w:rFonts w:ascii="Arial" w:hAnsi="Arial" w:cs="Arial"/>
          <w:sz w:val="20"/>
          <w:szCs w:val="20"/>
          <w:lang w:val="es-ES"/>
        </w:rPr>
        <w:t xml:space="preserve">, las tendencias más recientes para cada uno de esos documentos.  También se proporciona </w:t>
      </w:r>
      <w:r>
        <w:rPr>
          <w:rFonts w:ascii="Arial" w:hAnsi="Arial" w:cs="Arial"/>
          <w:sz w:val="20"/>
          <w:szCs w:val="20"/>
          <w:lang w:val="es-ES"/>
        </w:rPr>
        <w:t xml:space="preserve">otra </w:t>
      </w:r>
      <w:r w:rsidRPr="004E674F">
        <w:rPr>
          <w:rFonts w:ascii="Arial" w:hAnsi="Arial" w:cs="Arial"/>
          <w:sz w:val="20"/>
          <w:szCs w:val="20"/>
          <w:lang w:val="es-ES"/>
        </w:rPr>
        <w:t>información sobre las solicitudes recibidas, por ejemplo, el número medio de dibujos o modelos correspondiente a cada una.  Por motivos técnicos, el indicador relativo a las irregularidades declaradas presenta datos basados en documentos tramitados antes que en documentos recibidos.</w:t>
      </w:r>
    </w:p>
    <w:p w:rsidR="00236E18" w:rsidRPr="004E674F" w:rsidRDefault="00236E18" w:rsidP="00236E18">
      <w:pPr>
        <w:pStyle w:val="ListParagraph"/>
        <w:tabs>
          <w:tab w:val="left" w:pos="0"/>
          <w:tab w:val="left" w:pos="567"/>
        </w:tabs>
        <w:ind w:left="0"/>
        <w:jc w:val="both"/>
        <w:rPr>
          <w:rFonts w:ascii="Arial" w:hAnsi="Arial" w:cs="Arial"/>
          <w:sz w:val="20"/>
          <w:szCs w:val="20"/>
          <w:lang w:val="es-ES"/>
        </w:rPr>
      </w:pPr>
    </w:p>
    <w:p w:rsidR="00236E18" w:rsidRPr="004E674F" w:rsidRDefault="00236E18" w:rsidP="00236E18">
      <w:pPr>
        <w:tabs>
          <w:tab w:val="left" w:pos="567"/>
        </w:tabs>
        <w:spacing w:before="120" w:after="240"/>
        <w:rPr>
          <w:b/>
          <w:sz w:val="20"/>
        </w:rPr>
      </w:pPr>
      <w:r w:rsidRPr="004E674F">
        <w:rPr>
          <w:b/>
          <w:sz w:val="20"/>
        </w:rPr>
        <w:t>I.</w:t>
      </w:r>
      <w:r w:rsidRPr="004E674F">
        <w:rPr>
          <w:b/>
          <w:sz w:val="20"/>
        </w:rPr>
        <w:tab/>
        <w:t>Documentos recibidos</w:t>
      </w:r>
    </w:p>
    <w:p w:rsidR="00236E18" w:rsidRPr="004E674F" w:rsidRDefault="00236E18" w:rsidP="00236E18">
      <w:pPr>
        <w:spacing w:before="120" w:after="240"/>
        <w:rPr>
          <w:sz w:val="20"/>
          <w:u w:val="single"/>
        </w:rPr>
      </w:pPr>
      <w:r w:rsidRPr="004E674F">
        <w:rPr>
          <w:sz w:val="20"/>
          <w:u w:val="single"/>
        </w:rPr>
        <w:t>Solicitudes recibidas</w:t>
      </w:r>
    </w:p>
    <w:p w:rsidR="00236E18" w:rsidRPr="004E674F" w:rsidRDefault="00236E18" w:rsidP="00236E18">
      <w:pPr>
        <w:spacing w:before="120" w:after="240"/>
        <w:jc w:val="center"/>
        <w:rPr>
          <w:sz w:val="20"/>
        </w:rPr>
      </w:pPr>
      <w:r w:rsidRPr="00C04CD2">
        <w:rPr>
          <w:noProof/>
          <w:lang w:val="en-US" w:eastAsia="en-US"/>
        </w:rPr>
        <w:drawing>
          <wp:inline distT="0" distB="0" distL="0" distR="0" wp14:anchorId="67CFE233" wp14:editId="2D25B584">
            <wp:extent cx="4690756" cy="2925439"/>
            <wp:effectExtent l="0" t="0" r="0" b="8890"/>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4697422" cy="2929596"/>
                    </a:xfrm>
                    <a:prstGeom prst="rect">
                      <a:avLst/>
                    </a:prstGeom>
                    <a:noFill/>
                    <a:ln>
                      <a:noFill/>
                    </a:ln>
                  </pic:spPr>
                </pic:pic>
              </a:graphicData>
            </a:graphic>
          </wp:inline>
        </w:drawing>
      </w:r>
    </w:p>
    <w:p w:rsidR="00236E18" w:rsidRPr="004E674F" w:rsidRDefault="00236E18" w:rsidP="00236E18">
      <w:pPr>
        <w:pStyle w:val="ListParagraph"/>
        <w:numPr>
          <w:ilvl w:val="0"/>
          <w:numId w:val="61"/>
        </w:numPr>
        <w:spacing w:after="120"/>
        <w:ind w:left="992" w:hanging="425"/>
        <w:contextualSpacing w:val="0"/>
        <w:jc w:val="both"/>
        <w:rPr>
          <w:rFonts w:ascii="Arial" w:hAnsi="Arial" w:cs="Arial"/>
          <w:sz w:val="20"/>
          <w:szCs w:val="20"/>
          <w:lang w:val="es-ES"/>
        </w:rPr>
      </w:pPr>
      <w:r w:rsidRPr="004E674F">
        <w:rPr>
          <w:rFonts w:ascii="Arial" w:hAnsi="Arial" w:cs="Arial"/>
          <w:sz w:val="20"/>
          <w:szCs w:val="20"/>
          <w:lang w:val="es-ES"/>
        </w:rPr>
        <w:t xml:space="preserve">En 2014, la Oficina Internacional recibió 2.924 solicitudes internacionales, lo que representa una disminución el 2,2% con respecto a 2013.  En 2013, se produjo un aumento marcado de las solicitudes recibidas, </w:t>
      </w:r>
      <w:r>
        <w:rPr>
          <w:rFonts w:ascii="Arial" w:hAnsi="Arial" w:cs="Arial"/>
          <w:sz w:val="20"/>
          <w:szCs w:val="20"/>
          <w:lang w:val="es-ES"/>
        </w:rPr>
        <w:t>a saber</w:t>
      </w:r>
      <w:r w:rsidRPr="004E674F">
        <w:rPr>
          <w:rFonts w:ascii="Arial" w:hAnsi="Arial" w:cs="Arial"/>
          <w:sz w:val="20"/>
          <w:szCs w:val="20"/>
          <w:lang w:val="es-ES"/>
        </w:rPr>
        <w:t>, del 15%.</w:t>
      </w:r>
    </w:p>
    <w:p w:rsidR="00236E18" w:rsidRPr="004E674F" w:rsidRDefault="00236E18" w:rsidP="00236E18">
      <w:pPr>
        <w:pStyle w:val="ListParagraph"/>
        <w:numPr>
          <w:ilvl w:val="0"/>
          <w:numId w:val="61"/>
        </w:numPr>
        <w:spacing w:after="200"/>
        <w:ind w:left="993" w:hanging="426"/>
        <w:jc w:val="both"/>
        <w:rPr>
          <w:rFonts w:ascii="Arial" w:hAnsi="Arial" w:cs="Arial"/>
          <w:sz w:val="20"/>
          <w:szCs w:val="20"/>
          <w:lang w:val="es-ES"/>
        </w:rPr>
      </w:pPr>
      <w:r w:rsidRPr="004E674F">
        <w:rPr>
          <w:rFonts w:ascii="Arial" w:hAnsi="Arial" w:cs="Arial"/>
          <w:sz w:val="20"/>
          <w:szCs w:val="20"/>
          <w:lang w:val="es-ES"/>
        </w:rPr>
        <w:t>En 2014, el 89% de las solicitudes se present</w:t>
      </w:r>
      <w:r>
        <w:rPr>
          <w:rFonts w:ascii="Arial" w:hAnsi="Arial" w:cs="Arial"/>
          <w:sz w:val="20"/>
          <w:szCs w:val="20"/>
          <w:lang w:val="es-ES"/>
        </w:rPr>
        <w:t>ó</w:t>
      </w:r>
      <w:r w:rsidRPr="004E674F">
        <w:rPr>
          <w:rFonts w:ascii="Arial" w:hAnsi="Arial" w:cs="Arial"/>
          <w:sz w:val="20"/>
          <w:szCs w:val="20"/>
          <w:lang w:val="es-ES"/>
        </w:rPr>
        <w:t xml:space="preserve"> por medios electrónicos.  La proporción de presentación electrónica de solicitudes aumentó de 10 puntos porcentuales entre 2011 y 2014, pasando del 79% en 2011 al 89% en 2014.</w:t>
      </w:r>
    </w:p>
    <w:p w:rsidR="00236E18" w:rsidRPr="004E674F" w:rsidRDefault="00236E18" w:rsidP="00236E18">
      <w:pPr>
        <w:rPr>
          <w:sz w:val="20"/>
        </w:rPr>
      </w:pPr>
    </w:p>
    <w:p w:rsidR="00236E18" w:rsidRPr="004E674F" w:rsidRDefault="00236E18" w:rsidP="00236E18">
      <w:pPr>
        <w:pStyle w:val="ListParagraph"/>
        <w:keepNext/>
        <w:keepLines/>
        <w:ind w:left="567"/>
        <w:rPr>
          <w:rFonts w:ascii="Arial" w:hAnsi="Arial" w:cs="Arial"/>
          <w:i/>
          <w:sz w:val="20"/>
          <w:szCs w:val="20"/>
          <w:lang w:val="es-ES"/>
        </w:rPr>
      </w:pPr>
      <w:r w:rsidRPr="004E674F">
        <w:rPr>
          <w:rFonts w:ascii="Arial" w:hAnsi="Arial" w:cs="Arial"/>
          <w:i/>
          <w:sz w:val="20"/>
          <w:szCs w:val="20"/>
          <w:lang w:val="es-ES"/>
        </w:rPr>
        <w:lastRenderedPageBreak/>
        <w:t>Número medio de dibujos o modelos por solicitud</w:t>
      </w:r>
    </w:p>
    <w:p w:rsidR="00236E18" w:rsidRPr="004E674F" w:rsidRDefault="00236E18" w:rsidP="00236E18">
      <w:pPr>
        <w:keepNext/>
        <w:keepLines/>
        <w:spacing w:before="120" w:after="240"/>
        <w:jc w:val="center"/>
        <w:rPr>
          <w:sz w:val="20"/>
        </w:rPr>
      </w:pPr>
      <w:r w:rsidRPr="00BC3A62">
        <w:rPr>
          <w:noProof/>
          <w:lang w:val="en-US" w:eastAsia="en-US"/>
        </w:rPr>
        <w:drawing>
          <wp:inline distT="0" distB="0" distL="0" distR="0" wp14:anchorId="37A94583" wp14:editId="73DC7233">
            <wp:extent cx="4688556" cy="2924067"/>
            <wp:effectExtent l="0" t="0" r="0" b="0"/>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4697112" cy="2929403"/>
                    </a:xfrm>
                    <a:prstGeom prst="rect">
                      <a:avLst/>
                    </a:prstGeom>
                    <a:noFill/>
                    <a:ln>
                      <a:noFill/>
                    </a:ln>
                  </pic:spPr>
                </pic:pic>
              </a:graphicData>
            </a:graphic>
          </wp:inline>
        </w:drawing>
      </w:r>
    </w:p>
    <w:p w:rsidR="00236E18" w:rsidRPr="004E674F" w:rsidRDefault="00236E18" w:rsidP="00236E18">
      <w:pPr>
        <w:pStyle w:val="ListParagraph"/>
        <w:numPr>
          <w:ilvl w:val="0"/>
          <w:numId w:val="62"/>
        </w:numPr>
        <w:spacing w:after="200"/>
        <w:ind w:left="993" w:hanging="426"/>
        <w:jc w:val="both"/>
        <w:rPr>
          <w:rFonts w:ascii="Arial" w:hAnsi="Arial" w:cs="Arial"/>
          <w:sz w:val="20"/>
          <w:szCs w:val="20"/>
          <w:lang w:val="es-ES"/>
        </w:rPr>
      </w:pPr>
      <w:r w:rsidRPr="004E674F">
        <w:rPr>
          <w:rFonts w:ascii="Arial" w:hAnsi="Arial" w:cs="Arial"/>
          <w:sz w:val="20"/>
          <w:szCs w:val="20"/>
          <w:lang w:val="es-ES"/>
        </w:rPr>
        <w:t>En 2014, cada solicitud contuvo una media de cinco dibujos o modelos, aproximadamente.  De  2011 a 2014, el número medio de dibujos o modelos por solicitud osciló entre 4,5 y 5.</w:t>
      </w:r>
    </w:p>
    <w:p w:rsidR="00236E18" w:rsidRPr="004E674F" w:rsidRDefault="00236E18" w:rsidP="00236E18">
      <w:pPr>
        <w:pStyle w:val="ListParagraph"/>
        <w:ind w:left="567"/>
        <w:jc w:val="both"/>
        <w:rPr>
          <w:rFonts w:ascii="Arial" w:hAnsi="Arial" w:cs="Arial"/>
          <w:sz w:val="20"/>
          <w:szCs w:val="20"/>
          <w:lang w:val="es-ES"/>
        </w:rPr>
      </w:pPr>
    </w:p>
    <w:p w:rsidR="00236E18" w:rsidRPr="004E674F" w:rsidRDefault="00236E18" w:rsidP="00236E18">
      <w:pPr>
        <w:pStyle w:val="ListParagraph"/>
        <w:ind w:left="567"/>
        <w:jc w:val="both"/>
        <w:rPr>
          <w:rFonts w:ascii="Arial" w:hAnsi="Arial" w:cs="Arial"/>
          <w:sz w:val="20"/>
          <w:szCs w:val="20"/>
          <w:lang w:val="es-ES"/>
        </w:rPr>
      </w:pPr>
    </w:p>
    <w:p w:rsidR="00236E18" w:rsidRPr="004E674F" w:rsidRDefault="00236E18" w:rsidP="00236E18">
      <w:pPr>
        <w:pStyle w:val="ListParagraph"/>
        <w:keepNext/>
        <w:keepLines/>
        <w:ind w:left="567"/>
        <w:rPr>
          <w:rFonts w:ascii="Arial" w:hAnsi="Arial" w:cs="Arial"/>
          <w:i/>
          <w:sz w:val="20"/>
          <w:szCs w:val="20"/>
          <w:lang w:val="es-ES"/>
        </w:rPr>
      </w:pPr>
      <w:r w:rsidRPr="004E674F">
        <w:rPr>
          <w:rFonts w:ascii="Arial" w:hAnsi="Arial" w:cs="Arial"/>
          <w:i/>
          <w:sz w:val="20"/>
          <w:szCs w:val="20"/>
          <w:lang w:val="es-ES"/>
        </w:rPr>
        <w:t>Número medio de designaciones por solicitud</w:t>
      </w:r>
    </w:p>
    <w:p w:rsidR="00236E18" w:rsidRPr="004E674F" w:rsidRDefault="00236E18" w:rsidP="00236E18">
      <w:pPr>
        <w:spacing w:before="120" w:after="240"/>
        <w:jc w:val="center"/>
        <w:rPr>
          <w:sz w:val="20"/>
        </w:rPr>
      </w:pPr>
      <w:r w:rsidRPr="00BC3A62">
        <w:rPr>
          <w:noProof/>
          <w:lang w:val="en-US" w:eastAsia="en-US"/>
        </w:rPr>
        <w:drawing>
          <wp:inline distT="0" distB="0" distL="0" distR="0" wp14:anchorId="0889B936" wp14:editId="2692F0A9">
            <wp:extent cx="4550735" cy="2838114"/>
            <wp:effectExtent l="0" t="0" r="2540" b="635"/>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4554779" cy="2840636"/>
                    </a:xfrm>
                    <a:prstGeom prst="rect">
                      <a:avLst/>
                    </a:prstGeom>
                    <a:noFill/>
                    <a:ln>
                      <a:noFill/>
                    </a:ln>
                  </pic:spPr>
                </pic:pic>
              </a:graphicData>
            </a:graphic>
          </wp:inline>
        </w:drawing>
      </w:r>
    </w:p>
    <w:p w:rsidR="00236E18" w:rsidRPr="004E674F" w:rsidRDefault="00236E18" w:rsidP="00236E18">
      <w:pPr>
        <w:pStyle w:val="ListParagraph"/>
        <w:numPr>
          <w:ilvl w:val="0"/>
          <w:numId w:val="62"/>
        </w:numPr>
        <w:spacing w:after="200"/>
        <w:ind w:left="993" w:hanging="426"/>
        <w:jc w:val="both"/>
        <w:rPr>
          <w:rFonts w:ascii="Arial" w:hAnsi="Arial" w:cs="Arial"/>
          <w:sz w:val="20"/>
          <w:szCs w:val="20"/>
          <w:lang w:val="es-ES"/>
        </w:rPr>
      </w:pPr>
      <w:r w:rsidRPr="004E674F">
        <w:rPr>
          <w:rFonts w:ascii="Arial" w:hAnsi="Arial" w:cs="Arial"/>
          <w:sz w:val="20"/>
          <w:szCs w:val="20"/>
          <w:lang w:val="es-ES"/>
        </w:rPr>
        <w:t>En 2014, cada solicitud contuvo una media de cinco designaciones, aproximadamente.</w:t>
      </w:r>
    </w:p>
    <w:p w:rsidR="00236E18" w:rsidRPr="004E674F" w:rsidRDefault="00236E18" w:rsidP="00236E18">
      <w:pPr>
        <w:jc w:val="both"/>
        <w:rPr>
          <w:sz w:val="20"/>
        </w:rPr>
      </w:pPr>
    </w:p>
    <w:p w:rsidR="00236E18" w:rsidRPr="004E674F" w:rsidRDefault="00236E18" w:rsidP="00236E18">
      <w:pPr>
        <w:pStyle w:val="ListParagraph"/>
        <w:keepNext/>
        <w:keepLines/>
        <w:spacing w:before="120" w:after="240"/>
        <w:ind w:left="567"/>
        <w:rPr>
          <w:rFonts w:ascii="Arial" w:hAnsi="Arial" w:cs="Arial"/>
          <w:i/>
          <w:sz w:val="20"/>
          <w:szCs w:val="20"/>
          <w:lang w:val="es-ES"/>
        </w:rPr>
      </w:pPr>
      <w:r w:rsidRPr="004E674F">
        <w:rPr>
          <w:rFonts w:ascii="Arial" w:hAnsi="Arial" w:cs="Arial"/>
          <w:i/>
          <w:sz w:val="20"/>
          <w:szCs w:val="20"/>
          <w:lang w:val="es-ES"/>
        </w:rPr>
        <w:lastRenderedPageBreak/>
        <w:t xml:space="preserve">Tendencia </w:t>
      </w:r>
      <w:r>
        <w:rPr>
          <w:rFonts w:ascii="Arial" w:hAnsi="Arial" w:cs="Arial"/>
          <w:i/>
          <w:sz w:val="20"/>
          <w:szCs w:val="20"/>
          <w:lang w:val="es-ES"/>
        </w:rPr>
        <w:t>observada en</w:t>
      </w:r>
      <w:r w:rsidRPr="004E674F">
        <w:rPr>
          <w:rFonts w:ascii="Arial" w:hAnsi="Arial" w:cs="Arial"/>
          <w:i/>
          <w:sz w:val="20"/>
          <w:szCs w:val="20"/>
          <w:lang w:val="es-ES"/>
        </w:rPr>
        <w:t xml:space="preserve"> las irregularidades en solicitudes</w:t>
      </w:r>
    </w:p>
    <w:p w:rsidR="00236E18" w:rsidRPr="004E674F" w:rsidRDefault="00236E18" w:rsidP="00236E18">
      <w:pPr>
        <w:pStyle w:val="ListParagraph"/>
        <w:keepNext/>
        <w:keepLines/>
        <w:spacing w:before="120" w:after="240"/>
        <w:ind w:left="1080"/>
        <w:rPr>
          <w:rFonts w:ascii="Arial" w:hAnsi="Arial" w:cs="Arial"/>
          <w:sz w:val="20"/>
          <w:szCs w:val="20"/>
          <w:lang w:val="es-ES"/>
        </w:rPr>
      </w:pPr>
    </w:p>
    <w:p w:rsidR="00236E18" w:rsidRPr="004E674F" w:rsidRDefault="00236E18" w:rsidP="00236E18">
      <w:pPr>
        <w:pStyle w:val="ListParagraph"/>
        <w:keepNext/>
        <w:keepLines/>
        <w:numPr>
          <w:ilvl w:val="0"/>
          <w:numId w:val="69"/>
        </w:numPr>
        <w:tabs>
          <w:tab w:val="left" w:pos="0"/>
          <w:tab w:val="left" w:pos="567"/>
        </w:tabs>
        <w:ind w:left="0" w:firstLine="0"/>
        <w:jc w:val="both"/>
        <w:rPr>
          <w:rFonts w:ascii="Arial" w:hAnsi="Arial" w:cs="Arial"/>
          <w:sz w:val="20"/>
          <w:szCs w:val="20"/>
          <w:lang w:val="es-ES"/>
        </w:rPr>
      </w:pPr>
      <w:r w:rsidRPr="004E674F">
        <w:rPr>
          <w:rFonts w:ascii="Arial" w:hAnsi="Arial" w:cs="Arial"/>
          <w:sz w:val="20"/>
          <w:szCs w:val="20"/>
          <w:lang w:val="es-ES"/>
        </w:rPr>
        <w:t xml:space="preserve">Las irregularidades en las solicitudes se agrupan en las 10 categorías indicadas </w:t>
      </w:r>
      <w:r w:rsidRPr="004E674F">
        <w:rPr>
          <w:rFonts w:ascii="Arial" w:hAnsi="Arial" w:cs="Arial"/>
          <w:i/>
          <w:sz w:val="20"/>
          <w:szCs w:val="20"/>
          <w:lang w:val="es-ES"/>
        </w:rPr>
        <w:t>infra</w:t>
      </w:r>
      <w:r>
        <w:rPr>
          <w:rFonts w:ascii="Arial" w:hAnsi="Arial" w:cs="Arial"/>
          <w:sz w:val="20"/>
          <w:szCs w:val="20"/>
          <w:lang w:val="es-ES"/>
        </w:rPr>
        <w:t>.</w:t>
      </w:r>
    </w:p>
    <w:p w:rsidR="00236E18" w:rsidRPr="004E674F" w:rsidRDefault="00236E18" w:rsidP="00236E18">
      <w:pPr>
        <w:keepNext/>
        <w:keepLines/>
        <w:spacing w:before="120" w:after="240"/>
        <w:jc w:val="center"/>
        <w:rPr>
          <w:sz w:val="20"/>
        </w:rPr>
      </w:pPr>
      <w:r w:rsidRPr="00CE3E29">
        <w:rPr>
          <w:noProof/>
          <w:lang w:val="en-US" w:eastAsia="en-US"/>
        </w:rPr>
        <w:drawing>
          <wp:inline distT="0" distB="0" distL="0" distR="0" wp14:anchorId="569D02AD" wp14:editId="607C93B8">
            <wp:extent cx="4707377" cy="2807749"/>
            <wp:effectExtent l="0" t="0" r="0" b="0"/>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4726025" cy="2818872"/>
                    </a:xfrm>
                    <a:prstGeom prst="rect">
                      <a:avLst/>
                    </a:prstGeom>
                    <a:noFill/>
                    <a:ln>
                      <a:noFill/>
                    </a:ln>
                  </pic:spPr>
                </pic:pic>
              </a:graphicData>
            </a:graphic>
          </wp:inline>
        </w:drawing>
      </w:r>
    </w:p>
    <w:p w:rsidR="00236E18" w:rsidRPr="004E674F" w:rsidRDefault="00236E18" w:rsidP="00236E18">
      <w:pPr>
        <w:pStyle w:val="ListParagraph"/>
        <w:numPr>
          <w:ilvl w:val="0"/>
          <w:numId w:val="62"/>
        </w:numPr>
        <w:spacing w:after="120"/>
        <w:ind w:left="992" w:hanging="425"/>
        <w:contextualSpacing w:val="0"/>
        <w:jc w:val="both"/>
        <w:rPr>
          <w:rFonts w:ascii="Arial" w:hAnsi="Arial" w:cs="Arial"/>
          <w:sz w:val="20"/>
          <w:szCs w:val="20"/>
          <w:lang w:val="es-ES"/>
        </w:rPr>
      </w:pPr>
      <w:r w:rsidRPr="004E674F">
        <w:rPr>
          <w:rFonts w:ascii="Arial" w:hAnsi="Arial" w:cs="Arial"/>
          <w:sz w:val="20"/>
          <w:szCs w:val="20"/>
          <w:lang w:val="es-ES"/>
        </w:rPr>
        <w:t>En 2014, la Oficina Internacional encontró 1.557 irregularidades en solicitudes, lo que equivale a una disminución del 14% con respecto a 2013.</w:t>
      </w:r>
    </w:p>
    <w:p w:rsidR="00236E18" w:rsidRPr="004E674F" w:rsidRDefault="00236E18" w:rsidP="00236E18">
      <w:pPr>
        <w:pStyle w:val="ListParagraph"/>
        <w:numPr>
          <w:ilvl w:val="0"/>
          <w:numId w:val="62"/>
        </w:numPr>
        <w:spacing w:after="200"/>
        <w:ind w:left="993" w:hanging="426"/>
        <w:jc w:val="both"/>
        <w:rPr>
          <w:rFonts w:ascii="Arial" w:hAnsi="Arial" w:cs="Arial"/>
          <w:sz w:val="20"/>
          <w:szCs w:val="20"/>
          <w:lang w:val="es-ES"/>
        </w:rPr>
      </w:pPr>
      <w:r w:rsidRPr="004E674F">
        <w:rPr>
          <w:rFonts w:ascii="Arial" w:hAnsi="Arial" w:cs="Arial"/>
          <w:sz w:val="20"/>
          <w:szCs w:val="20"/>
          <w:lang w:val="es-ES"/>
        </w:rPr>
        <w:t xml:space="preserve">A pesar de ese marcado descenso, las irregularidades relacionadas con indicaciones de </w:t>
      </w:r>
      <w:r>
        <w:rPr>
          <w:rFonts w:ascii="Arial" w:hAnsi="Arial" w:cs="Arial"/>
          <w:sz w:val="20"/>
          <w:szCs w:val="20"/>
          <w:lang w:val="es-ES"/>
        </w:rPr>
        <w:t xml:space="preserve">los </w:t>
      </w:r>
      <w:r w:rsidRPr="004E674F">
        <w:rPr>
          <w:rFonts w:ascii="Arial" w:hAnsi="Arial" w:cs="Arial"/>
          <w:sz w:val="20"/>
          <w:szCs w:val="20"/>
          <w:lang w:val="es-ES"/>
        </w:rPr>
        <w:t>productos aumentaron por tercer año consecutivo.  Junto con las irregularidades relativas al pago, les correspondió cerca de la mitad del total de irregularidades en 2014.</w:t>
      </w:r>
    </w:p>
    <w:p w:rsidR="00236E18" w:rsidRPr="004E674F" w:rsidRDefault="00236E18" w:rsidP="00236E18">
      <w:pPr>
        <w:spacing w:before="120"/>
        <w:rPr>
          <w:sz w:val="20"/>
        </w:rPr>
      </w:pPr>
    </w:p>
    <w:p w:rsidR="00236E18" w:rsidRPr="004E674F" w:rsidRDefault="00236E18" w:rsidP="00236E18">
      <w:pPr>
        <w:spacing w:before="120"/>
        <w:rPr>
          <w:sz w:val="20"/>
          <w:u w:val="single"/>
        </w:rPr>
      </w:pPr>
      <w:r w:rsidRPr="004E674F">
        <w:rPr>
          <w:sz w:val="20"/>
          <w:u w:val="single"/>
        </w:rPr>
        <w:t>Renovaciones</w:t>
      </w:r>
    </w:p>
    <w:p w:rsidR="00236E18" w:rsidRPr="004E674F" w:rsidRDefault="00236E18" w:rsidP="00236E18">
      <w:pPr>
        <w:spacing w:before="120" w:after="240"/>
        <w:jc w:val="center"/>
        <w:rPr>
          <w:sz w:val="20"/>
        </w:rPr>
      </w:pPr>
      <w:r w:rsidRPr="00D70BA0">
        <w:rPr>
          <w:noProof/>
          <w:lang w:val="en-US" w:eastAsia="en-US"/>
        </w:rPr>
        <w:drawing>
          <wp:inline distT="0" distB="0" distL="0" distR="0" wp14:anchorId="7A9140A9" wp14:editId="316A9E50">
            <wp:extent cx="4202299" cy="2785730"/>
            <wp:effectExtent l="0" t="0" r="8255" b="0"/>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4229547" cy="2803793"/>
                    </a:xfrm>
                    <a:prstGeom prst="rect">
                      <a:avLst/>
                    </a:prstGeom>
                    <a:noFill/>
                    <a:ln>
                      <a:noFill/>
                    </a:ln>
                  </pic:spPr>
                </pic:pic>
              </a:graphicData>
            </a:graphic>
          </wp:inline>
        </w:drawing>
      </w:r>
    </w:p>
    <w:p w:rsidR="00236E18" w:rsidRPr="004E674F" w:rsidRDefault="00236E18" w:rsidP="00236E18">
      <w:pPr>
        <w:pStyle w:val="ListParagraph"/>
        <w:numPr>
          <w:ilvl w:val="0"/>
          <w:numId w:val="63"/>
        </w:numPr>
        <w:spacing w:after="120"/>
        <w:ind w:left="992" w:hanging="425"/>
        <w:contextualSpacing w:val="0"/>
        <w:jc w:val="both"/>
        <w:rPr>
          <w:rFonts w:ascii="Arial" w:hAnsi="Arial" w:cs="Arial"/>
          <w:sz w:val="20"/>
          <w:szCs w:val="20"/>
          <w:lang w:val="es-ES"/>
        </w:rPr>
      </w:pPr>
      <w:r w:rsidRPr="004E674F">
        <w:rPr>
          <w:rFonts w:ascii="Arial" w:hAnsi="Arial" w:cs="Arial"/>
          <w:sz w:val="20"/>
          <w:szCs w:val="20"/>
          <w:lang w:val="es-ES"/>
        </w:rPr>
        <w:t>El número de renovaciones disminuyó por segund</w:t>
      </w:r>
      <w:r>
        <w:rPr>
          <w:rFonts w:ascii="Arial" w:hAnsi="Arial" w:cs="Arial"/>
          <w:sz w:val="20"/>
          <w:szCs w:val="20"/>
          <w:lang w:val="es-ES"/>
        </w:rPr>
        <w:t>o</w:t>
      </w:r>
      <w:r w:rsidRPr="004E674F">
        <w:rPr>
          <w:rFonts w:ascii="Arial" w:hAnsi="Arial" w:cs="Arial"/>
          <w:sz w:val="20"/>
          <w:szCs w:val="20"/>
          <w:lang w:val="es-ES"/>
        </w:rPr>
        <w:t xml:space="preserve"> año consecutivo, </w:t>
      </w:r>
      <w:r>
        <w:rPr>
          <w:rFonts w:ascii="Arial" w:hAnsi="Arial" w:cs="Arial"/>
          <w:sz w:val="20"/>
          <w:szCs w:val="20"/>
          <w:lang w:val="es-ES"/>
        </w:rPr>
        <w:t>totalizando 2.703</w:t>
      </w:r>
      <w:r w:rsidRPr="004E674F">
        <w:rPr>
          <w:rFonts w:ascii="Arial" w:hAnsi="Arial" w:cs="Arial"/>
          <w:sz w:val="20"/>
          <w:szCs w:val="20"/>
          <w:lang w:val="es-ES"/>
        </w:rPr>
        <w:t xml:space="preserve"> renovaciones en 2014.  </w:t>
      </w:r>
      <w:r>
        <w:rPr>
          <w:rFonts w:ascii="Arial" w:hAnsi="Arial" w:cs="Arial"/>
          <w:sz w:val="20"/>
          <w:szCs w:val="20"/>
          <w:lang w:val="es-ES"/>
        </w:rPr>
        <w:t>Ello representó una caída del </w:t>
      </w:r>
      <w:r w:rsidRPr="004E674F">
        <w:rPr>
          <w:rFonts w:ascii="Arial" w:hAnsi="Arial" w:cs="Arial"/>
          <w:sz w:val="20"/>
          <w:szCs w:val="20"/>
          <w:lang w:val="es-ES"/>
        </w:rPr>
        <w:t>5% con respecto a 2013.</w:t>
      </w:r>
    </w:p>
    <w:p w:rsidR="00236E18" w:rsidRPr="004E674F" w:rsidRDefault="00236E18" w:rsidP="00236E18">
      <w:pPr>
        <w:pStyle w:val="ListParagraph"/>
        <w:numPr>
          <w:ilvl w:val="0"/>
          <w:numId w:val="63"/>
        </w:numPr>
        <w:spacing w:after="200"/>
        <w:ind w:left="993" w:hanging="426"/>
        <w:jc w:val="both"/>
        <w:rPr>
          <w:rFonts w:ascii="Arial" w:hAnsi="Arial" w:cs="Arial"/>
          <w:sz w:val="20"/>
          <w:szCs w:val="20"/>
          <w:lang w:val="es-ES"/>
        </w:rPr>
      </w:pPr>
      <w:r w:rsidRPr="004E674F">
        <w:rPr>
          <w:rFonts w:ascii="Arial" w:hAnsi="Arial" w:cs="Arial"/>
          <w:sz w:val="20"/>
          <w:szCs w:val="20"/>
          <w:lang w:val="es-ES"/>
        </w:rPr>
        <w:t>Desde 2013, se tramita automáticamente la mayoría de las renovaciones</w:t>
      </w:r>
      <w:r>
        <w:rPr>
          <w:rFonts w:ascii="Arial" w:hAnsi="Arial" w:cs="Arial"/>
          <w:sz w:val="20"/>
          <w:szCs w:val="20"/>
          <w:lang w:val="es-ES"/>
        </w:rPr>
        <w:t>, es decir, e</w:t>
      </w:r>
      <w:r w:rsidRPr="004E674F">
        <w:rPr>
          <w:rFonts w:ascii="Arial" w:hAnsi="Arial" w:cs="Arial"/>
          <w:sz w:val="20"/>
          <w:szCs w:val="20"/>
          <w:lang w:val="es-ES"/>
        </w:rPr>
        <w:t>l 60% del total de renovaciones en 2014.</w:t>
      </w:r>
    </w:p>
    <w:p w:rsidR="00236E18" w:rsidRPr="004E674F" w:rsidRDefault="00236E18" w:rsidP="00236E18">
      <w:pPr>
        <w:jc w:val="both"/>
        <w:rPr>
          <w:sz w:val="20"/>
        </w:rPr>
      </w:pPr>
    </w:p>
    <w:p w:rsidR="00236E18" w:rsidRPr="004E674F" w:rsidRDefault="00236E18" w:rsidP="00236E18">
      <w:pPr>
        <w:rPr>
          <w:sz w:val="20"/>
          <w:u w:val="single"/>
        </w:rPr>
      </w:pPr>
      <w:r w:rsidRPr="004E674F">
        <w:rPr>
          <w:sz w:val="20"/>
          <w:u w:val="single"/>
        </w:rPr>
        <w:br w:type="page"/>
      </w:r>
    </w:p>
    <w:p w:rsidR="00236E18" w:rsidRPr="004E674F" w:rsidRDefault="00236E18" w:rsidP="00236E18">
      <w:pPr>
        <w:spacing w:before="120"/>
        <w:rPr>
          <w:sz w:val="20"/>
          <w:u w:val="single"/>
        </w:rPr>
      </w:pPr>
      <w:r w:rsidRPr="004E674F">
        <w:rPr>
          <w:sz w:val="20"/>
          <w:u w:val="single"/>
        </w:rPr>
        <w:lastRenderedPageBreak/>
        <w:t>Cambios</w:t>
      </w:r>
    </w:p>
    <w:p w:rsidR="00236E18" w:rsidRPr="004E674F" w:rsidRDefault="00236E18" w:rsidP="00236E18">
      <w:pPr>
        <w:spacing w:before="120" w:after="240"/>
        <w:jc w:val="center"/>
        <w:rPr>
          <w:sz w:val="18"/>
        </w:rPr>
      </w:pPr>
      <w:r w:rsidRPr="00F9747C">
        <w:rPr>
          <w:noProof/>
          <w:lang w:val="en-US" w:eastAsia="en-US"/>
        </w:rPr>
        <w:drawing>
          <wp:inline distT="0" distB="0" distL="0" distR="0" wp14:anchorId="067C17F7" wp14:editId="61B00CCF">
            <wp:extent cx="4362690" cy="2892056"/>
            <wp:effectExtent l="0" t="0" r="0" b="3810"/>
            <wp:docPr id="10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4373878" cy="2899473"/>
                    </a:xfrm>
                    <a:prstGeom prst="rect">
                      <a:avLst/>
                    </a:prstGeom>
                    <a:noFill/>
                    <a:ln>
                      <a:noFill/>
                    </a:ln>
                  </pic:spPr>
                </pic:pic>
              </a:graphicData>
            </a:graphic>
          </wp:inline>
        </w:drawing>
      </w:r>
    </w:p>
    <w:p w:rsidR="00236E18" w:rsidRPr="004E674F" w:rsidRDefault="00236E18" w:rsidP="00236E18">
      <w:pPr>
        <w:pStyle w:val="ListParagraph"/>
        <w:numPr>
          <w:ilvl w:val="0"/>
          <w:numId w:val="63"/>
        </w:numPr>
        <w:ind w:left="992" w:hanging="425"/>
        <w:contextualSpacing w:val="0"/>
        <w:jc w:val="both"/>
        <w:rPr>
          <w:rFonts w:ascii="Arial" w:hAnsi="Arial" w:cs="Arial"/>
          <w:sz w:val="20"/>
          <w:szCs w:val="20"/>
          <w:lang w:val="es-ES"/>
        </w:rPr>
      </w:pPr>
      <w:r w:rsidRPr="00154C70">
        <w:rPr>
          <w:rFonts w:ascii="Arial" w:hAnsi="Arial" w:cs="Arial"/>
          <w:sz w:val="20"/>
          <w:szCs w:val="20"/>
          <w:lang w:val="es-ES"/>
        </w:rPr>
        <w:t>En 2014,</w:t>
      </w:r>
      <w:r>
        <w:rPr>
          <w:rFonts w:ascii="Arial" w:hAnsi="Arial" w:cs="Arial"/>
          <w:sz w:val="20"/>
          <w:szCs w:val="20"/>
          <w:lang w:val="es-ES"/>
        </w:rPr>
        <w:t xml:space="preserve"> l</w:t>
      </w:r>
      <w:r w:rsidRPr="004E674F">
        <w:rPr>
          <w:rFonts w:ascii="Arial" w:hAnsi="Arial" w:cs="Arial"/>
          <w:sz w:val="20"/>
          <w:szCs w:val="20"/>
          <w:lang w:val="es-ES"/>
        </w:rPr>
        <w:t>os solicitantes pidieron 1.063 cambios en registros internacionales</w:t>
      </w:r>
      <w:r>
        <w:rPr>
          <w:rFonts w:ascii="Arial" w:hAnsi="Arial" w:cs="Arial"/>
          <w:sz w:val="20"/>
          <w:szCs w:val="20"/>
          <w:lang w:val="es-ES"/>
        </w:rPr>
        <w:t>,</w:t>
      </w:r>
      <w:r w:rsidRPr="004E674F">
        <w:rPr>
          <w:rFonts w:ascii="Arial" w:hAnsi="Arial" w:cs="Arial"/>
          <w:sz w:val="20"/>
          <w:szCs w:val="20"/>
          <w:lang w:val="es-ES"/>
        </w:rPr>
        <w:t xml:space="preserve"> lo que equivale a un aumento del 8% con respecto a 2013.</w:t>
      </w:r>
    </w:p>
    <w:p w:rsidR="00236E18" w:rsidRPr="004E674F" w:rsidRDefault="00236E18" w:rsidP="00236E18">
      <w:pPr>
        <w:spacing w:before="120"/>
        <w:rPr>
          <w:sz w:val="20"/>
        </w:rPr>
      </w:pPr>
    </w:p>
    <w:p w:rsidR="00236E18" w:rsidRPr="004E674F" w:rsidRDefault="00236E18" w:rsidP="00236E18">
      <w:pPr>
        <w:spacing w:before="120"/>
        <w:rPr>
          <w:sz w:val="20"/>
          <w:u w:val="single"/>
        </w:rPr>
      </w:pPr>
      <w:r w:rsidRPr="00E5727C">
        <w:rPr>
          <w:sz w:val="20"/>
          <w:u w:val="single"/>
        </w:rPr>
        <w:t>Decisiones</w:t>
      </w:r>
    </w:p>
    <w:p w:rsidR="00236E18" w:rsidRPr="004E674F" w:rsidRDefault="00236E18" w:rsidP="00236E18">
      <w:pPr>
        <w:spacing w:before="120" w:after="240"/>
        <w:jc w:val="center"/>
        <w:rPr>
          <w:sz w:val="18"/>
        </w:rPr>
      </w:pPr>
      <w:r w:rsidRPr="00DA116A">
        <w:rPr>
          <w:noProof/>
          <w:lang w:val="en-US" w:eastAsia="en-US"/>
        </w:rPr>
        <w:drawing>
          <wp:inline distT="0" distB="0" distL="0" distR="0" wp14:anchorId="12FEEACF" wp14:editId="5882D44D">
            <wp:extent cx="4146697" cy="2748872"/>
            <wp:effectExtent l="0" t="0" r="6350" b="0"/>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4156648" cy="2755469"/>
                    </a:xfrm>
                    <a:prstGeom prst="rect">
                      <a:avLst/>
                    </a:prstGeom>
                    <a:noFill/>
                    <a:ln>
                      <a:noFill/>
                    </a:ln>
                  </pic:spPr>
                </pic:pic>
              </a:graphicData>
            </a:graphic>
          </wp:inline>
        </w:drawing>
      </w:r>
    </w:p>
    <w:p w:rsidR="00236E18" w:rsidRPr="004E674F" w:rsidRDefault="00236E18" w:rsidP="00236E18">
      <w:pPr>
        <w:pStyle w:val="ListParagraph"/>
        <w:numPr>
          <w:ilvl w:val="0"/>
          <w:numId w:val="67"/>
        </w:numPr>
        <w:spacing w:after="120"/>
        <w:ind w:left="992" w:hanging="425"/>
        <w:contextualSpacing w:val="0"/>
        <w:rPr>
          <w:rFonts w:ascii="Arial" w:hAnsi="Arial" w:cs="Arial"/>
          <w:sz w:val="20"/>
          <w:szCs w:val="20"/>
          <w:lang w:val="es-ES"/>
        </w:rPr>
      </w:pPr>
      <w:r w:rsidRPr="004E674F">
        <w:rPr>
          <w:rFonts w:ascii="Arial" w:hAnsi="Arial" w:cs="Arial"/>
          <w:sz w:val="20"/>
          <w:szCs w:val="20"/>
          <w:lang w:val="es-ES"/>
        </w:rPr>
        <w:t xml:space="preserve">El número de decisiones recibidas en 2014 aumentó del 10%, </w:t>
      </w:r>
      <w:r>
        <w:rPr>
          <w:rFonts w:ascii="Arial" w:hAnsi="Arial" w:cs="Arial"/>
          <w:sz w:val="20"/>
          <w:szCs w:val="20"/>
          <w:lang w:val="es-ES"/>
        </w:rPr>
        <w:t>totalizando</w:t>
      </w:r>
      <w:r w:rsidRPr="004E674F">
        <w:rPr>
          <w:rFonts w:ascii="Arial" w:hAnsi="Arial" w:cs="Arial"/>
          <w:sz w:val="20"/>
          <w:szCs w:val="20"/>
          <w:lang w:val="es-ES"/>
        </w:rPr>
        <w:t xml:space="preserve"> 3.169.</w:t>
      </w:r>
    </w:p>
    <w:p w:rsidR="00236E18" w:rsidRPr="004E674F" w:rsidRDefault="00236E18" w:rsidP="00236E18">
      <w:pPr>
        <w:pStyle w:val="ListParagraph"/>
        <w:numPr>
          <w:ilvl w:val="0"/>
          <w:numId w:val="67"/>
        </w:numPr>
        <w:spacing w:after="200"/>
        <w:ind w:left="993" w:hanging="426"/>
        <w:rPr>
          <w:rFonts w:ascii="Arial" w:hAnsi="Arial" w:cs="Arial"/>
          <w:sz w:val="20"/>
          <w:szCs w:val="20"/>
          <w:lang w:val="es-ES"/>
        </w:rPr>
      </w:pPr>
      <w:r w:rsidRPr="00154C70">
        <w:rPr>
          <w:rFonts w:ascii="Arial" w:hAnsi="Arial" w:cs="Arial"/>
          <w:sz w:val="20"/>
          <w:szCs w:val="20"/>
          <w:lang w:val="es-ES"/>
        </w:rPr>
        <w:t>Desde 2011</w:t>
      </w:r>
      <w:r>
        <w:rPr>
          <w:rFonts w:ascii="Arial" w:hAnsi="Arial" w:cs="Arial"/>
          <w:sz w:val="20"/>
          <w:szCs w:val="20"/>
          <w:lang w:val="es-ES"/>
        </w:rPr>
        <w:t xml:space="preserve">, </w:t>
      </w:r>
      <w:r w:rsidRPr="00154C70">
        <w:rPr>
          <w:rFonts w:ascii="Arial" w:hAnsi="Arial" w:cs="Arial"/>
          <w:sz w:val="20"/>
          <w:szCs w:val="20"/>
          <w:lang w:val="es-ES"/>
        </w:rPr>
        <w:t xml:space="preserve">se ha tramitado automáticamente </w:t>
      </w:r>
      <w:r>
        <w:rPr>
          <w:rFonts w:ascii="Arial" w:hAnsi="Arial" w:cs="Arial"/>
          <w:sz w:val="20"/>
          <w:szCs w:val="20"/>
          <w:lang w:val="es-ES"/>
        </w:rPr>
        <w:t>e</w:t>
      </w:r>
      <w:r w:rsidRPr="004E674F">
        <w:rPr>
          <w:rFonts w:ascii="Arial" w:hAnsi="Arial" w:cs="Arial"/>
          <w:sz w:val="20"/>
          <w:szCs w:val="20"/>
          <w:lang w:val="es-ES"/>
        </w:rPr>
        <w:t>ntre el 68% y el 72% de las decisiones.</w:t>
      </w:r>
    </w:p>
    <w:p w:rsidR="00236E18" w:rsidRPr="004E674F" w:rsidRDefault="00236E18" w:rsidP="00236E18">
      <w:pPr>
        <w:pStyle w:val="ListParagraph"/>
        <w:spacing w:before="120" w:after="240"/>
        <w:rPr>
          <w:rFonts w:ascii="Arial" w:hAnsi="Arial" w:cs="Arial"/>
          <w:sz w:val="20"/>
          <w:szCs w:val="20"/>
          <w:lang w:val="es-ES"/>
        </w:rPr>
      </w:pPr>
    </w:p>
    <w:p w:rsidR="00236E18" w:rsidRPr="004E674F" w:rsidRDefault="00236E18" w:rsidP="00236E18">
      <w:pPr>
        <w:pStyle w:val="ListParagraph"/>
        <w:rPr>
          <w:rFonts w:ascii="Arial" w:hAnsi="Arial" w:cs="Arial"/>
          <w:sz w:val="20"/>
          <w:szCs w:val="20"/>
          <w:lang w:val="es-ES"/>
        </w:rPr>
      </w:pPr>
    </w:p>
    <w:p w:rsidR="00236E18" w:rsidRPr="004E674F" w:rsidRDefault="00236E18" w:rsidP="00236E18">
      <w:pPr>
        <w:tabs>
          <w:tab w:val="left" w:pos="567"/>
        </w:tabs>
        <w:rPr>
          <w:b/>
          <w:sz w:val="20"/>
        </w:rPr>
      </w:pPr>
      <w:r w:rsidRPr="004E674F">
        <w:rPr>
          <w:b/>
          <w:sz w:val="20"/>
        </w:rPr>
        <w:t>II.</w:t>
      </w:r>
      <w:r w:rsidRPr="004E674F">
        <w:rPr>
          <w:b/>
          <w:sz w:val="20"/>
        </w:rPr>
        <w:tab/>
        <w:t>Volumen total de trabajo</w:t>
      </w:r>
    </w:p>
    <w:p w:rsidR="00236E18" w:rsidRPr="004E674F" w:rsidRDefault="00236E18" w:rsidP="00236E18">
      <w:pPr>
        <w:pStyle w:val="ListParagraph"/>
        <w:ind w:left="1080"/>
        <w:jc w:val="both"/>
        <w:rPr>
          <w:rFonts w:ascii="Arial" w:hAnsi="Arial" w:cs="Arial"/>
          <w:sz w:val="20"/>
          <w:szCs w:val="20"/>
          <w:lang w:val="es-ES"/>
        </w:rPr>
      </w:pPr>
    </w:p>
    <w:p w:rsidR="00236E18" w:rsidRPr="004E674F" w:rsidRDefault="00236E18" w:rsidP="00236E18">
      <w:pPr>
        <w:pStyle w:val="ListParagraph"/>
        <w:numPr>
          <w:ilvl w:val="0"/>
          <w:numId w:val="69"/>
        </w:numPr>
        <w:tabs>
          <w:tab w:val="left" w:pos="0"/>
          <w:tab w:val="left" w:pos="567"/>
        </w:tabs>
        <w:ind w:left="0" w:firstLine="0"/>
        <w:jc w:val="both"/>
        <w:rPr>
          <w:rFonts w:ascii="Arial" w:hAnsi="Arial" w:cs="Arial"/>
          <w:sz w:val="20"/>
          <w:szCs w:val="20"/>
          <w:lang w:val="es-ES"/>
        </w:rPr>
      </w:pPr>
      <w:r w:rsidRPr="004E674F">
        <w:rPr>
          <w:rFonts w:ascii="Arial" w:hAnsi="Arial" w:cs="Arial"/>
          <w:sz w:val="20"/>
          <w:szCs w:val="20"/>
          <w:lang w:val="es-ES"/>
        </w:rPr>
        <w:t>El volumen total de trabajo representa el número total ponderado de documentos recibidos en la Oficina Internacional.  Están incluidas las cuatro categorías de documentos (solicitudes, renovaciones, cambios y decisiones).</w:t>
      </w:r>
    </w:p>
    <w:p w:rsidR="00236E18" w:rsidRPr="004E674F" w:rsidRDefault="00236E18" w:rsidP="00236E18">
      <w:pPr>
        <w:jc w:val="both"/>
        <w:rPr>
          <w:sz w:val="20"/>
        </w:rPr>
      </w:pPr>
    </w:p>
    <w:p w:rsidR="00236E18" w:rsidRPr="004E674F" w:rsidRDefault="00236E18" w:rsidP="00236E18">
      <w:pPr>
        <w:pStyle w:val="ListParagraph"/>
        <w:numPr>
          <w:ilvl w:val="0"/>
          <w:numId w:val="69"/>
        </w:numPr>
        <w:tabs>
          <w:tab w:val="left" w:pos="0"/>
          <w:tab w:val="left" w:pos="567"/>
        </w:tabs>
        <w:ind w:left="0" w:firstLine="0"/>
        <w:jc w:val="both"/>
        <w:rPr>
          <w:rFonts w:ascii="Arial" w:hAnsi="Arial" w:cs="Arial"/>
          <w:sz w:val="20"/>
          <w:szCs w:val="20"/>
          <w:lang w:val="es-ES"/>
        </w:rPr>
      </w:pPr>
      <w:r w:rsidRPr="004E674F">
        <w:rPr>
          <w:rFonts w:ascii="Arial" w:hAnsi="Arial" w:cs="Arial"/>
          <w:sz w:val="20"/>
          <w:szCs w:val="20"/>
          <w:lang w:val="es-ES"/>
        </w:rPr>
        <w:t xml:space="preserve">Habida cuenta de que los recursos necesarios para tramitar esos tipos de documentos son diferentes, cada uno de ellos se pondera de forma distinta.  Conforme a ello, en el tiempo necesario para tramitar una solicitud internacional, un examinador puede tramitar ocho renovaciones, cuatro </w:t>
      </w:r>
      <w:r w:rsidRPr="004E674F">
        <w:rPr>
          <w:rFonts w:ascii="Arial" w:hAnsi="Arial" w:cs="Arial"/>
          <w:sz w:val="20"/>
          <w:szCs w:val="20"/>
          <w:lang w:val="es-ES"/>
        </w:rPr>
        <w:lastRenderedPageBreak/>
        <w:t>cambios y cuatro decisiones.  De manera similar, puede considerarse que en el tiempo necesario para tramitar una solicitud internacional, un empleado que interviene en el proceso de automatización puede tramitar 13 documentos.</w:t>
      </w:r>
    </w:p>
    <w:p w:rsidR="00236E18" w:rsidRPr="004E674F" w:rsidRDefault="00236E18" w:rsidP="00236E18">
      <w:pPr>
        <w:jc w:val="center"/>
        <w:rPr>
          <w:sz w:val="20"/>
        </w:rPr>
      </w:pPr>
      <w:r w:rsidRPr="00940979">
        <w:rPr>
          <w:noProof/>
          <w:lang w:val="en-US" w:eastAsia="en-US"/>
        </w:rPr>
        <w:drawing>
          <wp:inline distT="0" distB="0" distL="0" distR="0" wp14:anchorId="1CD9F7F0" wp14:editId="7109765F">
            <wp:extent cx="5178055" cy="2307965"/>
            <wp:effectExtent l="0" t="0" r="3810" b="0"/>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5175574" cy="2306859"/>
                    </a:xfrm>
                    <a:prstGeom prst="rect">
                      <a:avLst/>
                    </a:prstGeom>
                    <a:noFill/>
                    <a:ln>
                      <a:noFill/>
                    </a:ln>
                  </pic:spPr>
                </pic:pic>
              </a:graphicData>
            </a:graphic>
          </wp:inline>
        </w:drawing>
      </w:r>
    </w:p>
    <w:p w:rsidR="00236E18" w:rsidRPr="004E674F" w:rsidRDefault="00236E18" w:rsidP="00236E18">
      <w:pPr>
        <w:pStyle w:val="ListParagraph"/>
        <w:numPr>
          <w:ilvl w:val="0"/>
          <w:numId w:val="64"/>
        </w:numPr>
        <w:spacing w:after="120"/>
        <w:ind w:left="992" w:hanging="425"/>
        <w:contextualSpacing w:val="0"/>
        <w:jc w:val="both"/>
        <w:rPr>
          <w:rFonts w:ascii="Arial" w:hAnsi="Arial" w:cs="Arial"/>
          <w:sz w:val="20"/>
          <w:szCs w:val="20"/>
          <w:lang w:val="es-ES"/>
        </w:rPr>
      </w:pPr>
      <w:r w:rsidRPr="004E674F">
        <w:rPr>
          <w:rFonts w:ascii="Arial" w:hAnsi="Arial" w:cs="Arial"/>
          <w:sz w:val="20"/>
          <w:szCs w:val="20"/>
          <w:lang w:val="es-ES"/>
        </w:rPr>
        <w:t>En 2014, el volumen total de trabajo permaneció estable en comparación con 2013.  En 2014, las solicitudes por sí solas representaron el 76% del volumen total de trabajo.</w:t>
      </w:r>
    </w:p>
    <w:p w:rsidR="00236E18" w:rsidRPr="004E674F" w:rsidRDefault="00236E18" w:rsidP="00236E18">
      <w:pPr>
        <w:pStyle w:val="ListParagraph"/>
        <w:numPr>
          <w:ilvl w:val="0"/>
          <w:numId w:val="64"/>
        </w:numPr>
        <w:spacing w:after="200"/>
        <w:ind w:left="993" w:hanging="426"/>
        <w:jc w:val="both"/>
        <w:rPr>
          <w:rFonts w:ascii="Arial" w:hAnsi="Arial" w:cs="Arial"/>
          <w:sz w:val="20"/>
          <w:szCs w:val="20"/>
          <w:lang w:val="es-ES"/>
        </w:rPr>
      </w:pPr>
      <w:r w:rsidRPr="004E674F">
        <w:rPr>
          <w:rFonts w:ascii="Arial" w:hAnsi="Arial" w:cs="Arial"/>
          <w:sz w:val="20"/>
          <w:szCs w:val="20"/>
          <w:lang w:val="es-ES"/>
        </w:rPr>
        <w:t>Entre 2011 y 2013, el aumento en el volumen de trabajo se debió principalmente al incremento en el número de solicitudes recibidas.</w:t>
      </w:r>
    </w:p>
    <w:p w:rsidR="00236E18" w:rsidRPr="004E674F" w:rsidRDefault="00236E18" w:rsidP="00236E18">
      <w:pPr>
        <w:rPr>
          <w:sz w:val="20"/>
        </w:rPr>
      </w:pPr>
    </w:p>
    <w:p w:rsidR="00236E18" w:rsidRPr="004E674F" w:rsidRDefault="00236E18" w:rsidP="00236E18">
      <w:pPr>
        <w:tabs>
          <w:tab w:val="left" w:pos="567"/>
        </w:tabs>
        <w:rPr>
          <w:b/>
          <w:sz w:val="20"/>
        </w:rPr>
      </w:pPr>
      <w:r w:rsidRPr="004E674F">
        <w:rPr>
          <w:b/>
          <w:sz w:val="20"/>
        </w:rPr>
        <w:t>III.</w:t>
      </w:r>
      <w:r w:rsidRPr="004E674F">
        <w:rPr>
          <w:b/>
          <w:sz w:val="20"/>
        </w:rPr>
        <w:tab/>
        <w:t>Costo de tramitación</w:t>
      </w:r>
    </w:p>
    <w:p w:rsidR="00236E18" w:rsidRPr="004E674F" w:rsidRDefault="00236E18" w:rsidP="00236E18">
      <w:pPr>
        <w:pStyle w:val="ListParagraph"/>
        <w:ind w:left="0"/>
        <w:rPr>
          <w:rFonts w:ascii="Arial" w:hAnsi="Arial" w:cs="Arial"/>
          <w:sz w:val="20"/>
          <w:szCs w:val="20"/>
          <w:lang w:val="es-ES"/>
        </w:rPr>
      </w:pPr>
    </w:p>
    <w:p w:rsidR="00236E18" w:rsidRPr="004E674F" w:rsidRDefault="00236E18" w:rsidP="00236E18">
      <w:pPr>
        <w:rPr>
          <w:sz w:val="20"/>
          <w:u w:val="single"/>
        </w:rPr>
      </w:pPr>
      <w:r w:rsidRPr="004E674F">
        <w:rPr>
          <w:sz w:val="20"/>
          <w:u w:val="single"/>
        </w:rPr>
        <w:t>Costo total de producción</w:t>
      </w:r>
    </w:p>
    <w:p w:rsidR="00236E18" w:rsidRPr="004E674F" w:rsidRDefault="00236E18" w:rsidP="00236E18">
      <w:pPr>
        <w:pStyle w:val="ListParagraph"/>
        <w:ind w:left="0"/>
        <w:jc w:val="both"/>
        <w:rPr>
          <w:rFonts w:ascii="Arial" w:hAnsi="Arial" w:cs="Arial"/>
          <w:sz w:val="20"/>
          <w:szCs w:val="20"/>
          <w:lang w:val="es-ES"/>
        </w:rPr>
      </w:pPr>
    </w:p>
    <w:p w:rsidR="00236E18" w:rsidRPr="004E674F" w:rsidRDefault="00236E18" w:rsidP="00236E18">
      <w:pPr>
        <w:pStyle w:val="ListParagraph"/>
        <w:numPr>
          <w:ilvl w:val="0"/>
          <w:numId w:val="69"/>
        </w:numPr>
        <w:tabs>
          <w:tab w:val="left" w:pos="0"/>
          <w:tab w:val="left" w:pos="567"/>
        </w:tabs>
        <w:ind w:left="0" w:firstLine="0"/>
        <w:jc w:val="both"/>
        <w:rPr>
          <w:rFonts w:ascii="Arial" w:hAnsi="Arial" w:cs="Arial"/>
          <w:sz w:val="20"/>
          <w:szCs w:val="20"/>
          <w:lang w:val="es-ES"/>
        </w:rPr>
      </w:pPr>
      <w:r w:rsidRPr="004E674F">
        <w:rPr>
          <w:rFonts w:ascii="Arial" w:hAnsi="Arial" w:cs="Arial"/>
          <w:sz w:val="20"/>
          <w:szCs w:val="20"/>
          <w:lang w:val="es-ES"/>
        </w:rPr>
        <w:t xml:space="preserve">El costo total de producción se determina sumando el gasto total del Sistema de </w:t>
      </w:r>
      <w:r>
        <w:rPr>
          <w:rFonts w:ascii="Arial" w:hAnsi="Arial" w:cs="Arial"/>
          <w:sz w:val="20"/>
          <w:szCs w:val="20"/>
          <w:lang w:val="es-ES"/>
        </w:rPr>
        <w:t>La Haya</w:t>
      </w:r>
      <w:r w:rsidRPr="004E674F">
        <w:rPr>
          <w:rFonts w:ascii="Arial" w:hAnsi="Arial" w:cs="Arial"/>
          <w:sz w:val="20"/>
          <w:szCs w:val="20"/>
          <w:lang w:val="es-ES"/>
        </w:rPr>
        <w:t xml:space="preserve"> a una proporción del gasto en concepto de actividades de apoyo y gestión.  Consta de componentes directos e indirectos.  Los costos directos reflejan el gasto en que ha incurrido la Oficina Internacional por la administración del Sistema de </w:t>
      </w:r>
      <w:r>
        <w:rPr>
          <w:rFonts w:ascii="Arial" w:hAnsi="Arial" w:cs="Arial"/>
          <w:sz w:val="20"/>
          <w:szCs w:val="20"/>
          <w:lang w:val="es-ES"/>
        </w:rPr>
        <w:t>La Haya</w:t>
      </w:r>
      <w:r w:rsidRPr="004E674F">
        <w:rPr>
          <w:rStyle w:val="FootnoteReference"/>
          <w:rFonts w:ascii="Arial" w:hAnsi="Arial" w:cs="Arial"/>
          <w:sz w:val="20"/>
          <w:szCs w:val="20"/>
          <w:lang w:val="es-ES"/>
        </w:rPr>
        <w:footnoteReference w:id="30"/>
      </w:r>
      <w:r w:rsidRPr="004E674F">
        <w:rPr>
          <w:rFonts w:ascii="Arial" w:hAnsi="Arial" w:cs="Arial"/>
          <w:sz w:val="20"/>
          <w:szCs w:val="20"/>
          <w:lang w:val="es-ES"/>
        </w:rPr>
        <w:t xml:space="preserve">.  Los costos indirectos reflejan el gasto de las actividades de apoyo (por ejemplo, edificios y tecnología de la información).  Estos últimos se ponderan para tener en cuenta únicamente la proporción imputable al sistema de </w:t>
      </w:r>
      <w:r>
        <w:rPr>
          <w:rFonts w:ascii="Arial" w:hAnsi="Arial" w:cs="Arial"/>
          <w:sz w:val="20"/>
          <w:szCs w:val="20"/>
          <w:lang w:val="es-ES"/>
        </w:rPr>
        <w:t>La Haya</w:t>
      </w:r>
      <w:r w:rsidRPr="004E674F">
        <w:rPr>
          <w:rFonts w:ascii="Arial" w:hAnsi="Arial" w:cs="Arial"/>
          <w:sz w:val="20"/>
          <w:szCs w:val="20"/>
          <w:lang w:val="es-ES"/>
        </w:rPr>
        <w:t>.</w:t>
      </w:r>
    </w:p>
    <w:p w:rsidR="00236E18" w:rsidRPr="004E674F" w:rsidRDefault="00236E18" w:rsidP="00236E18">
      <w:pPr>
        <w:pStyle w:val="ListParagraph"/>
        <w:ind w:left="1080"/>
        <w:jc w:val="both"/>
        <w:rPr>
          <w:rFonts w:ascii="Arial" w:hAnsi="Arial" w:cs="Arial"/>
          <w:sz w:val="20"/>
          <w:szCs w:val="20"/>
          <w:lang w:val="es-ES"/>
        </w:rPr>
      </w:pPr>
    </w:p>
    <w:p w:rsidR="00236E18" w:rsidRPr="004E674F" w:rsidRDefault="00236E18" w:rsidP="00236E18">
      <w:pPr>
        <w:pStyle w:val="ListParagraph"/>
        <w:ind w:left="1080"/>
        <w:rPr>
          <w:rFonts w:ascii="Arial" w:hAnsi="Arial" w:cs="Arial"/>
          <w:sz w:val="20"/>
          <w:szCs w:val="20"/>
          <w:lang w:val="es-ES"/>
        </w:rPr>
      </w:pPr>
      <w:r w:rsidRPr="000E1D63">
        <w:rPr>
          <w:noProof/>
          <w:lang w:eastAsia="en-US"/>
        </w:rPr>
        <w:drawing>
          <wp:inline distT="0" distB="0" distL="0" distR="0" wp14:anchorId="411E90D3" wp14:editId="4CA6D5AE">
            <wp:extent cx="4212369" cy="2670553"/>
            <wp:effectExtent l="0" t="0" r="0" b="0"/>
            <wp:docPr id="1015"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4219358" cy="2674984"/>
                    </a:xfrm>
                    <a:prstGeom prst="rect">
                      <a:avLst/>
                    </a:prstGeom>
                    <a:noFill/>
                    <a:ln>
                      <a:noFill/>
                    </a:ln>
                  </pic:spPr>
                </pic:pic>
              </a:graphicData>
            </a:graphic>
          </wp:inline>
        </w:drawing>
      </w:r>
    </w:p>
    <w:p w:rsidR="00236E18" w:rsidRPr="004E674F" w:rsidRDefault="00236E18" w:rsidP="00236E18">
      <w:pPr>
        <w:pStyle w:val="ListParagraph"/>
        <w:keepNext/>
        <w:keepLines/>
        <w:numPr>
          <w:ilvl w:val="0"/>
          <w:numId w:val="65"/>
        </w:numPr>
        <w:spacing w:after="120"/>
        <w:ind w:left="992" w:hanging="425"/>
        <w:contextualSpacing w:val="0"/>
        <w:jc w:val="both"/>
        <w:rPr>
          <w:rFonts w:ascii="Arial" w:hAnsi="Arial" w:cs="Arial"/>
          <w:sz w:val="20"/>
          <w:szCs w:val="20"/>
          <w:lang w:val="es-ES"/>
        </w:rPr>
      </w:pPr>
      <w:r w:rsidRPr="004E674F">
        <w:rPr>
          <w:rFonts w:ascii="Arial" w:hAnsi="Arial" w:cs="Arial"/>
          <w:sz w:val="20"/>
          <w:szCs w:val="20"/>
          <w:lang w:val="es-ES"/>
        </w:rPr>
        <w:lastRenderedPageBreak/>
        <w:t xml:space="preserve">El gasto total relacionado con la tramitación en el Sistema de </w:t>
      </w:r>
      <w:r>
        <w:rPr>
          <w:rFonts w:ascii="Arial" w:hAnsi="Arial" w:cs="Arial"/>
          <w:sz w:val="20"/>
          <w:szCs w:val="20"/>
          <w:lang w:val="es-ES"/>
        </w:rPr>
        <w:t>La Haya</w:t>
      </w:r>
      <w:r w:rsidRPr="004E674F">
        <w:rPr>
          <w:rFonts w:ascii="Arial" w:hAnsi="Arial" w:cs="Arial"/>
          <w:sz w:val="20"/>
          <w:szCs w:val="20"/>
          <w:lang w:val="es-ES"/>
        </w:rPr>
        <w:t xml:space="preserve"> se estima en 5,7</w:t>
      </w:r>
      <w:r>
        <w:rPr>
          <w:rFonts w:ascii="Arial" w:hAnsi="Arial" w:cs="Arial"/>
          <w:sz w:val="20"/>
          <w:szCs w:val="20"/>
          <w:lang w:val="es-ES"/>
        </w:rPr>
        <w:t xml:space="preserve"> </w:t>
      </w:r>
      <w:r w:rsidRPr="004E674F">
        <w:rPr>
          <w:rFonts w:ascii="Arial" w:hAnsi="Arial" w:cs="Arial"/>
          <w:sz w:val="20"/>
          <w:szCs w:val="20"/>
          <w:lang w:val="es-ES"/>
        </w:rPr>
        <w:t>millones de francos suizos en 2014.  Ello representa una disminución del 5,7% con respecto a 2013.  Los costos directos e indirectos disminuyeron, respectivamente, del 8,1% y del 2%.</w:t>
      </w:r>
    </w:p>
    <w:p w:rsidR="00236E18" w:rsidRPr="004E674F" w:rsidRDefault="00236E18" w:rsidP="00236E18">
      <w:pPr>
        <w:pStyle w:val="ListParagraph"/>
        <w:numPr>
          <w:ilvl w:val="0"/>
          <w:numId w:val="65"/>
        </w:numPr>
        <w:spacing w:after="200"/>
        <w:ind w:left="993" w:hanging="426"/>
        <w:jc w:val="both"/>
        <w:rPr>
          <w:rFonts w:ascii="Arial" w:hAnsi="Arial" w:cs="Arial"/>
          <w:sz w:val="20"/>
          <w:szCs w:val="20"/>
          <w:lang w:val="es-ES"/>
        </w:rPr>
      </w:pPr>
      <w:r w:rsidRPr="004E674F">
        <w:rPr>
          <w:rFonts w:ascii="Arial" w:hAnsi="Arial" w:cs="Arial"/>
          <w:sz w:val="20"/>
          <w:szCs w:val="20"/>
          <w:lang w:val="es-ES"/>
        </w:rPr>
        <w:t>En 2014, correspondió a los costos directos el 60% del gasto total.</w:t>
      </w:r>
    </w:p>
    <w:p w:rsidR="00236E18" w:rsidRPr="004E674F" w:rsidRDefault="00236E18" w:rsidP="00236E18">
      <w:pPr>
        <w:pStyle w:val="ListParagraph"/>
        <w:ind w:left="993" w:hanging="426"/>
        <w:rPr>
          <w:rFonts w:ascii="Arial" w:hAnsi="Arial" w:cs="Arial"/>
          <w:sz w:val="20"/>
          <w:szCs w:val="20"/>
          <w:lang w:val="es-ES"/>
        </w:rPr>
      </w:pPr>
    </w:p>
    <w:p w:rsidR="00236E18" w:rsidRPr="004E674F" w:rsidRDefault="00236E18" w:rsidP="00236E18">
      <w:pPr>
        <w:rPr>
          <w:sz w:val="20"/>
          <w:u w:val="single"/>
        </w:rPr>
      </w:pPr>
      <w:r w:rsidRPr="004E674F">
        <w:rPr>
          <w:sz w:val="20"/>
          <w:u w:val="single"/>
        </w:rPr>
        <w:t>Costo unitario</w:t>
      </w:r>
    </w:p>
    <w:p w:rsidR="00236E18" w:rsidRPr="004E674F" w:rsidRDefault="00236E18" w:rsidP="00236E18">
      <w:pPr>
        <w:rPr>
          <w:sz w:val="20"/>
          <w:u w:val="single"/>
        </w:rPr>
      </w:pPr>
    </w:p>
    <w:p w:rsidR="00236E18" w:rsidRPr="004E674F" w:rsidRDefault="00236E18" w:rsidP="00236E18">
      <w:pPr>
        <w:pStyle w:val="ListParagraph"/>
        <w:numPr>
          <w:ilvl w:val="0"/>
          <w:numId w:val="69"/>
        </w:numPr>
        <w:tabs>
          <w:tab w:val="left" w:pos="0"/>
          <w:tab w:val="left" w:pos="567"/>
        </w:tabs>
        <w:ind w:left="0" w:firstLine="0"/>
        <w:jc w:val="both"/>
        <w:rPr>
          <w:rFonts w:ascii="Arial" w:hAnsi="Arial" w:cs="Arial"/>
          <w:sz w:val="20"/>
          <w:szCs w:val="20"/>
          <w:lang w:val="es-ES"/>
        </w:rPr>
      </w:pPr>
      <w:r w:rsidRPr="004E674F">
        <w:rPr>
          <w:rFonts w:ascii="Arial" w:hAnsi="Arial" w:cs="Arial"/>
          <w:sz w:val="20"/>
          <w:szCs w:val="20"/>
          <w:lang w:val="es-ES"/>
        </w:rPr>
        <w:t>La eficiencia de la Oficina Internacional en cuanto a la tramitación de transacciones puede medirse por el costo unitario, definido como el costo medio de producción de una unidad de producto.</w:t>
      </w:r>
    </w:p>
    <w:p w:rsidR="00236E18" w:rsidRPr="004E674F" w:rsidRDefault="00236E18" w:rsidP="00236E18">
      <w:pPr>
        <w:contextualSpacing/>
        <w:jc w:val="both"/>
        <w:rPr>
          <w:sz w:val="20"/>
        </w:rPr>
      </w:pPr>
    </w:p>
    <w:p w:rsidR="00236E18" w:rsidRPr="004E674F" w:rsidRDefault="00236E18" w:rsidP="00236E18">
      <w:pPr>
        <w:pStyle w:val="ListParagraph"/>
        <w:numPr>
          <w:ilvl w:val="0"/>
          <w:numId w:val="69"/>
        </w:numPr>
        <w:tabs>
          <w:tab w:val="left" w:pos="0"/>
          <w:tab w:val="left" w:pos="567"/>
        </w:tabs>
        <w:ind w:left="0" w:firstLine="0"/>
        <w:jc w:val="both"/>
        <w:rPr>
          <w:rFonts w:ascii="Arial" w:hAnsi="Arial" w:cs="Arial"/>
          <w:sz w:val="20"/>
          <w:szCs w:val="20"/>
          <w:lang w:val="es-ES"/>
        </w:rPr>
      </w:pPr>
      <w:r w:rsidRPr="004E674F">
        <w:rPr>
          <w:rFonts w:ascii="Arial" w:hAnsi="Arial" w:cs="Arial"/>
          <w:sz w:val="20"/>
          <w:szCs w:val="20"/>
          <w:lang w:val="es-ES"/>
        </w:rPr>
        <w:t xml:space="preserve">Habida cuenta de que la Oficina Internacional crea registros a partir de nuevas solicitudes y mantiene los registros existentes, resulta pertinente contar con una unidad de producto que incluya un conjunto de transacciones.  Se presentan </w:t>
      </w:r>
      <w:r w:rsidRPr="004E674F">
        <w:rPr>
          <w:rFonts w:ascii="Arial" w:hAnsi="Arial" w:cs="Arial"/>
          <w:i/>
          <w:sz w:val="20"/>
          <w:szCs w:val="20"/>
          <w:lang w:val="es-ES"/>
        </w:rPr>
        <w:t>infra</w:t>
      </w:r>
      <w:r w:rsidRPr="004E674F">
        <w:rPr>
          <w:rFonts w:ascii="Arial" w:hAnsi="Arial" w:cs="Arial"/>
          <w:sz w:val="20"/>
          <w:szCs w:val="20"/>
          <w:lang w:val="es-ES"/>
        </w:rPr>
        <w:t xml:space="preserve"> dos indicadores de costo unitario, utilizando dos unidades de producto diferentes.</w:t>
      </w:r>
    </w:p>
    <w:p w:rsidR="00236E18" w:rsidRPr="004E674F" w:rsidRDefault="00236E18" w:rsidP="00236E18">
      <w:pPr>
        <w:pStyle w:val="ListParagraph"/>
        <w:tabs>
          <w:tab w:val="left" w:pos="0"/>
          <w:tab w:val="left" w:pos="567"/>
        </w:tabs>
        <w:ind w:left="0"/>
        <w:jc w:val="both"/>
        <w:rPr>
          <w:rFonts w:ascii="Arial" w:hAnsi="Arial" w:cs="Arial"/>
          <w:sz w:val="20"/>
          <w:szCs w:val="20"/>
          <w:lang w:val="es-ES"/>
        </w:rPr>
      </w:pPr>
    </w:p>
    <w:p w:rsidR="00236E18" w:rsidRPr="004E674F" w:rsidRDefault="00236E18" w:rsidP="00236E18">
      <w:pPr>
        <w:pStyle w:val="ListParagraph"/>
        <w:numPr>
          <w:ilvl w:val="0"/>
          <w:numId w:val="69"/>
        </w:numPr>
        <w:tabs>
          <w:tab w:val="left" w:pos="0"/>
          <w:tab w:val="left" w:pos="567"/>
        </w:tabs>
        <w:ind w:left="0" w:firstLine="0"/>
        <w:jc w:val="both"/>
        <w:rPr>
          <w:rFonts w:ascii="Arial" w:hAnsi="Arial" w:cs="Arial"/>
          <w:sz w:val="20"/>
          <w:szCs w:val="20"/>
          <w:lang w:val="es-ES"/>
        </w:rPr>
      </w:pPr>
      <w:r w:rsidRPr="004E674F">
        <w:rPr>
          <w:rFonts w:ascii="Arial" w:hAnsi="Arial" w:cs="Arial"/>
          <w:sz w:val="20"/>
          <w:szCs w:val="20"/>
          <w:lang w:val="es-ES"/>
        </w:rPr>
        <w:t xml:space="preserve">En el marco de los esfuerzos de la Oficina Internacional por seguir refinando la metodología de cálculo de los costos unitarios, en el presupuesto por programas se ha revisado esa metodología para reflejar con mayor exactitud el costo de tramitación del volumen de trabajo correspondiente al Sistema de </w:t>
      </w:r>
      <w:r>
        <w:rPr>
          <w:rFonts w:ascii="Arial" w:hAnsi="Arial" w:cs="Arial"/>
          <w:sz w:val="20"/>
          <w:szCs w:val="20"/>
          <w:lang w:val="es-ES"/>
        </w:rPr>
        <w:t>La Haya</w:t>
      </w:r>
      <w:r w:rsidRPr="004E674F">
        <w:rPr>
          <w:rFonts w:ascii="Arial" w:hAnsi="Arial" w:cs="Arial"/>
          <w:sz w:val="20"/>
          <w:szCs w:val="20"/>
          <w:lang w:val="es-ES"/>
        </w:rPr>
        <w:t xml:space="preserve"> en la Oficina Internacional</w:t>
      </w:r>
      <w:r>
        <w:rPr>
          <w:rFonts w:ascii="Arial" w:hAnsi="Arial" w:cs="Arial"/>
          <w:sz w:val="20"/>
          <w:szCs w:val="20"/>
          <w:lang w:val="es-ES"/>
        </w:rPr>
        <w:t>.</w:t>
      </w:r>
    </w:p>
    <w:p w:rsidR="00236E18" w:rsidRPr="004E674F" w:rsidRDefault="00236E18" w:rsidP="00236E18">
      <w:pPr>
        <w:pStyle w:val="ListParagraph"/>
        <w:tabs>
          <w:tab w:val="left" w:pos="0"/>
          <w:tab w:val="left" w:pos="567"/>
        </w:tabs>
        <w:ind w:left="0"/>
        <w:jc w:val="both"/>
        <w:rPr>
          <w:rFonts w:ascii="Arial" w:hAnsi="Arial" w:cs="Arial"/>
          <w:sz w:val="20"/>
          <w:szCs w:val="20"/>
          <w:lang w:val="es-ES"/>
        </w:rPr>
      </w:pPr>
    </w:p>
    <w:p w:rsidR="00236E18" w:rsidRPr="004E674F" w:rsidRDefault="00236E18" w:rsidP="00236E18">
      <w:pPr>
        <w:pStyle w:val="ListParagraph"/>
        <w:numPr>
          <w:ilvl w:val="0"/>
          <w:numId w:val="69"/>
        </w:numPr>
        <w:tabs>
          <w:tab w:val="left" w:pos="0"/>
          <w:tab w:val="left" w:pos="567"/>
        </w:tabs>
        <w:ind w:left="0" w:firstLine="0"/>
        <w:jc w:val="both"/>
        <w:rPr>
          <w:rFonts w:ascii="Arial" w:hAnsi="Arial" w:cs="Arial"/>
          <w:sz w:val="20"/>
          <w:szCs w:val="20"/>
          <w:lang w:val="es-ES"/>
        </w:rPr>
      </w:pPr>
      <w:r w:rsidRPr="004E674F">
        <w:rPr>
          <w:rFonts w:ascii="Arial" w:hAnsi="Arial" w:cs="Arial"/>
          <w:sz w:val="20"/>
          <w:szCs w:val="20"/>
          <w:lang w:val="es-ES"/>
        </w:rPr>
        <w:t>La revisión en cuestión incluye lo siguiente:</w:t>
      </w:r>
    </w:p>
    <w:p w:rsidR="00236E18" w:rsidRPr="004E674F" w:rsidRDefault="00236E18" w:rsidP="00236E18">
      <w:pPr>
        <w:pStyle w:val="ListParagraph"/>
        <w:tabs>
          <w:tab w:val="left" w:pos="0"/>
          <w:tab w:val="left" w:pos="567"/>
        </w:tabs>
        <w:spacing w:after="120"/>
        <w:ind w:left="0"/>
        <w:jc w:val="both"/>
        <w:rPr>
          <w:rFonts w:ascii="Arial" w:hAnsi="Arial" w:cs="Arial"/>
          <w:sz w:val="20"/>
          <w:szCs w:val="20"/>
          <w:lang w:val="es-ES"/>
        </w:rPr>
      </w:pPr>
    </w:p>
    <w:p w:rsidR="00236E18" w:rsidRPr="004E674F" w:rsidRDefault="00236E18" w:rsidP="00236E18">
      <w:pPr>
        <w:pStyle w:val="ListParagraph"/>
        <w:numPr>
          <w:ilvl w:val="0"/>
          <w:numId w:val="68"/>
        </w:numPr>
        <w:spacing w:after="120"/>
        <w:ind w:left="1134" w:hanging="567"/>
        <w:contextualSpacing w:val="0"/>
        <w:jc w:val="both"/>
        <w:rPr>
          <w:rFonts w:ascii="Arial" w:hAnsi="Arial" w:cs="Arial"/>
          <w:sz w:val="20"/>
          <w:szCs w:val="20"/>
          <w:lang w:val="es-ES"/>
        </w:rPr>
      </w:pPr>
      <w:r w:rsidRPr="004E674F">
        <w:rPr>
          <w:rFonts w:ascii="Arial" w:hAnsi="Arial" w:cs="Arial"/>
          <w:sz w:val="20"/>
          <w:szCs w:val="20"/>
          <w:lang w:val="es-ES"/>
        </w:rPr>
        <w:t xml:space="preserve">La metodología de cálculo de los costos directos e indirectos correspondientes al Sistema de </w:t>
      </w:r>
      <w:r>
        <w:rPr>
          <w:rFonts w:ascii="Arial" w:hAnsi="Arial" w:cs="Arial"/>
          <w:sz w:val="20"/>
          <w:szCs w:val="20"/>
          <w:lang w:val="es-ES"/>
        </w:rPr>
        <w:t>La Haya</w:t>
      </w:r>
      <w:r w:rsidRPr="004E674F">
        <w:rPr>
          <w:rFonts w:ascii="Arial" w:hAnsi="Arial" w:cs="Arial"/>
          <w:sz w:val="20"/>
          <w:szCs w:val="20"/>
          <w:lang w:val="es-ES"/>
        </w:rPr>
        <w:t xml:space="preserve"> se ha puesto en sintonía con las metodologías de cálculo de los costos unitarios correspondientes al Sistema del PCT y al de Madrid.</w:t>
      </w:r>
    </w:p>
    <w:p w:rsidR="00236E18" w:rsidRPr="004E674F" w:rsidRDefault="00236E18" w:rsidP="00236E18">
      <w:pPr>
        <w:pStyle w:val="ListParagraph"/>
        <w:numPr>
          <w:ilvl w:val="0"/>
          <w:numId w:val="54"/>
        </w:numPr>
        <w:spacing w:after="120"/>
        <w:ind w:left="1134" w:hanging="567"/>
        <w:contextualSpacing w:val="0"/>
        <w:jc w:val="both"/>
        <w:rPr>
          <w:rFonts w:ascii="Arial" w:hAnsi="Arial" w:cs="Arial"/>
          <w:sz w:val="20"/>
          <w:szCs w:val="20"/>
          <w:lang w:val="es-ES"/>
        </w:rPr>
      </w:pPr>
      <w:r w:rsidRPr="004E674F">
        <w:rPr>
          <w:rFonts w:ascii="Arial" w:hAnsi="Arial" w:cs="Arial"/>
          <w:sz w:val="20"/>
          <w:szCs w:val="20"/>
          <w:lang w:val="es-ES"/>
        </w:rPr>
        <w:t>Se ha introducido un sistema ponderado para reflejar con mayor precisión el trabajo necesario para tramitar las cuatro categorías de documentos, teniendo en cuenta que algunos de esos documentos suponen una carga de trabajo mayor</w:t>
      </w:r>
      <w:r w:rsidRPr="004E674F">
        <w:rPr>
          <w:rStyle w:val="FootnoteReference"/>
          <w:rFonts w:ascii="Arial" w:hAnsi="Arial" w:cs="Arial"/>
          <w:sz w:val="20"/>
          <w:szCs w:val="20"/>
          <w:lang w:val="es-ES"/>
        </w:rPr>
        <w:footnoteReference w:id="31"/>
      </w:r>
      <w:r w:rsidRPr="004E674F">
        <w:rPr>
          <w:rFonts w:ascii="Arial" w:hAnsi="Arial" w:cs="Arial"/>
          <w:sz w:val="20"/>
          <w:szCs w:val="20"/>
          <w:lang w:val="es-ES"/>
        </w:rPr>
        <w:t>.</w:t>
      </w:r>
    </w:p>
    <w:p w:rsidR="00236E18" w:rsidRPr="004E674F" w:rsidRDefault="00236E18" w:rsidP="00236E18">
      <w:pPr>
        <w:pStyle w:val="ListParagraph"/>
        <w:numPr>
          <w:ilvl w:val="0"/>
          <w:numId w:val="54"/>
        </w:numPr>
        <w:spacing w:after="120"/>
        <w:ind w:left="1134" w:hanging="567"/>
        <w:contextualSpacing w:val="0"/>
        <w:jc w:val="both"/>
        <w:rPr>
          <w:rFonts w:ascii="Arial" w:hAnsi="Arial" w:cs="Arial"/>
          <w:sz w:val="20"/>
          <w:szCs w:val="20"/>
          <w:lang w:val="es-ES"/>
        </w:rPr>
      </w:pPr>
      <w:r w:rsidRPr="004E674F">
        <w:rPr>
          <w:rFonts w:ascii="Arial" w:hAnsi="Arial" w:cs="Arial"/>
          <w:sz w:val="20"/>
          <w:szCs w:val="20"/>
          <w:lang w:val="es-ES"/>
        </w:rPr>
        <w:t xml:space="preserve">El primer costo unitario ha sido redefinido para incluir los dibujos o modelos contenidos </w:t>
      </w:r>
      <w:r>
        <w:rPr>
          <w:rFonts w:ascii="Arial" w:hAnsi="Arial" w:cs="Arial"/>
          <w:sz w:val="20"/>
          <w:szCs w:val="20"/>
          <w:lang w:val="es-ES"/>
        </w:rPr>
        <w:t xml:space="preserve">tanto </w:t>
      </w:r>
      <w:r w:rsidRPr="004E674F">
        <w:rPr>
          <w:rFonts w:ascii="Arial" w:hAnsi="Arial" w:cs="Arial"/>
          <w:sz w:val="20"/>
          <w:szCs w:val="20"/>
          <w:lang w:val="es-ES"/>
        </w:rPr>
        <w:t xml:space="preserve">en nuevos registros internacionales </w:t>
      </w:r>
      <w:r>
        <w:rPr>
          <w:rFonts w:ascii="Arial" w:hAnsi="Arial" w:cs="Arial"/>
          <w:sz w:val="20"/>
          <w:szCs w:val="20"/>
          <w:lang w:val="es-ES"/>
        </w:rPr>
        <w:t xml:space="preserve">como </w:t>
      </w:r>
      <w:r w:rsidRPr="004E674F">
        <w:rPr>
          <w:rFonts w:ascii="Arial" w:hAnsi="Arial" w:cs="Arial"/>
          <w:sz w:val="20"/>
          <w:szCs w:val="20"/>
          <w:lang w:val="es-ES"/>
        </w:rPr>
        <w:t xml:space="preserve">en renovaciones (en el presupuesto por programas de 2014/15, el costo unitario incluía solo los dibujos o modelos contenidos en registros internacionales).  El motivo por el que se añaden los dibujos o modelos contenidos en renovaciones como componente de este costo unitario es centrar más la atención en los productos centrales del Sistema de </w:t>
      </w:r>
      <w:r>
        <w:rPr>
          <w:rFonts w:ascii="Arial" w:hAnsi="Arial" w:cs="Arial"/>
          <w:sz w:val="20"/>
          <w:szCs w:val="20"/>
          <w:lang w:val="es-ES"/>
        </w:rPr>
        <w:t>La Haya</w:t>
      </w:r>
      <w:r w:rsidRPr="004E674F">
        <w:rPr>
          <w:rFonts w:ascii="Arial" w:hAnsi="Arial" w:cs="Arial"/>
          <w:sz w:val="20"/>
          <w:szCs w:val="20"/>
          <w:lang w:val="es-ES"/>
        </w:rPr>
        <w:t>, a saber</w:t>
      </w:r>
      <w:r>
        <w:rPr>
          <w:rFonts w:ascii="Arial" w:hAnsi="Arial" w:cs="Arial"/>
          <w:sz w:val="20"/>
          <w:szCs w:val="20"/>
          <w:lang w:val="es-ES"/>
        </w:rPr>
        <w:t>,</w:t>
      </w:r>
      <w:r w:rsidRPr="004E674F">
        <w:rPr>
          <w:rFonts w:ascii="Arial" w:hAnsi="Arial" w:cs="Arial"/>
          <w:sz w:val="20"/>
          <w:szCs w:val="20"/>
          <w:lang w:val="es-ES"/>
        </w:rPr>
        <w:t xml:space="preserve"> el registro internacional y su renovación.</w:t>
      </w:r>
    </w:p>
    <w:p w:rsidR="00236E18" w:rsidRPr="004E674F" w:rsidRDefault="00236E18" w:rsidP="00236E18">
      <w:pPr>
        <w:pStyle w:val="ListParagraph"/>
        <w:numPr>
          <w:ilvl w:val="0"/>
          <w:numId w:val="54"/>
        </w:numPr>
        <w:spacing w:after="200"/>
        <w:ind w:left="1134" w:hanging="567"/>
        <w:jc w:val="both"/>
        <w:rPr>
          <w:rFonts w:ascii="Arial" w:hAnsi="Arial" w:cs="Arial"/>
          <w:sz w:val="20"/>
          <w:szCs w:val="20"/>
          <w:lang w:val="es-ES"/>
        </w:rPr>
      </w:pPr>
      <w:r w:rsidRPr="004E674F">
        <w:rPr>
          <w:rFonts w:ascii="Arial" w:hAnsi="Arial" w:cs="Arial"/>
          <w:sz w:val="20"/>
          <w:szCs w:val="20"/>
          <w:lang w:val="es-ES"/>
        </w:rPr>
        <w:t xml:space="preserve">El segundo costo unitario se basa en el número de documentos tramitados e inscritos en el Registro, antes que en el número de inscripciones, debido a los </w:t>
      </w:r>
      <w:r>
        <w:rPr>
          <w:rFonts w:ascii="Arial" w:hAnsi="Arial" w:cs="Arial"/>
          <w:sz w:val="20"/>
          <w:szCs w:val="20"/>
          <w:lang w:val="es-ES"/>
        </w:rPr>
        <w:t>diferentes</w:t>
      </w:r>
      <w:r w:rsidRPr="004E674F">
        <w:rPr>
          <w:rFonts w:ascii="Arial" w:hAnsi="Arial" w:cs="Arial"/>
          <w:sz w:val="20"/>
          <w:szCs w:val="20"/>
          <w:lang w:val="es-ES"/>
        </w:rPr>
        <w:t xml:space="preserve"> niveles de esfuerzo necesarios para tramitar los distintos documentos.</w:t>
      </w:r>
    </w:p>
    <w:p w:rsidR="00236E18" w:rsidRPr="004E674F" w:rsidRDefault="00236E18" w:rsidP="00236E18">
      <w:pPr>
        <w:pStyle w:val="ListParagraph"/>
        <w:ind w:left="0"/>
        <w:jc w:val="both"/>
        <w:rPr>
          <w:rFonts w:ascii="Arial" w:hAnsi="Arial" w:cs="Arial"/>
          <w:sz w:val="20"/>
          <w:szCs w:val="20"/>
          <w:lang w:val="es-ES"/>
        </w:rPr>
      </w:pPr>
    </w:p>
    <w:p w:rsidR="00236E18" w:rsidRPr="004E674F" w:rsidRDefault="00236E18" w:rsidP="00236E18">
      <w:pPr>
        <w:pStyle w:val="ListParagraph"/>
        <w:numPr>
          <w:ilvl w:val="0"/>
          <w:numId w:val="69"/>
        </w:numPr>
        <w:tabs>
          <w:tab w:val="left" w:pos="0"/>
          <w:tab w:val="left" w:pos="567"/>
        </w:tabs>
        <w:ind w:left="0" w:firstLine="0"/>
        <w:jc w:val="both"/>
        <w:rPr>
          <w:rFonts w:ascii="Arial" w:hAnsi="Arial" w:cs="Arial"/>
          <w:sz w:val="20"/>
          <w:szCs w:val="20"/>
          <w:lang w:val="es-ES"/>
        </w:rPr>
      </w:pPr>
      <w:r w:rsidRPr="004E674F">
        <w:rPr>
          <w:rFonts w:ascii="Arial" w:hAnsi="Arial" w:cs="Arial"/>
          <w:sz w:val="20"/>
          <w:szCs w:val="20"/>
          <w:lang w:val="es-ES"/>
        </w:rPr>
        <w:t xml:space="preserve">Para facilitar la comparación, se ilustra en los gráficos que figuran </w:t>
      </w:r>
      <w:r w:rsidRPr="004E674F">
        <w:rPr>
          <w:rFonts w:ascii="Arial" w:hAnsi="Arial" w:cs="Arial"/>
          <w:i/>
          <w:sz w:val="20"/>
          <w:szCs w:val="20"/>
          <w:lang w:val="es-ES"/>
        </w:rPr>
        <w:t>infra</w:t>
      </w:r>
      <w:r w:rsidRPr="004E674F">
        <w:rPr>
          <w:rFonts w:ascii="Arial" w:hAnsi="Arial" w:cs="Arial"/>
          <w:sz w:val="20"/>
          <w:szCs w:val="20"/>
          <w:lang w:val="es-ES"/>
        </w:rPr>
        <w:t xml:space="preserve"> la evolución de los dos costos unitarios entre 2008 y 2014, utilizando la vieja metodología, y entre 2012 y 2014, utilizando la nueva, y se incluye un desglose de la parte correspondientes a los costos directos e indirectos.</w:t>
      </w:r>
    </w:p>
    <w:p w:rsidR="00236E18" w:rsidRPr="004E674F" w:rsidRDefault="00236E18" w:rsidP="00236E18">
      <w:pPr>
        <w:pStyle w:val="ListParagraph"/>
        <w:tabs>
          <w:tab w:val="left" w:pos="0"/>
          <w:tab w:val="left" w:pos="567"/>
        </w:tabs>
        <w:ind w:left="0"/>
        <w:jc w:val="both"/>
        <w:rPr>
          <w:rFonts w:ascii="Arial" w:hAnsi="Arial" w:cs="Arial"/>
          <w:sz w:val="20"/>
          <w:szCs w:val="20"/>
          <w:lang w:val="es-ES"/>
        </w:rPr>
      </w:pPr>
    </w:p>
    <w:p w:rsidR="00236E18" w:rsidRPr="004E674F" w:rsidRDefault="00236E18" w:rsidP="00236E18">
      <w:pPr>
        <w:jc w:val="both"/>
        <w:rPr>
          <w:i/>
          <w:sz w:val="20"/>
        </w:rPr>
      </w:pPr>
      <w:r w:rsidRPr="004E674F">
        <w:rPr>
          <w:i/>
          <w:sz w:val="20"/>
        </w:rPr>
        <w:t>Costo unitario por dibujo o modelo nuevo/renovado</w:t>
      </w:r>
    </w:p>
    <w:p w:rsidR="00236E18" w:rsidRPr="004E674F" w:rsidRDefault="00236E18" w:rsidP="00236E18">
      <w:pPr>
        <w:jc w:val="both"/>
        <w:rPr>
          <w:sz w:val="20"/>
        </w:rPr>
      </w:pPr>
    </w:p>
    <w:p w:rsidR="00236E18" w:rsidRPr="004E674F" w:rsidRDefault="00236E18" w:rsidP="00236E18">
      <w:pPr>
        <w:pStyle w:val="ListParagraph"/>
        <w:numPr>
          <w:ilvl w:val="0"/>
          <w:numId w:val="69"/>
        </w:numPr>
        <w:tabs>
          <w:tab w:val="left" w:pos="0"/>
          <w:tab w:val="left" w:pos="567"/>
        </w:tabs>
        <w:ind w:left="0" w:firstLine="0"/>
        <w:jc w:val="both"/>
        <w:rPr>
          <w:rFonts w:ascii="Arial" w:hAnsi="Arial" w:cs="Arial"/>
          <w:sz w:val="20"/>
          <w:szCs w:val="20"/>
          <w:lang w:val="es-ES"/>
        </w:rPr>
      </w:pPr>
      <w:r w:rsidRPr="004E674F">
        <w:rPr>
          <w:rFonts w:ascii="Arial" w:hAnsi="Arial" w:cs="Arial"/>
          <w:sz w:val="20"/>
          <w:szCs w:val="20"/>
          <w:lang w:val="es-ES"/>
        </w:rPr>
        <w:t xml:space="preserve">Los dibujos o modelos nuevos son los que están contenidos en solicitudes internacionales que </w:t>
      </w:r>
      <w:r>
        <w:rPr>
          <w:rFonts w:ascii="Arial" w:hAnsi="Arial" w:cs="Arial"/>
          <w:sz w:val="20"/>
          <w:szCs w:val="20"/>
          <w:lang w:val="es-ES"/>
        </w:rPr>
        <w:t>dan lugar a registros</w:t>
      </w:r>
      <w:r w:rsidRPr="004E674F">
        <w:rPr>
          <w:rFonts w:ascii="Arial" w:hAnsi="Arial" w:cs="Arial"/>
          <w:sz w:val="20"/>
          <w:szCs w:val="20"/>
          <w:lang w:val="es-ES"/>
        </w:rPr>
        <w:t xml:space="preserve"> en un año determinado, y los dibujos o modelos renovados son los que ya existen en registros internacionales y son objeto de renovación en un año determinado.  Combinados, los dibujos o modelos contenidos en esos dos tipos de transacción reflejan las actividades principales de la Oficina Internacional</w:t>
      </w:r>
      <w:r>
        <w:rPr>
          <w:rFonts w:ascii="Arial" w:hAnsi="Arial" w:cs="Arial"/>
          <w:sz w:val="20"/>
          <w:szCs w:val="20"/>
          <w:lang w:val="es-ES"/>
        </w:rPr>
        <w:t xml:space="preserve"> en este contexto</w:t>
      </w:r>
      <w:r w:rsidRPr="004E674F">
        <w:rPr>
          <w:rFonts w:ascii="Arial" w:hAnsi="Arial" w:cs="Arial"/>
          <w:sz w:val="20"/>
          <w:szCs w:val="20"/>
          <w:lang w:val="es-ES"/>
        </w:rPr>
        <w:t>.</w:t>
      </w:r>
    </w:p>
    <w:p w:rsidR="00236E18" w:rsidRPr="004E674F" w:rsidRDefault="00236E18" w:rsidP="00236E18">
      <w:pPr>
        <w:jc w:val="both"/>
        <w:rPr>
          <w:sz w:val="20"/>
        </w:rPr>
      </w:pPr>
    </w:p>
    <w:p w:rsidR="00236E18" w:rsidRPr="004E674F" w:rsidRDefault="00236E18" w:rsidP="00236E18">
      <w:pPr>
        <w:pStyle w:val="ListParagraph"/>
        <w:numPr>
          <w:ilvl w:val="0"/>
          <w:numId w:val="69"/>
        </w:numPr>
        <w:tabs>
          <w:tab w:val="left" w:pos="0"/>
          <w:tab w:val="left" w:pos="567"/>
        </w:tabs>
        <w:ind w:left="0" w:firstLine="0"/>
        <w:jc w:val="both"/>
        <w:rPr>
          <w:rFonts w:ascii="Arial" w:hAnsi="Arial" w:cs="Arial"/>
          <w:sz w:val="20"/>
          <w:szCs w:val="20"/>
          <w:lang w:val="es-ES"/>
        </w:rPr>
      </w:pPr>
      <w:r w:rsidRPr="004E674F">
        <w:rPr>
          <w:rFonts w:ascii="Arial" w:hAnsi="Arial" w:cs="Arial"/>
          <w:sz w:val="20"/>
          <w:szCs w:val="20"/>
          <w:lang w:val="es-ES"/>
        </w:rPr>
        <w:t xml:space="preserve">Habida cuenta de que </w:t>
      </w:r>
      <w:r>
        <w:rPr>
          <w:rFonts w:ascii="Arial" w:hAnsi="Arial" w:cs="Arial"/>
          <w:sz w:val="20"/>
          <w:szCs w:val="20"/>
          <w:lang w:val="es-ES"/>
        </w:rPr>
        <w:t xml:space="preserve">los recursos necesarios </w:t>
      </w:r>
      <w:r w:rsidRPr="004E674F">
        <w:rPr>
          <w:rFonts w:ascii="Arial" w:hAnsi="Arial" w:cs="Arial"/>
          <w:sz w:val="20"/>
          <w:szCs w:val="20"/>
          <w:lang w:val="es-ES"/>
        </w:rPr>
        <w:t xml:space="preserve">para tramitar los dibujos o modelos contenidos en esos dos tipos de documentos </w:t>
      </w:r>
      <w:r>
        <w:rPr>
          <w:rFonts w:ascii="Arial" w:hAnsi="Arial" w:cs="Arial"/>
          <w:sz w:val="20"/>
          <w:szCs w:val="20"/>
          <w:lang w:val="es-ES"/>
        </w:rPr>
        <w:t>son diferentes</w:t>
      </w:r>
      <w:r w:rsidRPr="004E674F">
        <w:rPr>
          <w:rFonts w:ascii="Arial" w:hAnsi="Arial" w:cs="Arial"/>
          <w:sz w:val="20"/>
          <w:szCs w:val="20"/>
          <w:lang w:val="es-ES"/>
        </w:rPr>
        <w:t>, cada uno de ellos se pondera de forma distinta</w:t>
      </w:r>
      <w:r w:rsidRPr="004E674F">
        <w:rPr>
          <w:rStyle w:val="FootnoteReference"/>
          <w:rFonts w:ascii="Arial" w:hAnsi="Arial" w:cs="Arial"/>
          <w:sz w:val="20"/>
          <w:szCs w:val="20"/>
          <w:lang w:val="es-ES"/>
        </w:rPr>
        <w:footnoteReference w:id="32"/>
      </w:r>
      <w:r w:rsidRPr="004E674F">
        <w:rPr>
          <w:rFonts w:ascii="Arial" w:hAnsi="Arial" w:cs="Arial"/>
          <w:sz w:val="20"/>
          <w:szCs w:val="20"/>
          <w:lang w:val="es-ES"/>
        </w:rPr>
        <w:t xml:space="preserve">.  El </w:t>
      </w:r>
      <w:r w:rsidRPr="004E674F">
        <w:rPr>
          <w:rFonts w:ascii="Arial" w:hAnsi="Arial" w:cs="Arial"/>
          <w:sz w:val="20"/>
          <w:szCs w:val="20"/>
          <w:lang w:val="es-ES"/>
        </w:rPr>
        <w:lastRenderedPageBreak/>
        <w:t>costo unitario se calcula dividiendo el costo total de producción por el número de dibujos o modelos nuevos/renovados.</w:t>
      </w:r>
    </w:p>
    <w:p w:rsidR="00236E18" w:rsidRPr="004E674F" w:rsidRDefault="00236E18" w:rsidP="00236E18">
      <w:pPr>
        <w:spacing w:before="120" w:after="120"/>
        <w:jc w:val="both"/>
        <w:rPr>
          <w:sz w:val="20"/>
        </w:rPr>
      </w:pPr>
    </w:p>
    <w:tbl>
      <w:tblPr>
        <w:tblW w:w="0" w:type="auto"/>
        <w:tblLook w:val="04A0" w:firstRow="1" w:lastRow="0" w:firstColumn="1" w:lastColumn="0" w:noHBand="0" w:noVBand="1"/>
      </w:tblPr>
      <w:tblGrid>
        <w:gridCol w:w="4346"/>
        <w:gridCol w:w="4941"/>
      </w:tblGrid>
      <w:tr w:rsidR="00236E18" w:rsidRPr="004E674F" w:rsidTr="00294272">
        <w:tc>
          <w:tcPr>
            <w:tcW w:w="4788" w:type="dxa"/>
          </w:tcPr>
          <w:p w:rsidR="00236E18" w:rsidRPr="004E674F" w:rsidRDefault="00236E18" w:rsidP="00294272">
            <w:pPr>
              <w:keepNext/>
              <w:keepLines/>
              <w:spacing w:after="200" w:line="276" w:lineRule="auto"/>
              <w:jc w:val="center"/>
              <w:rPr>
                <w:sz w:val="20"/>
              </w:rPr>
            </w:pPr>
            <w:r w:rsidRPr="004E674F">
              <w:rPr>
                <w:sz w:val="20"/>
              </w:rPr>
              <w:t>Método antiguo</w:t>
            </w:r>
          </w:p>
        </w:tc>
        <w:tc>
          <w:tcPr>
            <w:tcW w:w="4788" w:type="dxa"/>
          </w:tcPr>
          <w:p w:rsidR="00236E18" w:rsidRPr="004E674F" w:rsidRDefault="00236E18" w:rsidP="00294272">
            <w:pPr>
              <w:keepNext/>
              <w:keepLines/>
              <w:spacing w:after="200" w:line="276" w:lineRule="auto"/>
              <w:jc w:val="center"/>
              <w:rPr>
                <w:sz w:val="20"/>
              </w:rPr>
            </w:pPr>
            <w:r w:rsidRPr="004E674F">
              <w:rPr>
                <w:sz w:val="20"/>
              </w:rPr>
              <w:t>Método nuevo</w:t>
            </w:r>
          </w:p>
        </w:tc>
      </w:tr>
      <w:tr w:rsidR="00236E18" w:rsidRPr="004E674F" w:rsidTr="00294272">
        <w:tc>
          <w:tcPr>
            <w:tcW w:w="4788" w:type="dxa"/>
          </w:tcPr>
          <w:p w:rsidR="00236E18" w:rsidRPr="004E674F" w:rsidRDefault="00236E18" w:rsidP="00294272">
            <w:pPr>
              <w:keepNext/>
              <w:keepLines/>
              <w:spacing w:after="200" w:line="276" w:lineRule="auto"/>
              <w:jc w:val="center"/>
              <w:rPr>
                <w:sz w:val="20"/>
              </w:rPr>
            </w:pPr>
            <w:r>
              <w:rPr>
                <w:noProof/>
                <w:sz w:val="20"/>
                <w:lang w:val="en-US" w:eastAsia="en-US"/>
              </w:rPr>
              <w:drawing>
                <wp:inline distT="0" distB="0" distL="0" distR="0" wp14:anchorId="45CB35D2" wp14:editId="1FDC8618">
                  <wp:extent cx="2631514" cy="1942459"/>
                  <wp:effectExtent l="0" t="0" r="0" b="1270"/>
                  <wp:docPr id="1016"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2642803" cy="1950792"/>
                          </a:xfrm>
                          <a:prstGeom prst="rect">
                            <a:avLst/>
                          </a:prstGeom>
                          <a:noFill/>
                          <a:ln>
                            <a:noFill/>
                          </a:ln>
                        </pic:spPr>
                      </pic:pic>
                    </a:graphicData>
                  </a:graphic>
                </wp:inline>
              </w:drawing>
            </w:r>
          </w:p>
        </w:tc>
        <w:tc>
          <w:tcPr>
            <w:tcW w:w="4788" w:type="dxa"/>
          </w:tcPr>
          <w:p w:rsidR="00236E18" w:rsidRPr="004E674F" w:rsidRDefault="00236E18" w:rsidP="00294272">
            <w:pPr>
              <w:keepNext/>
              <w:keepLines/>
              <w:spacing w:after="200" w:line="276" w:lineRule="auto"/>
              <w:jc w:val="center"/>
              <w:rPr>
                <w:sz w:val="20"/>
              </w:rPr>
            </w:pPr>
            <w:r>
              <w:rPr>
                <w:noProof/>
                <w:sz w:val="20"/>
                <w:lang w:val="en-US" w:eastAsia="en-US"/>
              </w:rPr>
              <w:drawing>
                <wp:inline distT="0" distB="0" distL="0" distR="0" wp14:anchorId="296675CF" wp14:editId="5AC25FF6">
                  <wp:extent cx="3011038" cy="2017762"/>
                  <wp:effectExtent l="0" t="0" r="0" b="1905"/>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3011993" cy="2018402"/>
                          </a:xfrm>
                          <a:prstGeom prst="rect">
                            <a:avLst/>
                          </a:prstGeom>
                          <a:noFill/>
                          <a:ln>
                            <a:noFill/>
                          </a:ln>
                        </pic:spPr>
                      </pic:pic>
                    </a:graphicData>
                  </a:graphic>
                </wp:inline>
              </w:drawing>
            </w:r>
          </w:p>
        </w:tc>
      </w:tr>
    </w:tbl>
    <w:p w:rsidR="00236E18" w:rsidRPr="004E674F" w:rsidRDefault="00236E18" w:rsidP="00236E18">
      <w:pPr>
        <w:pStyle w:val="ListParagraph"/>
        <w:spacing w:before="120" w:after="120"/>
        <w:ind w:left="1080"/>
        <w:jc w:val="center"/>
        <w:rPr>
          <w:rFonts w:ascii="Arial" w:hAnsi="Arial" w:cs="Arial"/>
          <w:sz w:val="20"/>
          <w:szCs w:val="20"/>
          <w:lang w:val="es-ES"/>
        </w:rPr>
      </w:pPr>
    </w:p>
    <w:p w:rsidR="00236E18" w:rsidRPr="004E674F" w:rsidRDefault="00236E18" w:rsidP="00236E18">
      <w:pPr>
        <w:pStyle w:val="ListParagraph"/>
        <w:numPr>
          <w:ilvl w:val="0"/>
          <w:numId w:val="66"/>
        </w:numPr>
        <w:ind w:left="993" w:hanging="426"/>
        <w:jc w:val="both"/>
        <w:rPr>
          <w:rFonts w:ascii="Arial" w:hAnsi="Arial" w:cs="Arial"/>
          <w:sz w:val="20"/>
          <w:szCs w:val="20"/>
          <w:lang w:val="es-ES"/>
        </w:rPr>
      </w:pPr>
      <w:r w:rsidRPr="00E5727C">
        <w:rPr>
          <w:rFonts w:ascii="Arial" w:hAnsi="Arial" w:cs="Arial"/>
          <w:sz w:val="20"/>
          <w:szCs w:val="20"/>
          <w:lang w:val="es-ES"/>
        </w:rPr>
        <w:t>En 2014,</w:t>
      </w:r>
      <w:r>
        <w:rPr>
          <w:rFonts w:ascii="Arial" w:hAnsi="Arial" w:cs="Arial"/>
          <w:sz w:val="20"/>
          <w:szCs w:val="20"/>
          <w:lang w:val="es-ES"/>
        </w:rPr>
        <w:t xml:space="preserve"> e</w:t>
      </w:r>
      <w:r w:rsidRPr="004E674F">
        <w:rPr>
          <w:rFonts w:ascii="Arial" w:hAnsi="Arial" w:cs="Arial"/>
          <w:sz w:val="20"/>
          <w:szCs w:val="20"/>
          <w:lang w:val="es-ES"/>
        </w:rPr>
        <w:t>l costo medio de tramitación de un dibujo o modelo</w:t>
      </w:r>
      <w:r>
        <w:rPr>
          <w:rFonts w:ascii="Arial" w:hAnsi="Arial" w:cs="Arial"/>
          <w:sz w:val="20"/>
          <w:szCs w:val="20"/>
          <w:lang w:val="es-ES"/>
        </w:rPr>
        <w:t xml:space="preserve"> nuevo/renovado fue de </w:t>
      </w:r>
      <w:r w:rsidRPr="004E674F">
        <w:rPr>
          <w:rFonts w:ascii="Arial" w:hAnsi="Arial" w:cs="Arial"/>
          <w:sz w:val="20"/>
          <w:szCs w:val="20"/>
          <w:lang w:val="es-ES"/>
        </w:rPr>
        <w:t>366 francos suizos</w:t>
      </w:r>
      <w:r>
        <w:rPr>
          <w:rFonts w:ascii="Arial" w:hAnsi="Arial" w:cs="Arial"/>
          <w:sz w:val="20"/>
          <w:szCs w:val="20"/>
          <w:lang w:val="es-ES"/>
        </w:rPr>
        <w:t>,</w:t>
      </w:r>
      <w:r w:rsidRPr="004E674F">
        <w:rPr>
          <w:rFonts w:ascii="Arial" w:hAnsi="Arial" w:cs="Arial"/>
          <w:sz w:val="20"/>
          <w:szCs w:val="20"/>
          <w:lang w:val="es-ES"/>
        </w:rPr>
        <w:t xml:space="preserve"> es decir que se produjo una disminución del 12,8% con respecto a 2013.  Esa disminución se debió principalmente a una baja del </w:t>
      </w:r>
      <w:r>
        <w:rPr>
          <w:rFonts w:ascii="Arial" w:hAnsi="Arial" w:cs="Arial"/>
          <w:sz w:val="20"/>
          <w:szCs w:val="20"/>
          <w:lang w:val="es-ES"/>
        </w:rPr>
        <w:t>5,</w:t>
      </w:r>
      <w:r w:rsidRPr="004E674F">
        <w:rPr>
          <w:rFonts w:ascii="Arial" w:hAnsi="Arial" w:cs="Arial"/>
          <w:sz w:val="20"/>
          <w:szCs w:val="20"/>
          <w:lang w:val="es-ES"/>
        </w:rPr>
        <w:t>7% en el costo de producción combinada con un aumento del 8,2% en el número de dibujos o modelos nuevos/renovados.</w:t>
      </w:r>
    </w:p>
    <w:p w:rsidR="00236E18" w:rsidRPr="004E674F" w:rsidRDefault="00236E18" w:rsidP="00236E18">
      <w:pPr>
        <w:jc w:val="center"/>
        <w:rPr>
          <w:sz w:val="20"/>
        </w:rPr>
      </w:pPr>
    </w:p>
    <w:p w:rsidR="00236E18" w:rsidRPr="004E674F" w:rsidRDefault="00236E18" w:rsidP="00236E18">
      <w:pPr>
        <w:jc w:val="both"/>
        <w:rPr>
          <w:i/>
          <w:sz w:val="20"/>
        </w:rPr>
      </w:pPr>
      <w:r w:rsidRPr="004E674F">
        <w:rPr>
          <w:i/>
          <w:sz w:val="20"/>
        </w:rPr>
        <w:t>Costo unitario por documento inscrito en el Registro</w:t>
      </w:r>
    </w:p>
    <w:p w:rsidR="00236E18" w:rsidRPr="004E674F" w:rsidRDefault="00236E18" w:rsidP="00236E18">
      <w:pPr>
        <w:jc w:val="both"/>
        <w:rPr>
          <w:sz w:val="20"/>
        </w:rPr>
      </w:pPr>
    </w:p>
    <w:p w:rsidR="00236E18" w:rsidRPr="004E674F" w:rsidRDefault="00236E18" w:rsidP="00236E18">
      <w:pPr>
        <w:pStyle w:val="ListParagraph"/>
        <w:numPr>
          <w:ilvl w:val="0"/>
          <w:numId w:val="69"/>
        </w:numPr>
        <w:tabs>
          <w:tab w:val="left" w:pos="0"/>
          <w:tab w:val="left" w:pos="567"/>
        </w:tabs>
        <w:ind w:left="0" w:firstLine="0"/>
        <w:jc w:val="both"/>
        <w:rPr>
          <w:rFonts w:ascii="Arial" w:hAnsi="Arial" w:cs="Arial"/>
          <w:sz w:val="20"/>
          <w:szCs w:val="20"/>
          <w:lang w:val="es-ES"/>
        </w:rPr>
      </w:pPr>
      <w:r w:rsidRPr="004E674F">
        <w:rPr>
          <w:rFonts w:ascii="Arial" w:hAnsi="Arial" w:cs="Arial"/>
          <w:sz w:val="20"/>
          <w:szCs w:val="20"/>
          <w:lang w:val="es-ES"/>
        </w:rPr>
        <w:t xml:space="preserve">Los documentos inscritos en el Registro corresponden al volumen total de trabajo (véase “Volumen total de trabajo” </w:t>
      </w:r>
      <w:r w:rsidRPr="004E674F">
        <w:rPr>
          <w:rFonts w:ascii="Arial" w:hAnsi="Arial" w:cs="Arial"/>
          <w:i/>
          <w:sz w:val="20"/>
          <w:szCs w:val="20"/>
          <w:lang w:val="es-ES"/>
        </w:rPr>
        <w:t>supra</w:t>
      </w:r>
      <w:r w:rsidRPr="004E674F">
        <w:rPr>
          <w:rFonts w:ascii="Arial" w:hAnsi="Arial" w:cs="Arial"/>
          <w:sz w:val="20"/>
          <w:szCs w:val="20"/>
          <w:lang w:val="es-ES"/>
        </w:rPr>
        <w:t>).</w:t>
      </w:r>
    </w:p>
    <w:p w:rsidR="00236E18" w:rsidRPr="004E674F" w:rsidRDefault="00236E18" w:rsidP="00236E18">
      <w:pPr>
        <w:jc w:val="both"/>
        <w:rPr>
          <w:sz w:val="20"/>
        </w:rPr>
      </w:pPr>
    </w:p>
    <w:tbl>
      <w:tblPr>
        <w:tblW w:w="0" w:type="auto"/>
        <w:tblLook w:val="04A0" w:firstRow="1" w:lastRow="0" w:firstColumn="1" w:lastColumn="0" w:noHBand="0" w:noVBand="1"/>
      </w:tblPr>
      <w:tblGrid>
        <w:gridCol w:w="4574"/>
        <w:gridCol w:w="4713"/>
      </w:tblGrid>
      <w:tr w:rsidR="00236E18" w:rsidRPr="004E674F" w:rsidTr="00294272">
        <w:tc>
          <w:tcPr>
            <w:tcW w:w="4788" w:type="dxa"/>
          </w:tcPr>
          <w:p w:rsidR="00236E18" w:rsidRPr="004E674F" w:rsidRDefault="00236E18" w:rsidP="00294272">
            <w:pPr>
              <w:spacing w:after="200" w:line="276" w:lineRule="auto"/>
              <w:jc w:val="center"/>
              <w:rPr>
                <w:sz w:val="20"/>
              </w:rPr>
            </w:pPr>
            <w:r w:rsidRPr="004E674F">
              <w:rPr>
                <w:sz w:val="20"/>
              </w:rPr>
              <w:t>Método antiguo</w:t>
            </w:r>
          </w:p>
        </w:tc>
        <w:tc>
          <w:tcPr>
            <w:tcW w:w="4788" w:type="dxa"/>
          </w:tcPr>
          <w:p w:rsidR="00236E18" w:rsidRPr="004E674F" w:rsidRDefault="00236E18" w:rsidP="00294272">
            <w:pPr>
              <w:spacing w:after="200" w:line="276" w:lineRule="auto"/>
              <w:jc w:val="center"/>
              <w:rPr>
                <w:sz w:val="20"/>
              </w:rPr>
            </w:pPr>
            <w:r w:rsidRPr="004E674F">
              <w:rPr>
                <w:sz w:val="20"/>
              </w:rPr>
              <w:t>Método nuevo</w:t>
            </w:r>
          </w:p>
        </w:tc>
      </w:tr>
      <w:tr w:rsidR="00236E18" w:rsidRPr="004E674F" w:rsidTr="00294272">
        <w:tc>
          <w:tcPr>
            <w:tcW w:w="4788" w:type="dxa"/>
          </w:tcPr>
          <w:p w:rsidR="00236E18" w:rsidRPr="004E674F" w:rsidRDefault="00236E18" w:rsidP="00294272">
            <w:pPr>
              <w:spacing w:after="200" w:line="276" w:lineRule="auto"/>
              <w:jc w:val="center"/>
              <w:rPr>
                <w:sz w:val="20"/>
              </w:rPr>
            </w:pPr>
            <w:r>
              <w:rPr>
                <w:noProof/>
                <w:sz w:val="20"/>
                <w:lang w:val="en-US" w:eastAsia="en-US"/>
              </w:rPr>
              <w:drawing>
                <wp:inline distT="0" distB="0" distL="0" distR="0" wp14:anchorId="639CD4F7" wp14:editId="12A2F820">
                  <wp:extent cx="2683848" cy="1968441"/>
                  <wp:effectExtent l="0" t="0" r="2540" b="0"/>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2686740" cy="1970562"/>
                          </a:xfrm>
                          <a:prstGeom prst="rect">
                            <a:avLst/>
                          </a:prstGeom>
                          <a:noFill/>
                          <a:ln>
                            <a:noFill/>
                          </a:ln>
                        </pic:spPr>
                      </pic:pic>
                    </a:graphicData>
                  </a:graphic>
                </wp:inline>
              </w:drawing>
            </w:r>
          </w:p>
        </w:tc>
        <w:tc>
          <w:tcPr>
            <w:tcW w:w="4788" w:type="dxa"/>
          </w:tcPr>
          <w:p w:rsidR="00236E18" w:rsidRPr="004E674F" w:rsidRDefault="00236E18" w:rsidP="00294272">
            <w:pPr>
              <w:spacing w:after="200" w:line="276" w:lineRule="auto"/>
              <w:jc w:val="center"/>
              <w:rPr>
                <w:sz w:val="20"/>
              </w:rPr>
            </w:pPr>
            <w:r>
              <w:rPr>
                <w:noProof/>
                <w:sz w:val="20"/>
                <w:lang w:val="en-US" w:eastAsia="en-US"/>
              </w:rPr>
              <w:drawing>
                <wp:inline distT="0" distB="0" distL="0" distR="0" wp14:anchorId="06F8F39A" wp14:editId="17A6007D">
                  <wp:extent cx="2828138" cy="1959428"/>
                  <wp:effectExtent l="0" t="0" r="0" b="3175"/>
                  <wp:docPr id="10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2828138" cy="1959428"/>
                          </a:xfrm>
                          <a:prstGeom prst="rect">
                            <a:avLst/>
                          </a:prstGeom>
                          <a:noFill/>
                          <a:ln>
                            <a:noFill/>
                          </a:ln>
                        </pic:spPr>
                      </pic:pic>
                    </a:graphicData>
                  </a:graphic>
                </wp:inline>
              </w:drawing>
            </w:r>
          </w:p>
        </w:tc>
      </w:tr>
    </w:tbl>
    <w:p w:rsidR="00236E18" w:rsidRPr="004E674F" w:rsidRDefault="00236E18" w:rsidP="00236E18">
      <w:pPr>
        <w:jc w:val="center"/>
        <w:rPr>
          <w:sz w:val="20"/>
        </w:rPr>
      </w:pPr>
    </w:p>
    <w:p w:rsidR="00236E18" w:rsidRPr="004E674F" w:rsidRDefault="00236E18" w:rsidP="00236E18">
      <w:pPr>
        <w:pStyle w:val="ListParagraph"/>
        <w:numPr>
          <w:ilvl w:val="0"/>
          <w:numId w:val="66"/>
        </w:numPr>
        <w:ind w:left="993" w:hanging="426"/>
        <w:jc w:val="both"/>
        <w:rPr>
          <w:rFonts w:ascii="Arial" w:hAnsi="Arial" w:cs="Arial"/>
          <w:sz w:val="20"/>
          <w:szCs w:val="20"/>
          <w:lang w:val="es-ES"/>
        </w:rPr>
      </w:pPr>
      <w:r w:rsidRPr="004E674F">
        <w:rPr>
          <w:rFonts w:ascii="Arial" w:hAnsi="Arial" w:cs="Arial"/>
          <w:sz w:val="20"/>
          <w:szCs w:val="20"/>
          <w:lang w:val="es-ES"/>
        </w:rPr>
        <w:t>El costo medio de la inscripción de un documento en el Registro disminuyó, pasando a 1.483 francos suizos en 2014.  Ello se debe a la baja del 5,7% en el costo de producción.</w:t>
      </w:r>
    </w:p>
    <w:p w:rsidR="00236E18" w:rsidRPr="004E674F" w:rsidRDefault="00236E18" w:rsidP="00236E18">
      <w:pPr>
        <w:pStyle w:val="ListParagraph"/>
        <w:ind w:left="0"/>
        <w:jc w:val="both"/>
        <w:rPr>
          <w:rFonts w:ascii="Arial" w:hAnsi="Arial" w:cs="Arial"/>
          <w:sz w:val="20"/>
          <w:szCs w:val="20"/>
          <w:lang w:val="es-ES"/>
        </w:rPr>
      </w:pPr>
    </w:p>
    <w:p w:rsidR="00236E18" w:rsidRPr="004E674F" w:rsidRDefault="00236E18" w:rsidP="00236E18">
      <w:pPr>
        <w:pStyle w:val="ListParagraph"/>
        <w:ind w:left="0"/>
        <w:rPr>
          <w:rFonts w:ascii="Arial" w:hAnsi="Arial" w:cs="Arial"/>
          <w:sz w:val="20"/>
          <w:szCs w:val="20"/>
          <w:lang w:val="es-ES"/>
        </w:rPr>
      </w:pPr>
    </w:p>
    <w:p w:rsidR="00236E18" w:rsidRPr="004E674F" w:rsidRDefault="00236E18" w:rsidP="00236E18">
      <w:pPr>
        <w:keepNext/>
        <w:keepLines/>
        <w:tabs>
          <w:tab w:val="left" w:pos="567"/>
        </w:tabs>
        <w:spacing w:before="120" w:after="240"/>
        <w:rPr>
          <w:b/>
          <w:sz w:val="20"/>
        </w:rPr>
      </w:pPr>
      <w:r w:rsidRPr="004E674F">
        <w:rPr>
          <w:b/>
          <w:sz w:val="20"/>
        </w:rPr>
        <w:lastRenderedPageBreak/>
        <w:t>III.</w:t>
      </w:r>
      <w:r w:rsidRPr="004E674F">
        <w:rPr>
          <w:b/>
          <w:sz w:val="20"/>
        </w:rPr>
        <w:tab/>
        <w:t>Tiempo necesario para tramitar las solicitudes internacionales</w:t>
      </w:r>
    </w:p>
    <w:p w:rsidR="00236E18" w:rsidRPr="004E674F" w:rsidRDefault="00236E18" w:rsidP="00236E18">
      <w:pPr>
        <w:pStyle w:val="ListParagraph"/>
        <w:keepNext/>
        <w:keepLines/>
        <w:numPr>
          <w:ilvl w:val="0"/>
          <w:numId w:val="69"/>
        </w:numPr>
        <w:tabs>
          <w:tab w:val="left" w:pos="0"/>
          <w:tab w:val="left" w:pos="567"/>
        </w:tabs>
        <w:ind w:left="0" w:firstLine="0"/>
        <w:jc w:val="both"/>
        <w:rPr>
          <w:rFonts w:ascii="Arial" w:hAnsi="Arial" w:cs="Arial"/>
          <w:sz w:val="20"/>
          <w:szCs w:val="20"/>
          <w:lang w:val="es-ES"/>
        </w:rPr>
      </w:pPr>
      <w:r w:rsidRPr="004E674F">
        <w:rPr>
          <w:rFonts w:ascii="Arial" w:hAnsi="Arial" w:cs="Arial"/>
          <w:sz w:val="20"/>
          <w:szCs w:val="20"/>
          <w:lang w:val="es-ES"/>
        </w:rPr>
        <w:t>Este indicador refleja el tiempo que la Oficina Internacional necesita para tramitar las solicitudes regulares.  El tiempo necesario se calcula según el tiempo transcurrido entre la fecha de recepción de una solicitud y la fecha de su registro.</w:t>
      </w:r>
    </w:p>
    <w:p w:rsidR="00236E18" w:rsidRPr="004E674F" w:rsidRDefault="00236E18" w:rsidP="00236E18">
      <w:pPr>
        <w:spacing w:before="120" w:after="240"/>
        <w:jc w:val="center"/>
        <w:rPr>
          <w:sz w:val="20"/>
        </w:rPr>
      </w:pPr>
      <w:r w:rsidRPr="000C71B6">
        <w:rPr>
          <w:noProof/>
          <w:lang w:val="en-US" w:eastAsia="en-US"/>
        </w:rPr>
        <w:drawing>
          <wp:inline distT="0" distB="0" distL="0" distR="0" wp14:anchorId="40B4EEFC" wp14:editId="78411974">
            <wp:extent cx="4944139" cy="2934586"/>
            <wp:effectExtent l="0" t="0" r="8890" b="0"/>
            <wp:docPr id="10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4956163" cy="2941723"/>
                    </a:xfrm>
                    <a:prstGeom prst="rect">
                      <a:avLst/>
                    </a:prstGeom>
                    <a:noFill/>
                    <a:ln>
                      <a:noFill/>
                    </a:ln>
                  </pic:spPr>
                </pic:pic>
              </a:graphicData>
            </a:graphic>
          </wp:inline>
        </w:drawing>
      </w:r>
      <w:r w:rsidRPr="000C71B6">
        <w:t xml:space="preserve"> </w:t>
      </w:r>
    </w:p>
    <w:p w:rsidR="00236E18" w:rsidRPr="004E674F" w:rsidRDefault="00236E18" w:rsidP="00236E18">
      <w:pPr>
        <w:pStyle w:val="ListParagraph"/>
        <w:numPr>
          <w:ilvl w:val="0"/>
          <w:numId w:val="66"/>
        </w:numPr>
        <w:spacing w:after="120"/>
        <w:ind w:left="992" w:hanging="425"/>
        <w:contextualSpacing w:val="0"/>
        <w:jc w:val="both"/>
        <w:rPr>
          <w:rFonts w:ascii="Arial" w:hAnsi="Arial" w:cs="Arial"/>
          <w:sz w:val="20"/>
          <w:szCs w:val="20"/>
          <w:lang w:val="es-ES"/>
        </w:rPr>
      </w:pPr>
      <w:r w:rsidRPr="004E674F">
        <w:rPr>
          <w:rFonts w:ascii="Arial" w:hAnsi="Arial" w:cs="Arial"/>
          <w:sz w:val="20"/>
          <w:szCs w:val="20"/>
          <w:lang w:val="es-ES"/>
        </w:rPr>
        <w:t xml:space="preserve">La proporción de solicitudes tramitadas en un </w:t>
      </w:r>
      <w:r>
        <w:rPr>
          <w:rFonts w:ascii="Arial" w:hAnsi="Arial" w:cs="Arial"/>
          <w:sz w:val="20"/>
          <w:szCs w:val="20"/>
          <w:lang w:val="es-ES"/>
        </w:rPr>
        <w:t>lapso</w:t>
      </w:r>
      <w:r w:rsidRPr="004E674F">
        <w:rPr>
          <w:rFonts w:ascii="Arial" w:hAnsi="Arial" w:cs="Arial"/>
          <w:sz w:val="20"/>
          <w:szCs w:val="20"/>
          <w:lang w:val="es-ES"/>
        </w:rPr>
        <w:t xml:space="preserve"> inferior a una semana ha aumentado sin cesar desde 2011, pasando a ser el 45% de las solicitudes en 2014.</w:t>
      </w:r>
    </w:p>
    <w:p w:rsidR="00236E18" w:rsidRPr="004E674F" w:rsidRDefault="00236E18" w:rsidP="00236E18">
      <w:pPr>
        <w:pStyle w:val="ListParagraph"/>
        <w:numPr>
          <w:ilvl w:val="0"/>
          <w:numId w:val="66"/>
        </w:numPr>
        <w:spacing w:after="120"/>
        <w:ind w:left="993" w:hanging="426"/>
        <w:contextualSpacing w:val="0"/>
        <w:jc w:val="both"/>
        <w:rPr>
          <w:rFonts w:ascii="Arial" w:hAnsi="Arial" w:cs="Arial"/>
          <w:sz w:val="20"/>
          <w:szCs w:val="20"/>
          <w:lang w:val="es-ES"/>
        </w:rPr>
      </w:pPr>
      <w:r w:rsidRPr="004E674F">
        <w:rPr>
          <w:rFonts w:ascii="Arial" w:hAnsi="Arial" w:cs="Arial"/>
          <w:sz w:val="20"/>
          <w:szCs w:val="20"/>
          <w:lang w:val="es-ES"/>
        </w:rPr>
        <w:t>En 2014, el 85% de las solicitudes se tramit</w:t>
      </w:r>
      <w:r>
        <w:rPr>
          <w:rFonts w:ascii="Arial" w:hAnsi="Arial" w:cs="Arial"/>
          <w:sz w:val="20"/>
          <w:szCs w:val="20"/>
          <w:lang w:val="es-ES"/>
        </w:rPr>
        <w:t>ó</w:t>
      </w:r>
      <w:r w:rsidRPr="004E674F">
        <w:rPr>
          <w:rFonts w:ascii="Arial" w:hAnsi="Arial" w:cs="Arial"/>
          <w:sz w:val="20"/>
          <w:szCs w:val="20"/>
          <w:lang w:val="es-ES"/>
        </w:rPr>
        <w:t xml:space="preserve"> en un </w:t>
      </w:r>
      <w:r>
        <w:rPr>
          <w:rFonts w:ascii="Arial" w:hAnsi="Arial" w:cs="Arial"/>
          <w:sz w:val="20"/>
          <w:szCs w:val="20"/>
          <w:lang w:val="es-ES"/>
        </w:rPr>
        <w:t>lapso</w:t>
      </w:r>
      <w:r w:rsidRPr="004E674F">
        <w:rPr>
          <w:rFonts w:ascii="Arial" w:hAnsi="Arial" w:cs="Arial"/>
          <w:sz w:val="20"/>
          <w:szCs w:val="20"/>
          <w:lang w:val="es-ES"/>
        </w:rPr>
        <w:t xml:space="preserve"> de </w:t>
      </w:r>
      <w:r>
        <w:rPr>
          <w:rFonts w:ascii="Arial" w:hAnsi="Arial" w:cs="Arial"/>
          <w:sz w:val="20"/>
          <w:szCs w:val="20"/>
          <w:lang w:val="es-ES"/>
        </w:rPr>
        <w:t>dos semanas a partir de su</w:t>
      </w:r>
      <w:r w:rsidRPr="004E674F">
        <w:rPr>
          <w:rFonts w:ascii="Arial" w:hAnsi="Arial" w:cs="Arial"/>
          <w:sz w:val="20"/>
          <w:szCs w:val="20"/>
          <w:lang w:val="es-ES"/>
        </w:rPr>
        <w:t xml:space="preserve"> fecha de recepción en la Oficina Internacional.</w:t>
      </w:r>
    </w:p>
    <w:p w:rsidR="00236E18" w:rsidRPr="004E674F" w:rsidRDefault="00236E18" w:rsidP="00236E18">
      <w:pPr>
        <w:jc w:val="both"/>
        <w:rPr>
          <w:sz w:val="20"/>
        </w:rPr>
      </w:pPr>
    </w:p>
    <w:p w:rsidR="00236E18" w:rsidRPr="004E674F" w:rsidRDefault="00236E18" w:rsidP="00236E18">
      <w:pPr>
        <w:jc w:val="both"/>
        <w:rPr>
          <w:sz w:val="20"/>
        </w:rPr>
      </w:pPr>
    </w:p>
    <w:p w:rsidR="00236E18" w:rsidRDefault="00236E18" w:rsidP="00236E18">
      <w:pPr>
        <w:pStyle w:val="StyleHeading3ComplexItalic"/>
        <w:keepNext w:val="0"/>
        <w:tabs>
          <w:tab w:val="clear" w:pos="1985"/>
          <w:tab w:val="left" w:pos="1418"/>
        </w:tabs>
        <w:ind w:left="1418" w:hanging="1418"/>
        <w:rPr>
          <w:b w:val="0"/>
          <w:caps w:val="0"/>
          <w:lang w:val="es-ES"/>
        </w:rPr>
        <w:sectPr w:rsidR="00236E18" w:rsidSect="00080272">
          <w:headerReference w:type="even" r:id="rId322"/>
          <w:headerReference w:type="default" r:id="rId323"/>
          <w:footerReference w:type="even" r:id="rId324"/>
          <w:footerReference w:type="default" r:id="rId325"/>
          <w:pgSz w:w="11907" w:h="16839" w:code="9"/>
          <w:pgMar w:top="624" w:right="1418" w:bottom="1361" w:left="1418" w:header="624" w:footer="907" w:gutter="0"/>
          <w:cols w:space="720"/>
          <w:docGrid w:linePitch="360"/>
        </w:sectPr>
      </w:pPr>
    </w:p>
    <w:p w:rsidR="00236E18" w:rsidRPr="0051240D" w:rsidRDefault="00236E18" w:rsidP="00236E18">
      <w:pPr>
        <w:pStyle w:val="StyleHeading3ComplexItalic"/>
        <w:keepNext w:val="0"/>
        <w:tabs>
          <w:tab w:val="clear" w:pos="1985"/>
          <w:tab w:val="left" w:pos="-2694"/>
        </w:tabs>
        <w:ind w:left="1560" w:hanging="1560"/>
        <w:rPr>
          <w:lang w:val="es-ES_tradnl"/>
        </w:rPr>
      </w:pPr>
      <w:bookmarkStart w:id="160" w:name="_Toc431573586"/>
      <w:bookmarkStart w:id="161" w:name="_Toc431573987"/>
      <w:r w:rsidRPr="0051240D">
        <w:rPr>
          <w:caps w:val="0"/>
          <w:lang w:val="es-ES_tradnl"/>
        </w:rPr>
        <w:lastRenderedPageBreak/>
        <w:t>ANEXO VIII</w:t>
      </w:r>
      <w:r w:rsidRPr="0051240D">
        <w:rPr>
          <w:caps w:val="0"/>
          <w:lang w:val="es-ES_tradnl"/>
        </w:rPr>
        <w:tab/>
        <w:t>RECURSOS DE FONDOS FIDUCIARIOS DISPONIBLES POTENCIALMENTE PARA SU UTILIZACIÓN</w:t>
      </w:r>
      <w:bookmarkEnd w:id="160"/>
      <w:bookmarkEnd w:id="161"/>
    </w:p>
    <w:p w:rsidR="00236E18" w:rsidRPr="0051240D" w:rsidRDefault="00236E18" w:rsidP="00236E18">
      <w:pPr>
        <w:rPr>
          <w:sz w:val="20"/>
          <w:lang w:val="es-ES_tradnl"/>
        </w:rPr>
      </w:pPr>
    </w:p>
    <w:p w:rsidR="00236E18" w:rsidRPr="0051240D" w:rsidRDefault="00236E18" w:rsidP="00236E18">
      <w:pPr>
        <w:rPr>
          <w:sz w:val="20"/>
          <w:lang w:val="es-ES_tradnl"/>
        </w:rPr>
      </w:pPr>
    </w:p>
    <w:p w:rsidR="00236E18" w:rsidRPr="0051240D" w:rsidRDefault="00236E18" w:rsidP="00236E18">
      <w:pPr>
        <w:jc w:val="center"/>
        <w:rPr>
          <w:b/>
          <w:sz w:val="20"/>
          <w:szCs w:val="16"/>
        </w:rPr>
      </w:pPr>
      <w:r w:rsidRPr="00870079">
        <w:rPr>
          <w:b/>
          <w:sz w:val="20"/>
          <w:szCs w:val="16"/>
        </w:rPr>
        <w:t xml:space="preserve">Cuadro 19.  </w:t>
      </w:r>
      <w:r w:rsidRPr="0051240D">
        <w:rPr>
          <w:b/>
          <w:sz w:val="20"/>
          <w:szCs w:val="16"/>
        </w:rPr>
        <w:t xml:space="preserve">Recursos de fondos fiduciarios disponibles potencialmente </w:t>
      </w:r>
      <w:r>
        <w:rPr>
          <w:b/>
          <w:sz w:val="20"/>
          <w:szCs w:val="16"/>
        </w:rPr>
        <w:br/>
      </w:r>
      <w:r w:rsidRPr="0051240D">
        <w:rPr>
          <w:b/>
          <w:sz w:val="20"/>
          <w:szCs w:val="16"/>
        </w:rPr>
        <w:t xml:space="preserve">para su utilización </w:t>
      </w:r>
      <w:r>
        <w:rPr>
          <w:b/>
          <w:sz w:val="20"/>
          <w:szCs w:val="16"/>
        </w:rPr>
        <w:t xml:space="preserve">en </w:t>
      </w:r>
      <w:r w:rsidRPr="0051240D">
        <w:rPr>
          <w:b/>
          <w:sz w:val="20"/>
          <w:szCs w:val="16"/>
        </w:rPr>
        <w:t>2016/17</w:t>
      </w:r>
      <w:r w:rsidRPr="0051240D">
        <w:rPr>
          <w:sz w:val="20"/>
          <w:szCs w:val="16"/>
          <w:vertAlign w:val="superscript"/>
        </w:rPr>
        <w:t>1</w:t>
      </w:r>
      <w:r w:rsidRPr="0051240D">
        <w:rPr>
          <w:b/>
          <w:sz w:val="20"/>
          <w:szCs w:val="16"/>
        </w:rPr>
        <w:t xml:space="preserve"> </w:t>
      </w:r>
    </w:p>
    <w:p w:rsidR="00236E18" w:rsidRPr="0051240D" w:rsidRDefault="00236E18" w:rsidP="00236E18">
      <w:pPr>
        <w:jc w:val="center"/>
        <w:rPr>
          <w:i/>
          <w:sz w:val="20"/>
          <w:szCs w:val="16"/>
        </w:rPr>
      </w:pPr>
      <w:r w:rsidRPr="0051240D">
        <w:rPr>
          <w:i/>
          <w:sz w:val="20"/>
          <w:szCs w:val="16"/>
        </w:rPr>
        <w:t>(</w:t>
      </w:r>
      <w:proofErr w:type="gramStart"/>
      <w:r w:rsidRPr="0051240D">
        <w:rPr>
          <w:i/>
          <w:sz w:val="20"/>
          <w:szCs w:val="16"/>
        </w:rPr>
        <w:t>en</w:t>
      </w:r>
      <w:proofErr w:type="gramEnd"/>
      <w:r w:rsidRPr="0051240D">
        <w:rPr>
          <w:i/>
          <w:sz w:val="20"/>
          <w:szCs w:val="16"/>
        </w:rPr>
        <w:t xml:space="preserve"> miles de francos suizos)</w:t>
      </w:r>
    </w:p>
    <w:p w:rsidR="00236E18" w:rsidRPr="0051240D" w:rsidRDefault="00236E18" w:rsidP="00236E18">
      <w:pPr>
        <w:jc w:val="center"/>
        <w:rPr>
          <w:i/>
          <w:sz w:val="20"/>
          <w:szCs w:val="16"/>
        </w:rPr>
      </w:pPr>
    </w:p>
    <w:p w:rsidR="00236E18" w:rsidRPr="0051240D" w:rsidRDefault="00236E18" w:rsidP="00236E18">
      <w:pPr>
        <w:jc w:val="center"/>
        <w:rPr>
          <w:i/>
          <w:sz w:val="20"/>
          <w:szCs w:val="16"/>
        </w:rPr>
      </w:pPr>
      <w:r>
        <w:rPr>
          <w:noProof/>
          <w:lang w:val="en-US" w:eastAsia="en-US"/>
        </w:rPr>
        <w:drawing>
          <wp:inline distT="0" distB="0" distL="0" distR="0" wp14:anchorId="5C8499D4" wp14:editId="660E3068">
            <wp:extent cx="5760085" cy="3233278"/>
            <wp:effectExtent l="0" t="0" r="0" b="5715"/>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5760085" cy="3233278"/>
                    </a:xfrm>
                    <a:prstGeom prst="rect">
                      <a:avLst/>
                    </a:prstGeom>
                    <a:noFill/>
                    <a:ln>
                      <a:noFill/>
                    </a:ln>
                  </pic:spPr>
                </pic:pic>
              </a:graphicData>
            </a:graphic>
          </wp:inline>
        </w:drawing>
      </w:r>
    </w:p>
    <w:p w:rsidR="00236E18" w:rsidRPr="0051240D" w:rsidRDefault="00236E18" w:rsidP="00236E18">
      <w:pPr>
        <w:jc w:val="center"/>
        <w:rPr>
          <w:sz w:val="20"/>
        </w:rPr>
      </w:pPr>
    </w:p>
    <w:p w:rsidR="00236E18" w:rsidRPr="0051240D" w:rsidRDefault="00236E18" w:rsidP="00236E18">
      <w:pPr>
        <w:rPr>
          <w:i/>
          <w:sz w:val="16"/>
          <w:szCs w:val="14"/>
        </w:rPr>
      </w:pPr>
      <w:r w:rsidRPr="0051240D">
        <w:rPr>
          <w:i/>
          <w:sz w:val="16"/>
          <w:szCs w:val="14"/>
          <w:vertAlign w:val="superscript"/>
        </w:rPr>
        <w:t>1</w:t>
      </w:r>
      <w:r w:rsidRPr="0051240D">
        <w:rPr>
          <w:i/>
          <w:sz w:val="16"/>
          <w:szCs w:val="14"/>
        </w:rPr>
        <w:t>En las cifras no se han incluido los intereses ni los ajustes cambiarios.  Cabe señalar que estos fondos se destinan generalmente a actividades que cubren un período que va más allá de un solo bienio, a medida que se reciben los ingresos y se incurre en gastos.</w:t>
      </w:r>
    </w:p>
    <w:p w:rsidR="00236E18" w:rsidRPr="0051240D" w:rsidRDefault="00236E18" w:rsidP="00236E18">
      <w:pPr>
        <w:rPr>
          <w:i/>
          <w:sz w:val="16"/>
          <w:szCs w:val="14"/>
        </w:rPr>
      </w:pPr>
    </w:p>
    <w:p w:rsidR="00236E18" w:rsidRPr="0051240D" w:rsidRDefault="00236E18" w:rsidP="00236E18">
      <w:pPr>
        <w:rPr>
          <w:i/>
          <w:sz w:val="16"/>
          <w:szCs w:val="14"/>
        </w:rPr>
      </w:pPr>
      <w:r w:rsidRPr="0051240D">
        <w:rPr>
          <w:i/>
          <w:sz w:val="16"/>
          <w:szCs w:val="14"/>
          <w:vertAlign w:val="superscript"/>
        </w:rPr>
        <w:t>2</w:t>
      </w:r>
      <w:r w:rsidRPr="0051240D">
        <w:rPr>
          <w:i/>
          <w:sz w:val="16"/>
          <w:szCs w:val="14"/>
        </w:rPr>
        <w:t xml:space="preserve"> Estas cifras son puramente indicativas y se basan en patrones de financiación anteriores.  No representan los compromisos de los Estados miembros salvo cuando quedan incluidos en el acuerdo de fondos fiduciarios.</w:t>
      </w:r>
    </w:p>
    <w:p w:rsidR="00236E18" w:rsidRPr="0051240D" w:rsidRDefault="00236E18" w:rsidP="00236E18">
      <w:pPr>
        <w:rPr>
          <w:i/>
          <w:sz w:val="16"/>
          <w:szCs w:val="14"/>
        </w:rPr>
      </w:pPr>
    </w:p>
    <w:p w:rsidR="00236E18" w:rsidRPr="0051240D" w:rsidRDefault="00236E18" w:rsidP="00236E18">
      <w:pPr>
        <w:rPr>
          <w:i/>
          <w:sz w:val="16"/>
          <w:szCs w:val="14"/>
        </w:rPr>
      </w:pPr>
      <w:r w:rsidRPr="0051240D">
        <w:rPr>
          <w:i/>
          <w:sz w:val="16"/>
          <w:szCs w:val="14"/>
          <w:vertAlign w:val="superscript"/>
        </w:rPr>
        <w:t>3</w:t>
      </w:r>
      <w:r w:rsidRPr="0051240D">
        <w:rPr>
          <w:i/>
          <w:sz w:val="16"/>
          <w:szCs w:val="14"/>
        </w:rPr>
        <w:t>Las contribuciones anuales varían y se han observado fluctuaciones de un año a otro.</w:t>
      </w:r>
    </w:p>
    <w:p w:rsidR="00236E18" w:rsidRPr="0051240D" w:rsidRDefault="00236E18" w:rsidP="00236E18">
      <w:pPr>
        <w:rPr>
          <w:i/>
          <w:sz w:val="16"/>
          <w:szCs w:val="14"/>
        </w:rPr>
      </w:pPr>
    </w:p>
    <w:p w:rsidR="00236E18" w:rsidRPr="0051240D" w:rsidRDefault="00236E18" w:rsidP="00236E18">
      <w:pPr>
        <w:rPr>
          <w:i/>
          <w:sz w:val="16"/>
          <w:szCs w:val="14"/>
        </w:rPr>
      </w:pPr>
      <w:r w:rsidRPr="0051240D">
        <w:rPr>
          <w:i/>
          <w:sz w:val="16"/>
          <w:szCs w:val="14"/>
          <w:vertAlign w:val="superscript"/>
        </w:rPr>
        <w:t>4</w:t>
      </w:r>
      <w:r w:rsidRPr="0051240D">
        <w:rPr>
          <w:i/>
          <w:sz w:val="16"/>
          <w:szCs w:val="14"/>
        </w:rPr>
        <w:t>República de Corea (Educación) – En el saldo previsto al final de 2015 se tienen en cuenta los gravámenes y las obligaciones.</w:t>
      </w:r>
    </w:p>
    <w:p w:rsidR="00236E18" w:rsidRPr="0051240D" w:rsidRDefault="00236E18" w:rsidP="00236E18"/>
    <w:p w:rsidR="00236E18" w:rsidRPr="0051240D" w:rsidRDefault="00236E18" w:rsidP="00236E18">
      <w:pPr>
        <w:jc w:val="center"/>
      </w:pPr>
    </w:p>
    <w:p w:rsidR="00236E18" w:rsidRPr="0051240D" w:rsidRDefault="00236E18" w:rsidP="00236E18">
      <w:pPr>
        <w:pStyle w:val="StyleHeading3ComplexItalic"/>
        <w:keepNext w:val="0"/>
        <w:tabs>
          <w:tab w:val="clear" w:pos="1985"/>
          <w:tab w:val="left" w:pos="1418"/>
        </w:tabs>
        <w:ind w:left="1418" w:hanging="1418"/>
        <w:rPr>
          <w:b w:val="0"/>
          <w:caps w:val="0"/>
          <w:sz w:val="20"/>
          <w:szCs w:val="20"/>
          <w:lang w:val="es-ES"/>
        </w:rPr>
        <w:sectPr w:rsidR="00236E18" w:rsidRPr="0051240D" w:rsidSect="00080272">
          <w:pgSz w:w="11907" w:h="16839" w:code="9"/>
          <w:pgMar w:top="624" w:right="1418" w:bottom="1361" w:left="1418" w:header="624" w:footer="907" w:gutter="0"/>
          <w:cols w:space="720"/>
          <w:docGrid w:linePitch="360"/>
        </w:sectPr>
      </w:pPr>
    </w:p>
    <w:p w:rsidR="00236E18" w:rsidRPr="0051240D" w:rsidRDefault="00236E18" w:rsidP="00236E18">
      <w:pPr>
        <w:pStyle w:val="StyleHeading3ComplexItalic"/>
        <w:tabs>
          <w:tab w:val="clear" w:pos="1985"/>
          <w:tab w:val="left" w:pos="1560"/>
        </w:tabs>
        <w:ind w:left="1560" w:hanging="1560"/>
        <w:rPr>
          <w:lang w:val="es-ES_tradnl"/>
        </w:rPr>
      </w:pPr>
      <w:bookmarkStart w:id="162" w:name="_Toc419553727"/>
      <w:bookmarkStart w:id="163" w:name="_Toc431573587"/>
      <w:bookmarkStart w:id="164" w:name="_Toc431573988"/>
      <w:r w:rsidRPr="0051240D">
        <w:rPr>
          <w:caps w:val="0"/>
          <w:lang w:val="es-ES_tradnl"/>
        </w:rPr>
        <w:lastRenderedPageBreak/>
        <w:t>ANEXO IX</w:t>
      </w:r>
      <w:r w:rsidRPr="0051240D">
        <w:rPr>
          <w:caps w:val="0"/>
          <w:lang w:val="es-ES_tradnl"/>
        </w:rPr>
        <w:tab/>
        <w:t>CUADROS DEL PRESUPUESTO ANUAL PARA LA PRESENTACIÓN DE INFORMES CONFORME A LAS IPSAS</w:t>
      </w:r>
      <w:bookmarkEnd w:id="162"/>
      <w:bookmarkEnd w:id="163"/>
      <w:bookmarkEnd w:id="164"/>
    </w:p>
    <w:p w:rsidR="00236E18" w:rsidRPr="0051240D" w:rsidRDefault="00236E18" w:rsidP="00236E18">
      <w:pPr>
        <w:rPr>
          <w:sz w:val="20"/>
          <w:lang w:val="es-ES_tradnl"/>
        </w:rPr>
      </w:pPr>
    </w:p>
    <w:p w:rsidR="00236E18" w:rsidRPr="0051240D" w:rsidRDefault="00236E18" w:rsidP="00236E18">
      <w:pPr>
        <w:autoSpaceDE w:val="0"/>
        <w:autoSpaceDN w:val="0"/>
        <w:adjustRightInd w:val="0"/>
        <w:rPr>
          <w:sz w:val="20"/>
        </w:rPr>
      </w:pPr>
    </w:p>
    <w:p w:rsidR="00236E18" w:rsidRPr="0051240D" w:rsidRDefault="00236E18" w:rsidP="00236E18">
      <w:pPr>
        <w:numPr>
          <w:ilvl w:val="0"/>
          <w:numId w:val="70"/>
        </w:numPr>
        <w:jc w:val="both"/>
        <w:rPr>
          <w:sz w:val="20"/>
        </w:rPr>
      </w:pPr>
      <w:r w:rsidRPr="0051240D">
        <w:rPr>
          <w:sz w:val="20"/>
        </w:rPr>
        <w:t>En la cuadragésima tercera serie de reuniones de las Asambleas, celebradas del 24 de septiembre al 3 de octubre de 2007, los Estados miembros aprobaron la adopción de las IPSAS en 2010 por parte de la OMPI (documentos de referencia A/43/5 y A/43/16).  La aprobación de las IPSAS guarda relación con la iniciativa, aplicable a todo el sistema de las Naciones Unidas y aprobada por la Asamblea General (A/RES/60/283(IV</w:t>
      </w:r>
      <w:proofErr w:type="gramStart"/>
      <w:r w:rsidRPr="0051240D">
        <w:rPr>
          <w:sz w:val="20"/>
        </w:rPr>
        <w:t>)I</w:t>
      </w:r>
      <w:proofErr w:type="gramEnd"/>
      <w:r w:rsidRPr="0051240D">
        <w:rPr>
          <w:sz w:val="20"/>
        </w:rPr>
        <w:t>) encaminada a sustituir las normas de contabilidad del sistema de las Naciones Unidas (UNSAS) por las IPSAS, internacionalmente reconocidas.  En consecuencia, los estados financieros de la OMPI correspondientes a 2010 se elaboraron conforme a las IPSAS.</w:t>
      </w:r>
    </w:p>
    <w:p w:rsidR="00236E18" w:rsidRPr="0051240D" w:rsidRDefault="00236E18" w:rsidP="00236E18">
      <w:pPr>
        <w:ind w:left="1"/>
        <w:jc w:val="both"/>
        <w:rPr>
          <w:sz w:val="20"/>
        </w:rPr>
      </w:pPr>
    </w:p>
    <w:p w:rsidR="00236E18" w:rsidRPr="0051240D" w:rsidRDefault="00236E18" w:rsidP="00236E18">
      <w:pPr>
        <w:numPr>
          <w:ilvl w:val="0"/>
          <w:numId w:val="70"/>
        </w:numPr>
        <w:jc w:val="both"/>
        <w:rPr>
          <w:sz w:val="20"/>
        </w:rPr>
      </w:pPr>
      <w:r w:rsidRPr="0051240D">
        <w:rPr>
          <w:sz w:val="20"/>
        </w:rPr>
        <w:t>La aprobación del presupuesto bienal de la OMPI sigue estando a cargo de las Asambleas.   De conformidad con las IPSAS, la Organización debe presentar los estados financieros cada año.   A tal fin, los datos del presupuesto anual se presentan tanto en lo que respecta a los ingresos como a los gastos.</w:t>
      </w:r>
    </w:p>
    <w:p w:rsidR="00236E18" w:rsidRPr="0051240D" w:rsidRDefault="00236E18" w:rsidP="00236E18">
      <w:pPr>
        <w:jc w:val="both"/>
        <w:rPr>
          <w:sz w:val="20"/>
        </w:rPr>
      </w:pPr>
    </w:p>
    <w:p w:rsidR="00236E18" w:rsidRPr="0051240D" w:rsidRDefault="00236E18" w:rsidP="00236E18">
      <w:pPr>
        <w:numPr>
          <w:ilvl w:val="0"/>
          <w:numId w:val="70"/>
        </w:numPr>
        <w:jc w:val="both"/>
        <w:rPr>
          <w:sz w:val="20"/>
        </w:rPr>
      </w:pPr>
      <w:r w:rsidRPr="0051240D">
        <w:rPr>
          <w:sz w:val="20"/>
        </w:rPr>
        <w:t>Cabe recordar que, en relación con la aprobación del presupuesto por programas de 2010/11, los Estados miembros adoptaron la metodología de presentación anual del presupuesto bienal aprobado.  En el cuadro que figura a continuación se muestra la estimación del importe de los ingresos anuales, en consonancia con dicha metodología, correspondiente al presupuesto por programas para el bienio 2016/17.</w:t>
      </w:r>
    </w:p>
    <w:p w:rsidR="00236E18" w:rsidRPr="0051240D" w:rsidRDefault="00236E18" w:rsidP="00236E18">
      <w:pPr>
        <w:rPr>
          <w:sz w:val="20"/>
        </w:rPr>
      </w:pPr>
    </w:p>
    <w:p w:rsidR="00236E18" w:rsidRPr="0051240D" w:rsidRDefault="00236E18" w:rsidP="00236E18">
      <w:pPr>
        <w:jc w:val="center"/>
        <w:rPr>
          <w:b/>
          <w:sz w:val="20"/>
          <w:szCs w:val="16"/>
        </w:rPr>
      </w:pPr>
      <w:r w:rsidRPr="0051240D">
        <w:rPr>
          <w:b/>
          <w:sz w:val="20"/>
          <w:szCs w:val="16"/>
        </w:rPr>
        <w:t>Cuadro 20.  Ingresos anuales 2006-2017</w:t>
      </w:r>
    </w:p>
    <w:p w:rsidR="00236E18" w:rsidRPr="0051240D" w:rsidRDefault="00236E18" w:rsidP="00236E18">
      <w:pPr>
        <w:jc w:val="center"/>
        <w:rPr>
          <w:i/>
          <w:iCs/>
          <w:sz w:val="20"/>
        </w:rPr>
      </w:pPr>
      <w:r w:rsidRPr="0051240D">
        <w:rPr>
          <w:i/>
          <w:iCs/>
          <w:sz w:val="20"/>
          <w:szCs w:val="16"/>
        </w:rPr>
        <w:t>(</w:t>
      </w:r>
      <w:proofErr w:type="gramStart"/>
      <w:r w:rsidRPr="0051240D">
        <w:rPr>
          <w:i/>
          <w:iCs/>
          <w:sz w:val="20"/>
        </w:rPr>
        <w:t>en</w:t>
      </w:r>
      <w:proofErr w:type="gramEnd"/>
      <w:r w:rsidRPr="0051240D">
        <w:rPr>
          <w:i/>
          <w:iCs/>
          <w:sz w:val="20"/>
        </w:rPr>
        <w:t xml:space="preserve"> millones de francos suizos</w:t>
      </w:r>
      <w:r w:rsidRPr="0051240D">
        <w:rPr>
          <w:i/>
          <w:iCs/>
          <w:sz w:val="20"/>
          <w:szCs w:val="16"/>
        </w:rPr>
        <w:t>)</w:t>
      </w:r>
    </w:p>
    <w:p w:rsidR="00236E18" w:rsidRPr="0051240D" w:rsidRDefault="00236E18" w:rsidP="00236E18">
      <w:pPr>
        <w:rPr>
          <w:sz w:val="18"/>
        </w:rPr>
      </w:pPr>
    </w:p>
    <w:p w:rsidR="00236E18" w:rsidRPr="0051240D" w:rsidRDefault="00236E18" w:rsidP="00236E18">
      <w:pPr>
        <w:jc w:val="center"/>
        <w:rPr>
          <w:sz w:val="20"/>
        </w:rPr>
      </w:pPr>
      <w:r>
        <w:rPr>
          <w:noProof/>
          <w:lang w:val="en-US" w:eastAsia="en-US"/>
        </w:rPr>
        <w:drawing>
          <wp:inline distT="0" distB="0" distL="0" distR="0" wp14:anchorId="74A06833" wp14:editId="48CA58F3">
            <wp:extent cx="5760085" cy="1722487"/>
            <wp:effectExtent l="0" t="0" r="0" b="0"/>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5760085" cy="1722487"/>
                    </a:xfrm>
                    <a:prstGeom prst="rect">
                      <a:avLst/>
                    </a:prstGeom>
                    <a:noFill/>
                    <a:ln>
                      <a:noFill/>
                    </a:ln>
                  </pic:spPr>
                </pic:pic>
              </a:graphicData>
            </a:graphic>
          </wp:inline>
        </w:drawing>
      </w:r>
    </w:p>
    <w:p w:rsidR="00236E18" w:rsidRPr="0051240D" w:rsidRDefault="00236E18" w:rsidP="00236E18">
      <w:pPr>
        <w:rPr>
          <w:sz w:val="20"/>
        </w:rPr>
      </w:pPr>
    </w:p>
    <w:p w:rsidR="00236E18" w:rsidRDefault="00236E18" w:rsidP="00236E18">
      <w:pPr>
        <w:rPr>
          <w:i/>
          <w:sz w:val="16"/>
          <w:szCs w:val="14"/>
        </w:rPr>
      </w:pPr>
      <w:r w:rsidRPr="0051240D">
        <w:rPr>
          <w:i/>
          <w:sz w:val="16"/>
          <w:szCs w:val="14"/>
        </w:rPr>
        <w:t>*previamente, ingresos en concepto de intereses (hasta el bienio 2014/15)</w:t>
      </w:r>
    </w:p>
    <w:p w:rsidR="00236E18" w:rsidRPr="0051240D" w:rsidRDefault="00236E18" w:rsidP="00236E18">
      <w:pPr>
        <w:rPr>
          <w:i/>
          <w:sz w:val="16"/>
          <w:szCs w:val="14"/>
        </w:rPr>
      </w:pPr>
      <w:r>
        <w:rPr>
          <w:i/>
          <w:sz w:val="16"/>
          <w:szCs w:val="14"/>
        </w:rPr>
        <w:t>Nota: I</w:t>
      </w:r>
      <w:r>
        <w:rPr>
          <w:i/>
          <w:sz w:val="16"/>
          <w:szCs w:val="16"/>
        </w:rPr>
        <w:t xml:space="preserve">ngresos en concepto de tasas del Sistema de Lisboa </w:t>
      </w:r>
      <w:r w:rsidRPr="00362498">
        <w:rPr>
          <w:i/>
          <w:sz w:val="16"/>
          <w:szCs w:val="16"/>
        </w:rPr>
        <w:t>(</w:t>
      </w:r>
      <w:r>
        <w:rPr>
          <w:i/>
          <w:sz w:val="16"/>
          <w:szCs w:val="16"/>
        </w:rPr>
        <w:t>estimación presupuestaria de 2014/15</w:t>
      </w:r>
      <w:r w:rsidRPr="00362498">
        <w:rPr>
          <w:i/>
          <w:sz w:val="16"/>
          <w:szCs w:val="16"/>
        </w:rPr>
        <w:t>: 8</w:t>
      </w:r>
      <w:r>
        <w:rPr>
          <w:i/>
          <w:sz w:val="16"/>
          <w:szCs w:val="16"/>
        </w:rPr>
        <w:t>.</w:t>
      </w:r>
      <w:r w:rsidRPr="00362498">
        <w:rPr>
          <w:i/>
          <w:sz w:val="16"/>
          <w:szCs w:val="16"/>
        </w:rPr>
        <w:t xml:space="preserve">000 </w:t>
      </w:r>
      <w:r>
        <w:rPr>
          <w:i/>
          <w:sz w:val="16"/>
          <w:szCs w:val="16"/>
        </w:rPr>
        <w:t>francos suizos</w:t>
      </w:r>
      <w:r w:rsidRPr="00362498">
        <w:rPr>
          <w:i/>
          <w:sz w:val="16"/>
          <w:szCs w:val="16"/>
        </w:rPr>
        <w:t xml:space="preserve">; </w:t>
      </w:r>
      <w:r>
        <w:rPr>
          <w:i/>
          <w:sz w:val="16"/>
          <w:szCs w:val="16"/>
        </w:rPr>
        <w:t xml:space="preserve"> </w:t>
      </w:r>
      <w:r w:rsidRPr="00362498">
        <w:rPr>
          <w:i/>
          <w:sz w:val="16"/>
          <w:szCs w:val="16"/>
        </w:rPr>
        <w:t>2016/17</w:t>
      </w:r>
      <w:proofErr w:type="gramStart"/>
      <w:r w:rsidRPr="00362498">
        <w:rPr>
          <w:i/>
          <w:sz w:val="16"/>
          <w:szCs w:val="16"/>
        </w:rPr>
        <w:t xml:space="preserve">: </w:t>
      </w:r>
      <w:r>
        <w:rPr>
          <w:i/>
          <w:sz w:val="16"/>
          <w:szCs w:val="16"/>
        </w:rPr>
        <w:t xml:space="preserve"> </w:t>
      </w:r>
      <w:r w:rsidRPr="00362498">
        <w:rPr>
          <w:i/>
          <w:sz w:val="16"/>
          <w:szCs w:val="16"/>
        </w:rPr>
        <w:t>30</w:t>
      </w:r>
      <w:r>
        <w:rPr>
          <w:i/>
          <w:sz w:val="16"/>
          <w:szCs w:val="16"/>
        </w:rPr>
        <w:t>.</w:t>
      </w:r>
      <w:r w:rsidRPr="00362498">
        <w:rPr>
          <w:i/>
          <w:sz w:val="16"/>
          <w:szCs w:val="16"/>
        </w:rPr>
        <w:t>000</w:t>
      </w:r>
      <w:proofErr w:type="gramEnd"/>
      <w:r w:rsidRPr="00362498">
        <w:rPr>
          <w:i/>
          <w:sz w:val="16"/>
          <w:szCs w:val="16"/>
        </w:rPr>
        <w:t xml:space="preserve"> </w:t>
      </w:r>
      <w:r>
        <w:rPr>
          <w:i/>
          <w:sz w:val="16"/>
          <w:szCs w:val="16"/>
        </w:rPr>
        <w:t>francos suizos</w:t>
      </w:r>
      <w:r w:rsidRPr="00362498">
        <w:rPr>
          <w:i/>
          <w:sz w:val="16"/>
          <w:szCs w:val="16"/>
        </w:rPr>
        <w:t>)</w:t>
      </w:r>
      <w:r>
        <w:rPr>
          <w:i/>
          <w:sz w:val="16"/>
          <w:szCs w:val="16"/>
        </w:rPr>
        <w:t>.</w:t>
      </w:r>
    </w:p>
    <w:p w:rsidR="00236E18" w:rsidRPr="0051240D" w:rsidRDefault="00236E18" w:rsidP="00236E18">
      <w:pPr>
        <w:rPr>
          <w:sz w:val="20"/>
        </w:rPr>
      </w:pPr>
    </w:p>
    <w:p w:rsidR="00236E18" w:rsidRPr="0051240D" w:rsidRDefault="00236E18" w:rsidP="00236E18">
      <w:pPr>
        <w:rPr>
          <w:rFonts w:eastAsia="Times New Roman"/>
          <w:sz w:val="20"/>
          <w:lang w:eastAsia="en-US"/>
        </w:rPr>
      </w:pPr>
      <w:r w:rsidRPr="0051240D">
        <w:rPr>
          <w:sz w:val="20"/>
        </w:rPr>
        <w:br w:type="page"/>
      </w:r>
    </w:p>
    <w:p w:rsidR="00236E18" w:rsidRPr="0051240D" w:rsidRDefault="00236E18" w:rsidP="00236E18">
      <w:pPr>
        <w:pStyle w:val="Endofdocument"/>
        <w:ind w:left="0"/>
        <w:jc w:val="left"/>
        <w:rPr>
          <w:rFonts w:ascii="Arial" w:hAnsi="Arial" w:cs="Arial"/>
          <w:sz w:val="20"/>
          <w:lang w:val="es-ES"/>
        </w:rPr>
      </w:pPr>
    </w:p>
    <w:p w:rsidR="00236E18" w:rsidRPr="0051240D" w:rsidRDefault="00236E18" w:rsidP="00236E18">
      <w:pPr>
        <w:numPr>
          <w:ilvl w:val="0"/>
          <w:numId w:val="70"/>
        </w:numPr>
        <w:jc w:val="both"/>
        <w:rPr>
          <w:sz w:val="20"/>
        </w:rPr>
      </w:pPr>
      <w:r w:rsidRPr="0051240D">
        <w:rPr>
          <w:sz w:val="20"/>
        </w:rPr>
        <w:t>En relación con el gasto presupuestado de la OMPI correspondiente a 2016/17, a las cifras presupuestarias bienales no relativas al personal se aplica una división porcentual del 50% a fin de presentar la situación del presupuesto anual.  El presupuesto relativo al personal se ha dividido en períodos anuales a partir de los costos calculados para los dos años.  El cuadro que figura a continuación muestra los importes de los gastos anuales en consecuencia.</w:t>
      </w:r>
    </w:p>
    <w:p w:rsidR="00236E18" w:rsidRPr="0051240D" w:rsidRDefault="00236E18" w:rsidP="00236E18">
      <w:pPr>
        <w:pStyle w:val="Endofdocument"/>
        <w:ind w:left="0"/>
        <w:jc w:val="left"/>
        <w:rPr>
          <w:rFonts w:ascii="Arial" w:hAnsi="Arial" w:cs="Arial"/>
          <w:sz w:val="20"/>
          <w:lang w:val="es-ES"/>
        </w:rPr>
      </w:pPr>
    </w:p>
    <w:p w:rsidR="00236E18" w:rsidRPr="0051240D" w:rsidRDefault="00236E18" w:rsidP="00236E18">
      <w:pPr>
        <w:rPr>
          <w:b/>
          <w:sz w:val="20"/>
          <w:szCs w:val="16"/>
        </w:rPr>
      </w:pPr>
    </w:p>
    <w:p w:rsidR="00236E18" w:rsidRPr="0051240D" w:rsidRDefault="00236E18" w:rsidP="00236E18">
      <w:pPr>
        <w:jc w:val="center"/>
        <w:rPr>
          <w:b/>
          <w:sz w:val="20"/>
          <w:szCs w:val="16"/>
        </w:rPr>
      </w:pPr>
      <w:r w:rsidRPr="0051240D">
        <w:rPr>
          <w:b/>
          <w:sz w:val="20"/>
          <w:szCs w:val="16"/>
        </w:rPr>
        <w:t>Cuadro 21.  Gastos anuales 2006-2017</w:t>
      </w:r>
    </w:p>
    <w:p w:rsidR="00236E18" w:rsidRPr="0051240D" w:rsidRDefault="00236E18" w:rsidP="00236E18">
      <w:pPr>
        <w:jc w:val="center"/>
        <w:rPr>
          <w:sz w:val="20"/>
          <w:szCs w:val="16"/>
        </w:rPr>
      </w:pPr>
      <w:r w:rsidRPr="0051240D">
        <w:rPr>
          <w:i/>
          <w:iCs/>
          <w:sz w:val="20"/>
          <w:szCs w:val="16"/>
        </w:rPr>
        <w:t>(</w:t>
      </w:r>
      <w:proofErr w:type="gramStart"/>
      <w:r w:rsidRPr="0051240D">
        <w:rPr>
          <w:i/>
          <w:sz w:val="20"/>
          <w:szCs w:val="16"/>
        </w:rPr>
        <w:t>en</w:t>
      </w:r>
      <w:proofErr w:type="gramEnd"/>
      <w:r w:rsidRPr="0051240D">
        <w:rPr>
          <w:i/>
          <w:sz w:val="20"/>
          <w:szCs w:val="16"/>
        </w:rPr>
        <w:t xml:space="preserve"> millones de francos suizos</w:t>
      </w:r>
      <w:r w:rsidRPr="0051240D">
        <w:rPr>
          <w:i/>
          <w:iCs/>
          <w:sz w:val="20"/>
          <w:szCs w:val="16"/>
        </w:rPr>
        <w:t>)</w:t>
      </w:r>
      <w:r w:rsidRPr="0051240D">
        <w:rPr>
          <w:sz w:val="20"/>
          <w:szCs w:val="16"/>
        </w:rPr>
        <w:t xml:space="preserve"> </w:t>
      </w:r>
    </w:p>
    <w:p w:rsidR="00236E18" w:rsidRPr="0051240D" w:rsidRDefault="00236E18" w:rsidP="00236E18">
      <w:pPr>
        <w:pStyle w:val="Endofdocument"/>
        <w:ind w:left="0"/>
        <w:jc w:val="left"/>
        <w:rPr>
          <w:rFonts w:ascii="Arial" w:hAnsi="Arial" w:cs="Arial"/>
          <w:sz w:val="18"/>
          <w:lang w:val="es-ES"/>
        </w:rPr>
      </w:pPr>
    </w:p>
    <w:p w:rsidR="00236E18" w:rsidRPr="0051240D" w:rsidRDefault="00236E18" w:rsidP="00236E18">
      <w:pPr>
        <w:pStyle w:val="Endofdocument"/>
        <w:ind w:left="0"/>
        <w:rPr>
          <w:rFonts w:ascii="Arial" w:hAnsi="Arial" w:cs="Arial"/>
          <w:sz w:val="20"/>
          <w:lang w:val="es-ES"/>
        </w:rPr>
      </w:pPr>
      <w:r>
        <w:rPr>
          <w:noProof/>
        </w:rPr>
        <w:drawing>
          <wp:inline distT="0" distB="0" distL="0" distR="0" wp14:anchorId="5076BB54" wp14:editId="75FD790D">
            <wp:extent cx="5760085" cy="2665270"/>
            <wp:effectExtent l="0" t="0" r="0" b="1905"/>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760085" cy="2665270"/>
                    </a:xfrm>
                    <a:prstGeom prst="rect">
                      <a:avLst/>
                    </a:prstGeom>
                    <a:noFill/>
                    <a:ln>
                      <a:noFill/>
                    </a:ln>
                  </pic:spPr>
                </pic:pic>
              </a:graphicData>
            </a:graphic>
          </wp:inline>
        </w:drawing>
      </w:r>
    </w:p>
    <w:p w:rsidR="00236E18" w:rsidRPr="0051240D" w:rsidRDefault="00236E18" w:rsidP="00236E18">
      <w:pPr>
        <w:pStyle w:val="Endofdocument"/>
        <w:ind w:left="0"/>
        <w:rPr>
          <w:rFonts w:ascii="Arial" w:hAnsi="Arial" w:cs="Arial"/>
          <w:sz w:val="18"/>
          <w:lang w:val="es-ES"/>
        </w:rPr>
      </w:pPr>
    </w:p>
    <w:p w:rsidR="00236E18" w:rsidRPr="0051240D" w:rsidRDefault="00236E18" w:rsidP="00236E18">
      <w:pPr>
        <w:rPr>
          <w:i/>
          <w:sz w:val="16"/>
          <w:szCs w:val="14"/>
        </w:rPr>
      </w:pPr>
      <w:r w:rsidRPr="0051240D">
        <w:rPr>
          <w:i/>
          <w:sz w:val="16"/>
          <w:szCs w:val="14"/>
        </w:rPr>
        <w:t>*previamente, viajes y becas para cursos (hasta el bienio 2014/15).</w:t>
      </w:r>
    </w:p>
    <w:p w:rsidR="00236E18" w:rsidRPr="0051240D" w:rsidRDefault="00236E18" w:rsidP="00236E18">
      <w:pPr>
        <w:rPr>
          <w:i/>
          <w:sz w:val="16"/>
          <w:szCs w:val="14"/>
        </w:rPr>
      </w:pPr>
    </w:p>
    <w:p w:rsidR="00236E18" w:rsidRPr="0051240D" w:rsidRDefault="00236E18" w:rsidP="00236E18">
      <w:pPr>
        <w:rPr>
          <w:i/>
          <w:sz w:val="16"/>
          <w:szCs w:val="14"/>
        </w:rPr>
      </w:pPr>
      <w:r w:rsidRPr="0051240D">
        <w:rPr>
          <w:i/>
          <w:sz w:val="16"/>
          <w:szCs w:val="14"/>
        </w:rPr>
        <w:t xml:space="preserve">**Los servicios contractuales fueron </w:t>
      </w:r>
      <w:proofErr w:type="spellStart"/>
      <w:r w:rsidRPr="0051240D">
        <w:rPr>
          <w:i/>
          <w:sz w:val="16"/>
          <w:szCs w:val="14"/>
        </w:rPr>
        <w:t>reexpresados</w:t>
      </w:r>
      <w:proofErr w:type="spellEnd"/>
      <w:r w:rsidRPr="0051240D">
        <w:rPr>
          <w:i/>
          <w:sz w:val="16"/>
          <w:szCs w:val="14"/>
        </w:rPr>
        <w:t xml:space="preserve"> para los años 2004-2009 a fin de incluir los ASE, debido al cambio introducido en abril de 2010.</w:t>
      </w:r>
    </w:p>
    <w:p w:rsidR="00236E18" w:rsidRPr="0051240D" w:rsidRDefault="00236E18" w:rsidP="00236E18">
      <w:pPr>
        <w:rPr>
          <w:i/>
          <w:sz w:val="16"/>
          <w:szCs w:val="14"/>
        </w:rPr>
      </w:pPr>
    </w:p>
    <w:p w:rsidR="00236E18" w:rsidRPr="0051240D" w:rsidRDefault="00236E18" w:rsidP="00236E18">
      <w:pPr>
        <w:rPr>
          <w:i/>
          <w:sz w:val="16"/>
          <w:szCs w:val="14"/>
        </w:rPr>
      </w:pPr>
      <w:r w:rsidRPr="0051240D">
        <w:rPr>
          <w:i/>
          <w:sz w:val="16"/>
          <w:szCs w:val="14"/>
        </w:rPr>
        <w:t>***previamente, incluido en el marco de gastos de operación (hasta el bienio 2014/15).</w:t>
      </w:r>
    </w:p>
    <w:p w:rsidR="00236E18" w:rsidRPr="0051240D" w:rsidRDefault="00236E18" w:rsidP="00236E18">
      <w:pPr>
        <w:pStyle w:val="Endofdocument"/>
        <w:ind w:left="0"/>
        <w:jc w:val="left"/>
        <w:rPr>
          <w:rFonts w:ascii="Arial" w:hAnsi="Arial" w:cs="Arial"/>
          <w:sz w:val="20"/>
          <w:lang w:val="es-ES"/>
        </w:rPr>
      </w:pPr>
    </w:p>
    <w:p w:rsidR="00236E18" w:rsidRPr="0051240D" w:rsidRDefault="00236E18" w:rsidP="00236E18">
      <w:pPr>
        <w:rPr>
          <w:sz w:val="20"/>
        </w:rPr>
      </w:pPr>
    </w:p>
    <w:p w:rsidR="00236E18" w:rsidRDefault="00236E18" w:rsidP="00236E18">
      <w:pPr>
        <w:sectPr w:rsidR="00236E18" w:rsidSect="00080272">
          <w:pgSz w:w="11907" w:h="16839" w:code="9"/>
          <w:pgMar w:top="624" w:right="1418" w:bottom="1361" w:left="1418" w:header="624" w:footer="907" w:gutter="0"/>
          <w:cols w:space="720"/>
          <w:docGrid w:linePitch="360"/>
        </w:sectPr>
      </w:pPr>
    </w:p>
    <w:p w:rsidR="00236E18" w:rsidRPr="0096398C" w:rsidRDefault="00236E18" w:rsidP="00236E18">
      <w:pPr>
        <w:pStyle w:val="StyleHeading3ComplexItalic"/>
        <w:keepNext w:val="0"/>
        <w:tabs>
          <w:tab w:val="clear" w:pos="1985"/>
          <w:tab w:val="left" w:pos="1418"/>
        </w:tabs>
        <w:ind w:left="1418" w:hanging="1418"/>
        <w:rPr>
          <w:caps w:val="0"/>
          <w:lang w:val="es-ES"/>
        </w:rPr>
      </w:pPr>
      <w:bookmarkStart w:id="165" w:name="_Toc293334848"/>
      <w:bookmarkStart w:id="166" w:name="_Toc298920430"/>
      <w:bookmarkStart w:id="167" w:name="_Toc356567795"/>
      <w:bookmarkStart w:id="168" w:name="_Toc367350621"/>
      <w:bookmarkStart w:id="169" w:name="_Toc419283289"/>
      <w:bookmarkStart w:id="170" w:name="_Toc431573588"/>
      <w:bookmarkStart w:id="171" w:name="_Toc431573989"/>
      <w:r w:rsidRPr="0096398C">
        <w:rPr>
          <w:caps w:val="0"/>
          <w:lang w:val="es-ES"/>
        </w:rPr>
        <w:lastRenderedPageBreak/>
        <w:t>ANEXO X</w:t>
      </w:r>
      <w:r w:rsidRPr="0096398C">
        <w:rPr>
          <w:caps w:val="0"/>
          <w:lang w:val="es-ES"/>
        </w:rPr>
        <w:tab/>
        <w:t>PRESUPUESTO DE 2016/17,</w:t>
      </w:r>
      <w:bookmarkEnd w:id="165"/>
      <w:bookmarkEnd w:id="166"/>
      <w:bookmarkEnd w:id="167"/>
      <w:bookmarkEnd w:id="168"/>
      <w:bookmarkEnd w:id="169"/>
      <w:r w:rsidRPr="0096398C">
        <w:rPr>
          <w:caps w:val="0"/>
          <w:lang w:val="es-ES"/>
        </w:rPr>
        <w:t xml:space="preserve"> POR RESULTADO PREVISTO Y PROGRAMA</w:t>
      </w:r>
      <w:bookmarkEnd w:id="170"/>
      <w:bookmarkEnd w:id="171"/>
    </w:p>
    <w:p w:rsidR="00236E18" w:rsidRPr="0096398C" w:rsidRDefault="00236E18" w:rsidP="00236E18">
      <w:pPr>
        <w:rPr>
          <w:b/>
          <w:sz w:val="20"/>
          <w:highlight w:val="lightGray"/>
        </w:rPr>
      </w:pPr>
    </w:p>
    <w:p w:rsidR="00236E18" w:rsidRPr="0096398C" w:rsidRDefault="00236E18" w:rsidP="00236E18">
      <w:pPr>
        <w:ind w:left="-567"/>
        <w:jc w:val="center"/>
        <w:rPr>
          <w:sz w:val="18"/>
          <w:szCs w:val="18"/>
          <w:highlight w:val="lightGray"/>
          <w:lang w:val="en-US"/>
        </w:rPr>
      </w:pPr>
      <w:r w:rsidRPr="000F4435">
        <w:rPr>
          <w:noProof/>
          <w:lang w:val="en-US" w:eastAsia="en-US"/>
        </w:rPr>
        <w:drawing>
          <wp:inline distT="0" distB="0" distL="0" distR="0" wp14:anchorId="4CCDB7D4" wp14:editId="0B122D31">
            <wp:extent cx="9409823" cy="4986068"/>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9415999" cy="4989340"/>
                    </a:xfrm>
                    <a:prstGeom prst="rect">
                      <a:avLst/>
                    </a:prstGeom>
                    <a:noFill/>
                    <a:ln>
                      <a:noFill/>
                    </a:ln>
                  </pic:spPr>
                </pic:pic>
              </a:graphicData>
            </a:graphic>
          </wp:inline>
        </w:drawing>
      </w:r>
    </w:p>
    <w:p w:rsidR="00236E18" w:rsidRDefault="00236E18" w:rsidP="00236E18">
      <w:pPr>
        <w:rPr>
          <w:b/>
          <w:sz w:val="18"/>
          <w:szCs w:val="18"/>
          <w:highlight w:val="lightGray"/>
          <w:lang w:val="en-US"/>
        </w:rPr>
      </w:pPr>
      <w:r>
        <w:rPr>
          <w:b/>
          <w:sz w:val="18"/>
          <w:szCs w:val="18"/>
          <w:highlight w:val="lightGray"/>
          <w:lang w:val="en-US"/>
        </w:rPr>
        <w:br w:type="page"/>
      </w:r>
    </w:p>
    <w:p w:rsidR="00236E18" w:rsidRPr="0096398C" w:rsidRDefault="00236E18" w:rsidP="00236E18">
      <w:pPr>
        <w:ind w:left="-360"/>
        <w:rPr>
          <w:b/>
          <w:sz w:val="18"/>
          <w:szCs w:val="18"/>
          <w:lang w:val="en-US"/>
        </w:rPr>
      </w:pPr>
      <w:r w:rsidRPr="0096398C">
        <w:rPr>
          <w:b/>
          <w:sz w:val="18"/>
          <w:szCs w:val="18"/>
          <w:lang w:val="en-US"/>
        </w:rPr>
        <w:lastRenderedPageBreak/>
        <w:t>ANEXO X (CONT.)</w:t>
      </w:r>
    </w:p>
    <w:p w:rsidR="00236E18" w:rsidRDefault="00236E18" w:rsidP="00236E18">
      <w:pPr>
        <w:ind w:left="-284"/>
        <w:rPr>
          <w:noProof/>
          <w:lang w:val="en-US" w:eastAsia="en-US"/>
        </w:rPr>
      </w:pPr>
    </w:p>
    <w:p w:rsidR="00236E18" w:rsidRDefault="00236E18" w:rsidP="00236E18">
      <w:pPr>
        <w:ind w:left="-284"/>
        <w:rPr>
          <w:highlight w:val="lightGray"/>
          <w:lang w:val="en-US"/>
        </w:rPr>
      </w:pPr>
      <w:r w:rsidRPr="000F4435">
        <w:rPr>
          <w:noProof/>
          <w:lang w:val="en-US" w:eastAsia="en-US"/>
        </w:rPr>
        <w:drawing>
          <wp:inline distT="0" distB="0" distL="0" distR="0" wp14:anchorId="0D04269E" wp14:editId="734A267B">
            <wp:extent cx="9609826" cy="527936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9623486" cy="5286870"/>
                    </a:xfrm>
                    <a:prstGeom prst="rect">
                      <a:avLst/>
                    </a:prstGeom>
                    <a:noFill/>
                    <a:ln>
                      <a:noFill/>
                    </a:ln>
                  </pic:spPr>
                </pic:pic>
              </a:graphicData>
            </a:graphic>
          </wp:inline>
        </w:drawing>
      </w:r>
    </w:p>
    <w:p w:rsidR="00236E18" w:rsidRDefault="00236E18" w:rsidP="00236E18">
      <w:pPr>
        <w:ind w:left="-284"/>
        <w:rPr>
          <w:highlight w:val="lightGray"/>
          <w:lang w:val="en-US"/>
        </w:rPr>
      </w:pPr>
    </w:p>
    <w:p w:rsidR="00236E18" w:rsidRPr="0096398C" w:rsidRDefault="00236E18" w:rsidP="00236E18">
      <w:pPr>
        <w:ind w:left="-284"/>
        <w:rPr>
          <w:highlight w:val="lightGray"/>
          <w:lang w:val="en-US"/>
        </w:rPr>
        <w:sectPr w:rsidR="00236E18" w:rsidRPr="0096398C" w:rsidSect="00080272">
          <w:pgSz w:w="16839" w:h="11907" w:orient="landscape" w:code="9"/>
          <w:pgMar w:top="1418" w:right="624" w:bottom="1418" w:left="1361" w:header="624" w:footer="595" w:gutter="0"/>
          <w:cols w:space="720"/>
          <w:docGrid w:linePitch="360"/>
        </w:sectPr>
      </w:pPr>
    </w:p>
    <w:p w:rsidR="00236E18" w:rsidRPr="00444397" w:rsidRDefault="00236E18" w:rsidP="00236E18">
      <w:pPr>
        <w:pStyle w:val="StyleHeading3ComplexItalic"/>
        <w:keepNext w:val="0"/>
        <w:tabs>
          <w:tab w:val="clear" w:pos="1985"/>
          <w:tab w:val="left" w:pos="1701"/>
        </w:tabs>
        <w:ind w:left="1701" w:hanging="1701"/>
        <w:rPr>
          <w:caps w:val="0"/>
          <w:lang w:val="es-ES"/>
        </w:rPr>
      </w:pPr>
      <w:bookmarkStart w:id="172" w:name="_Toc356567796"/>
      <w:bookmarkStart w:id="173" w:name="_Toc367350622"/>
      <w:bookmarkStart w:id="174" w:name="_Toc419283290"/>
      <w:bookmarkStart w:id="175" w:name="_Toc431573589"/>
      <w:bookmarkStart w:id="176" w:name="_Toc431573990"/>
      <w:r w:rsidRPr="00444397">
        <w:rPr>
          <w:caps w:val="0"/>
          <w:lang w:val="es-ES"/>
        </w:rPr>
        <w:lastRenderedPageBreak/>
        <w:t>ANEXO XI</w:t>
      </w:r>
      <w:r w:rsidRPr="00444397">
        <w:rPr>
          <w:caps w:val="0"/>
          <w:lang w:val="es-ES"/>
        </w:rPr>
        <w:tab/>
        <w:t>PRESUPUESTO DE 2016/17,</w:t>
      </w:r>
      <w:bookmarkEnd w:id="172"/>
      <w:bookmarkEnd w:id="173"/>
      <w:bookmarkEnd w:id="174"/>
      <w:r w:rsidRPr="00444397">
        <w:rPr>
          <w:caps w:val="0"/>
          <w:lang w:val="es-ES"/>
        </w:rPr>
        <w:t xml:space="preserve"> POR RESULTADO PREVISTO</w:t>
      </w:r>
      <w:bookmarkEnd w:id="175"/>
      <w:bookmarkEnd w:id="176"/>
    </w:p>
    <w:p w:rsidR="00236E18" w:rsidRPr="00444397" w:rsidRDefault="00236E18" w:rsidP="00236E18">
      <w:pPr>
        <w:ind w:left="851" w:firstLine="850"/>
        <w:rPr>
          <w:i/>
          <w:sz w:val="20"/>
        </w:rPr>
      </w:pPr>
      <w:r w:rsidRPr="00444397">
        <w:rPr>
          <w:i/>
          <w:sz w:val="20"/>
        </w:rPr>
        <w:t>(</w:t>
      </w:r>
      <w:proofErr w:type="gramStart"/>
      <w:r w:rsidRPr="00444397">
        <w:rPr>
          <w:i/>
          <w:sz w:val="20"/>
        </w:rPr>
        <w:t>en</w:t>
      </w:r>
      <w:proofErr w:type="gramEnd"/>
      <w:r w:rsidRPr="00444397">
        <w:rPr>
          <w:i/>
          <w:sz w:val="20"/>
        </w:rPr>
        <w:t xml:space="preserve"> miles de francos suizos)</w:t>
      </w:r>
    </w:p>
    <w:p w:rsidR="00236E18" w:rsidRPr="00444397" w:rsidRDefault="00236E18" w:rsidP="00236E18">
      <w:pPr>
        <w:autoSpaceDE w:val="0"/>
        <w:autoSpaceDN w:val="0"/>
        <w:adjustRightInd w:val="0"/>
        <w:rPr>
          <w:sz w:val="20"/>
          <w:highlight w:val="lightGray"/>
        </w:rPr>
      </w:pPr>
    </w:p>
    <w:p w:rsidR="00236E18" w:rsidRPr="000F4435" w:rsidRDefault="00236E18" w:rsidP="00236E18">
      <w:pPr>
        <w:autoSpaceDE w:val="0"/>
        <w:autoSpaceDN w:val="0"/>
        <w:adjustRightInd w:val="0"/>
        <w:rPr>
          <w:sz w:val="20"/>
          <w:highlight w:val="lightGray"/>
        </w:rPr>
      </w:pPr>
      <w:r w:rsidRPr="0041698C">
        <w:rPr>
          <w:noProof/>
          <w:lang w:val="en-US" w:eastAsia="en-US"/>
        </w:rPr>
        <w:drawing>
          <wp:inline distT="0" distB="0" distL="0" distR="0" wp14:anchorId="012762BE" wp14:editId="5F03D329">
            <wp:extent cx="5466991" cy="7718105"/>
            <wp:effectExtent l="0" t="0" r="635" b="0"/>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5466488" cy="7717395"/>
                    </a:xfrm>
                    <a:prstGeom prst="rect">
                      <a:avLst/>
                    </a:prstGeom>
                    <a:noFill/>
                    <a:ln>
                      <a:noFill/>
                    </a:ln>
                  </pic:spPr>
                </pic:pic>
              </a:graphicData>
            </a:graphic>
          </wp:inline>
        </w:drawing>
      </w:r>
    </w:p>
    <w:p w:rsidR="00236E18" w:rsidRPr="000F4435" w:rsidRDefault="00236E18" w:rsidP="00236E18">
      <w:pPr>
        <w:rPr>
          <w:sz w:val="20"/>
          <w:highlight w:val="lightGray"/>
        </w:rPr>
      </w:pPr>
      <w:r w:rsidRPr="000F4435">
        <w:rPr>
          <w:sz w:val="20"/>
          <w:highlight w:val="lightGray"/>
        </w:rPr>
        <w:br w:type="page"/>
      </w:r>
    </w:p>
    <w:p w:rsidR="00236E18" w:rsidRPr="005101AB" w:rsidRDefault="00236E18" w:rsidP="00236E18">
      <w:pPr>
        <w:autoSpaceDE w:val="0"/>
        <w:autoSpaceDN w:val="0"/>
        <w:adjustRightInd w:val="0"/>
        <w:rPr>
          <w:b/>
          <w:sz w:val="20"/>
        </w:rPr>
      </w:pPr>
      <w:r w:rsidRPr="005101AB">
        <w:rPr>
          <w:b/>
          <w:sz w:val="20"/>
        </w:rPr>
        <w:lastRenderedPageBreak/>
        <w:t>Anexo XI, continuación</w:t>
      </w:r>
    </w:p>
    <w:p w:rsidR="00236E18" w:rsidRPr="005101AB" w:rsidRDefault="00236E18" w:rsidP="00236E18">
      <w:pPr>
        <w:autoSpaceDE w:val="0"/>
        <w:autoSpaceDN w:val="0"/>
        <w:adjustRightInd w:val="0"/>
        <w:rPr>
          <w:sz w:val="20"/>
          <w:highlight w:val="lightGray"/>
        </w:rPr>
      </w:pPr>
    </w:p>
    <w:p w:rsidR="00236E18" w:rsidRPr="0096398C" w:rsidRDefault="00236E18" w:rsidP="00236E18">
      <w:pPr>
        <w:autoSpaceDE w:val="0"/>
        <w:autoSpaceDN w:val="0"/>
        <w:adjustRightInd w:val="0"/>
        <w:rPr>
          <w:sz w:val="20"/>
          <w:highlight w:val="lightGray"/>
          <w:lang w:val="en-US"/>
        </w:rPr>
      </w:pPr>
      <w:r w:rsidRPr="005F7D34">
        <w:rPr>
          <w:noProof/>
          <w:lang w:val="en-US" w:eastAsia="en-US"/>
        </w:rPr>
        <w:drawing>
          <wp:inline distT="0" distB="0" distL="0" distR="0" wp14:anchorId="48BED3CB" wp14:editId="5BCFDC2D">
            <wp:extent cx="5410153" cy="8428007"/>
            <wp:effectExtent l="0" t="0" r="635"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5413773" cy="8433647"/>
                    </a:xfrm>
                    <a:prstGeom prst="rect">
                      <a:avLst/>
                    </a:prstGeom>
                    <a:noFill/>
                    <a:ln>
                      <a:noFill/>
                    </a:ln>
                  </pic:spPr>
                </pic:pic>
              </a:graphicData>
            </a:graphic>
          </wp:inline>
        </w:drawing>
      </w:r>
    </w:p>
    <w:p w:rsidR="00236E18" w:rsidRPr="0096398C" w:rsidRDefault="00236E18" w:rsidP="00236E18">
      <w:pPr>
        <w:autoSpaceDE w:val="0"/>
        <w:autoSpaceDN w:val="0"/>
        <w:adjustRightInd w:val="0"/>
        <w:rPr>
          <w:sz w:val="20"/>
          <w:highlight w:val="lightGray"/>
          <w:lang w:val="en-US"/>
        </w:rPr>
      </w:pPr>
    </w:p>
    <w:p w:rsidR="00236E18" w:rsidRPr="0096398C" w:rsidRDefault="00236E18" w:rsidP="00236E18">
      <w:pPr>
        <w:rPr>
          <w:sz w:val="20"/>
          <w:highlight w:val="lightGray"/>
          <w:lang w:val="en-US"/>
        </w:rPr>
      </w:pPr>
      <w:r w:rsidRPr="0096398C">
        <w:rPr>
          <w:sz w:val="20"/>
          <w:highlight w:val="lightGray"/>
          <w:lang w:val="en-US"/>
        </w:rPr>
        <w:br w:type="page"/>
      </w:r>
    </w:p>
    <w:p w:rsidR="00236E18" w:rsidRPr="00400FAC" w:rsidRDefault="00236E18" w:rsidP="00236E18">
      <w:pPr>
        <w:autoSpaceDE w:val="0"/>
        <w:autoSpaceDN w:val="0"/>
        <w:adjustRightInd w:val="0"/>
        <w:rPr>
          <w:b/>
          <w:sz w:val="20"/>
          <w:lang w:val="en-US"/>
        </w:rPr>
      </w:pPr>
      <w:r w:rsidRPr="00400FAC">
        <w:rPr>
          <w:b/>
          <w:sz w:val="20"/>
          <w:lang w:val="en-US"/>
        </w:rPr>
        <w:lastRenderedPageBreak/>
        <w:t xml:space="preserve">Anexo XI, </w:t>
      </w:r>
      <w:proofErr w:type="spellStart"/>
      <w:r w:rsidRPr="00400FAC">
        <w:rPr>
          <w:b/>
          <w:sz w:val="20"/>
          <w:lang w:val="en-US"/>
        </w:rPr>
        <w:t>continuación</w:t>
      </w:r>
      <w:proofErr w:type="spellEnd"/>
    </w:p>
    <w:p w:rsidR="00236E18" w:rsidRPr="0096398C" w:rsidRDefault="00236E18" w:rsidP="00236E18">
      <w:pPr>
        <w:autoSpaceDE w:val="0"/>
        <w:autoSpaceDN w:val="0"/>
        <w:adjustRightInd w:val="0"/>
        <w:rPr>
          <w:sz w:val="20"/>
          <w:highlight w:val="lightGray"/>
          <w:lang w:val="en-US"/>
        </w:rPr>
      </w:pPr>
    </w:p>
    <w:p w:rsidR="00236E18" w:rsidRPr="0096398C" w:rsidRDefault="00236E18" w:rsidP="00236E18">
      <w:pPr>
        <w:autoSpaceDE w:val="0"/>
        <w:autoSpaceDN w:val="0"/>
        <w:adjustRightInd w:val="0"/>
        <w:rPr>
          <w:sz w:val="20"/>
          <w:lang w:val="en-US"/>
        </w:rPr>
      </w:pPr>
      <w:r w:rsidRPr="00C4448D">
        <w:rPr>
          <w:noProof/>
          <w:lang w:val="en-US" w:eastAsia="en-US"/>
        </w:rPr>
        <w:drawing>
          <wp:inline distT="0" distB="0" distL="0" distR="0" wp14:anchorId="3A88A125" wp14:editId="269AD16D">
            <wp:extent cx="5525041" cy="1245353"/>
            <wp:effectExtent l="0" t="0" r="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5543696" cy="1249558"/>
                    </a:xfrm>
                    <a:prstGeom prst="rect">
                      <a:avLst/>
                    </a:prstGeom>
                    <a:noFill/>
                    <a:ln>
                      <a:noFill/>
                    </a:ln>
                  </pic:spPr>
                </pic:pic>
              </a:graphicData>
            </a:graphic>
          </wp:inline>
        </w:drawing>
      </w:r>
    </w:p>
    <w:p w:rsidR="00236E18" w:rsidRPr="0096398C" w:rsidRDefault="00236E18" w:rsidP="00236E18">
      <w:pPr>
        <w:autoSpaceDE w:val="0"/>
        <w:autoSpaceDN w:val="0"/>
        <w:adjustRightInd w:val="0"/>
        <w:rPr>
          <w:sz w:val="20"/>
          <w:lang w:val="en-US"/>
        </w:rPr>
      </w:pPr>
    </w:p>
    <w:p w:rsidR="00236E18" w:rsidRPr="0096398C" w:rsidRDefault="00236E18" w:rsidP="00236E18">
      <w:pPr>
        <w:rPr>
          <w:lang w:val="en-US"/>
        </w:rPr>
        <w:sectPr w:rsidR="00236E18" w:rsidRPr="0096398C" w:rsidSect="00080272">
          <w:pgSz w:w="11907" w:h="16839" w:code="9"/>
          <w:pgMar w:top="624" w:right="1418" w:bottom="1361" w:left="1418" w:header="624" w:footer="907" w:gutter="0"/>
          <w:cols w:space="720"/>
          <w:docGrid w:linePitch="360"/>
        </w:sectPr>
      </w:pPr>
    </w:p>
    <w:p w:rsidR="00236E18" w:rsidRPr="00B224EF" w:rsidRDefault="00236E18" w:rsidP="00236E18">
      <w:pPr>
        <w:pStyle w:val="StyleHeading3ComplexItalic"/>
        <w:keepNext w:val="0"/>
        <w:tabs>
          <w:tab w:val="clear" w:pos="1985"/>
          <w:tab w:val="left" w:pos="1701"/>
        </w:tabs>
        <w:ind w:left="1701" w:hanging="1701"/>
        <w:rPr>
          <w:caps w:val="0"/>
          <w:sz w:val="18"/>
          <w:lang w:val="es-ES"/>
        </w:rPr>
      </w:pPr>
      <w:bookmarkStart w:id="177" w:name="_Toc356567797"/>
      <w:bookmarkStart w:id="178" w:name="_Toc367350623"/>
      <w:bookmarkStart w:id="179" w:name="_Toc419283291"/>
      <w:bookmarkStart w:id="180" w:name="_Toc431573590"/>
      <w:bookmarkStart w:id="181" w:name="_Toc431573991"/>
      <w:r w:rsidRPr="00B224EF">
        <w:rPr>
          <w:caps w:val="0"/>
          <w:lang w:val="es-ES"/>
        </w:rPr>
        <w:lastRenderedPageBreak/>
        <w:t>ANEXO XII</w:t>
      </w:r>
      <w:r w:rsidRPr="00B224EF">
        <w:rPr>
          <w:caps w:val="0"/>
          <w:lang w:val="es-ES"/>
        </w:rPr>
        <w:tab/>
        <w:t>ORGANIGRAM</w:t>
      </w:r>
      <w:bookmarkEnd w:id="177"/>
      <w:bookmarkEnd w:id="178"/>
      <w:bookmarkEnd w:id="179"/>
      <w:r w:rsidRPr="00B224EF">
        <w:rPr>
          <w:caps w:val="0"/>
          <w:lang w:val="es-ES"/>
        </w:rPr>
        <w:t>A DE LA OMPI</w:t>
      </w:r>
      <w:bookmarkEnd w:id="180"/>
      <w:bookmarkEnd w:id="181"/>
    </w:p>
    <w:p w:rsidR="00236E18" w:rsidRPr="00B224EF" w:rsidRDefault="00236E18" w:rsidP="00236E18">
      <w:pPr>
        <w:autoSpaceDE w:val="0"/>
        <w:autoSpaceDN w:val="0"/>
        <w:adjustRightInd w:val="0"/>
        <w:rPr>
          <w:noProof/>
          <w:highlight w:val="lightGray"/>
          <w:lang w:eastAsia="en-US"/>
        </w:rPr>
      </w:pPr>
    </w:p>
    <w:p w:rsidR="00236E18" w:rsidRDefault="00236E18" w:rsidP="00236E18">
      <w:pPr>
        <w:autoSpaceDE w:val="0"/>
        <w:autoSpaceDN w:val="0"/>
        <w:adjustRightInd w:val="0"/>
        <w:ind w:left="-284"/>
        <w:jc w:val="center"/>
        <w:rPr>
          <w:lang w:val="en-US"/>
        </w:rPr>
      </w:pPr>
      <w:r w:rsidRPr="000B01F1">
        <w:rPr>
          <w:noProof/>
          <w:lang w:val="en-US" w:eastAsia="en-US"/>
        </w:rPr>
        <w:drawing>
          <wp:inline distT="0" distB="0" distL="0" distR="0" wp14:anchorId="1D946909" wp14:editId="618E3A96">
            <wp:extent cx="8538358" cy="57556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8545459" cy="5760393"/>
                    </a:xfrm>
                    <a:prstGeom prst="rect">
                      <a:avLst/>
                    </a:prstGeom>
                    <a:noFill/>
                    <a:ln>
                      <a:noFill/>
                    </a:ln>
                  </pic:spPr>
                </pic:pic>
              </a:graphicData>
            </a:graphic>
          </wp:inline>
        </w:drawing>
      </w:r>
    </w:p>
    <w:p w:rsidR="00236E18" w:rsidRDefault="00236E18" w:rsidP="00236E18">
      <w:pPr>
        <w:rPr>
          <w:lang w:val="en-US"/>
        </w:rPr>
        <w:sectPr w:rsidR="00236E18" w:rsidSect="00080272">
          <w:headerReference w:type="default" r:id="rId335"/>
          <w:footerReference w:type="default" r:id="rId336"/>
          <w:pgSz w:w="16839" w:h="11907" w:orient="landscape" w:code="9"/>
          <w:pgMar w:top="1126" w:right="624" w:bottom="993" w:left="1361" w:header="624" w:footer="590" w:gutter="0"/>
          <w:cols w:space="720"/>
          <w:docGrid w:linePitch="360"/>
        </w:sectPr>
      </w:pPr>
    </w:p>
    <w:p w:rsidR="00236E18" w:rsidRPr="003F76B4" w:rsidRDefault="00236E18" w:rsidP="00236E18">
      <w:pPr>
        <w:pStyle w:val="Heading1"/>
        <w:keepNext w:val="0"/>
        <w:rPr>
          <w:szCs w:val="22"/>
        </w:rPr>
      </w:pPr>
      <w:bookmarkStart w:id="182" w:name="_Toc293334850"/>
      <w:bookmarkStart w:id="183" w:name="_Toc298920432"/>
      <w:bookmarkStart w:id="184" w:name="_Toc310950812"/>
      <w:bookmarkStart w:id="185" w:name="_Toc356567798"/>
      <w:bookmarkStart w:id="186" w:name="_Toc367350624"/>
      <w:bookmarkStart w:id="187" w:name="_Toc419283292"/>
      <w:bookmarkStart w:id="188" w:name="_Toc431573591"/>
      <w:bookmarkStart w:id="189" w:name="_Toc431573992"/>
      <w:r w:rsidRPr="003F76B4">
        <w:rPr>
          <w:szCs w:val="22"/>
        </w:rPr>
        <w:lastRenderedPageBreak/>
        <w:t>IV.</w:t>
      </w:r>
      <w:r w:rsidRPr="003F76B4">
        <w:rPr>
          <w:szCs w:val="22"/>
        </w:rPr>
        <w:tab/>
        <w:t>APÉNDICES</w:t>
      </w:r>
      <w:bookmarkEnd w:id="182"/>
      <w:bookmarkEnd w:id="183"/>
      <w:bookmarkEnd w:id="184"/>
      <w:bookmarkEnd w:id="185"/>
      <w:bookmarkEnd w:id="186"/>
      <w:bookmarkEnd w:id="187"/>
      <w:bookmarkEnd w:id="188"/>
      <w:bookmarkEnd w:id="189"/>
    </w:p>
    <w:p w:rsidR="00236E18" w:rsidRPr="003F76B4" w:rsidRDefault="00236E18" w:rsidP="00236E18">
      <w:pPr>
        <w:rPr>
          <w:szCs w:val="22"/>
        </w:rPr>
      </w:pPr>
    </w:p>
    <w:p w:rsidR="00236E18" w:rsidRPr="009B3DE5" w:rsidRDefault="00236E18" w:rsidP="00236E18"/>
    <w:p w:rsidR="00236E18" w:rsidRPr="008857F9" w:rsidRDefault="00236E18" w:rsidP="00236E18">
      <w:pPr>
        <w:pStyle w:val="StyleHeading3ComplexItalic"/>
        <w:keepNext w:val="0"/>
        <w:tabs>
          <w:tab w:val="clear" w:pos="1985"/>
          <w:tab w:val="left" w:pos="0"/>
        </w:tabs>
        <w:rPr>
          <w:lang w:val="es-ES"/>
        </w:rPr>
      </w:pPr>
      <w:bookmarkStart w:id="190" w:name="_Toc431573592"/>
      <w:bookmarkStart w:id="191" w:name="_Toc431573993"/>
      <w:r w:rsidRPr="008857F9">
        <w:rPr>
          <w:caps w:val="0"/>
          <w:lang w:val="es-ES"/>
        </w:rPr>
        <w:t>APÉNDICE A</w:t>
      </w:r>
      <w:r w:rsidRPr="008857F9">
        <w:rPr>
          <w:caps w:val="0"/>
          <w:lang w:val="es-ES"/>
        </w:rPr>
        <w:br/>
        <w:t>CONTRIBUCIONES DE LOS ESTADOS MIEMBROS</w:t>
      </w:r>
      <w:bookmarkEnd w:id="190"/>
      <w:bookmarkEnd w:id="191"/>
    </w:p>
    <w:p w:rsidR="00236E18" w:rsidRPr="008857F9" w:rsidRDefault="00236E18" w:rsidP="00236E18">
      <w:pPr>
        <w:rPr>
          <w:sz w:val="20"/>
        </w:rPr>
      </w:pPr>
      <w:r w:rsidRPr="008857F9">
        <w:rPr>
          <w:sz w:val="20"/>
        </w:rPr>
        <w:t>(</w:t>
      </w:r>
      <w:proofErr w:type="gramStart"/>
      <w:r w:rsidRPr="008857F9">
        <w:rPr>
          <w:sz w:val="20"/>
        </w:rPr>
        <w:t>en</w:t>
      </w:r>
      <w:proofErr w:type="gramEnd"/>
      <w:r w:rsidRPr="008857F9">
        <w:rPr>
          <w:sz w:val="20"/>
        </w:rPr>
        <w:t xml:space="preserve"> francos suizos)</w:t>
      </w:r>
    </w:p>
    <w:p w:rsidR="00236E18" w:rsidRPr="008857F9" w:rsidRDefault="00236E18" w:rsidP="00236E18">
      <w:pPr>
        <w:autoSpaceDE w:val="0"/>
        <w:autoSpaceDN w:val="0"/>
        <w:adjustRightInd w:val="0"/>
        <w:rPr>
          <w:sz w:val="20"/>
        </w:rPr>
      </w:pPr>
    </w:p>
    <w:p w:rsidR="00236E18" w:rsidRPr="008857F9" w:rsidRDefault="00236E18" w:rsidP="00236E18">
      <w:pPr>
        <w:autoSpaceDE w:val="0"/>
        <w:autoSpaceDN w:val="0"/>
        <w:adjustRightInd w:val="0"/>
        <w:rPr>
          <w:sz w:val="20"/>
        </w:rPr>
      </w:pPr>
    </w:p>
    <w:tbl>
      <w:tblPr>
        <w:tblW w:w="9576" w:type="dxa"/>
        <w:tblInd w:w="-190" w:type="dxa"/>
        <w:tblLayout w:type="fixed"/>
        <w:tblCellMar>
          <w:left w:w="30" w:type="dxa"/>
          <w:right w:w="30" w:type="dxa"/>
        </w:tblCellMar>
        <w:tblLook w:val="0000" w:firstRow="0" w:lastRow="0" w:firstColumn="0" w:lastColumn="0" w:noHBand="0" w:noVBand="0"/>
      </w:tblPr>
      <w:tblGrid>
        <w:gridCol w:w="2750"/>
        <w:gridCol w:w="1430"/>
        <w:gridCol w:w="1210"/>
        <w:gridCol w:w="1320"/>
        <w:gridCol w:w="1430"/>
        <w:gridCol w:w="1320"/>
        <w:gridCol w:w="116"/>
      </w:tblGrid>
      <w:tr w:rsidR="00236E18" w:rsidRPr="008857F9" w:rsidTr="00294272">
        <w:trPr>
          <w:trHeight w:val="200"/>
          <w:tblHeader/>
        </w:trPr>
        <w:tc>
          <w:tcPr>
            <w:tcW w:w="2750" w:type="dxa"/>
            <w:shd w:val="pct15" w:color="auto" w:fill="FFFFFF"/>
          </w:tcPr>
          <w:p w:rsidR="00236E18" w:rsidRPr="006561C8" w:rsidRDefault="00236E18" w:rsidP="00294272">
            <w:pPr>
              <w:spacing w:before="60"/>
              <w:jc w:val="center"/>
              <w:rPr>
                <w:b/>
                <w:snapToGrid w:val="0"/>
                <w:sz w:val="18"/>
                <w:szCs w:val="18"/>
              </w:rPr>
            </w:pPr>
            <w:r w:rsidRPr="006561C8">
              <w:rPr>
                <w:b/>
                <w:snapToGrid w:val="0"/>
                <w:sz w:val="18"/>
                <w:szCs w:val="18"/>
              </w:rPr>
              <w:t>Estados miembros</w:t>
            </w:r>
            <w:r w:rsidRPr="006561C8">
              <w:rPr>
                <w:b/>
                <w:snapToGrid w:val="0"/>
                <w:sz w:val="18"/>
                <w:szCs w:val="18"/>
              </w:rPr>
              <w:br/>
              <w:t>de una o más</w:t>
            </w:r>
          </w:p>
        </w:tc>
        <w:tc>
          <w:tcPr>
            <w:tcW w:w="1430" w:type="dxa"/>
            <w:vMerge w:val="restart"/>
            <w:shd w:val="pct15" w:color="auto" w:fill="FFFFFF"/>
            <w:vAlign w:val="center"/>
          </w:tcPr>
          <w:p w:rsidR="00236E18" w:rsidRPr="006561C8" w:rsidRDefault="00236E18" w:rsidP="00294272">
            <w:pPr>
              <w:spacing w:before="60"/>
              <w:jc w:val="center"/>
              <w:rPr>
                <w:b/>
                <w:snapToGrid w:val="0"/>
                <w:sz w:val="17"/>
                <w:szCs w:val="17"/>
              </w:rPr>
            </w:pPr>
            <w:r w:rsidRPr="006561C8">
              <w:rPr>
                <w:b/>
                <w:snapToGrid w:val="0"/>
                <w:sz w:val="17"/>
                <w:szCs w:val="17"/>
              </w:rPr>
              <w:t>Clase de contribución</w:t>
            </w:r>
          </w:p>
        </w:tc>
        <w:tc>
          <w:tcPr>
            <w:tcW w:w="1210" w:type="dxa"/>
            <w:vMerge w:val="restart"/>
            <w:shd w:val="pct15" w:color="auto" w:fill="FFFFFF"/>
            <w:vAlign w:val="center"/>
          </w:tcPr>
          <w:p w:rsidR="00236E18" w:rsidRPr="006561C8" w:rsidRDefault="00236E18" w:rsidP="00294272">
            <w:pPr>
              <w:spacing w:before="60"/>
              <w:jc w:val="center"/>
              <w:rPr>
                <w:b/>
                <w:snapToGrid w:val="0"/>
                <w:sz w:val="18"/>
                <w:szCs w:val="18"/>
              </w:rPr>
            </w:pPr>
            <w:r w:rsidRPr="006561C8">
              <w:rPr>
                <w:b/>
                <w:snapToGrid w:val="0"/>
                <w:sz w:val="18"/>
                <w:szCs w:val="18"/>
              </w:rPr>
              <w:t>Unidades de contribución</w:t>
            </w:r>
          </w:p>
          <w:p w:rsidR="00236E18" w:rsidRPr="006561C8" w:rsidRDefault="00236E18" w:rsidP="00294272">
            <w:pPr>
              <w:spacing w:before="60"/>
              <w:jc w:val="center"/>
              <w:rPr>
                <w:b/>
                <w:snapToGrid w:val="0"/>
                <w:sz w:val="18"/>
                <w:szCs w:val="18"/>
              </w:rPr>
            </w:pPr>
            <w:r w:rsidRPr="006561C8">
              <w:rPr>
                <w:b/>
                <w:snapToGrid w:val="0"/>
                <w:sz w:val="18"/>
                <w:szCs w:val="18"/>
              </w:rPr>
              <w:t>2016/17</w:t>
            </w:r>
          </w:p>
        </w:tc>
        <w:tc>
          <w:tcPr>
            <w:tcW w:w="1320" w:type="dxa"/>
            <w:vMerge w:val="restart"/>
            <w:shd w:val="pct15" w:color="auto" w:fill="FFFFFF"/>
            <w:vAlign w:val="center"/>
          </w:tcPr>
          <w:p w:rsidR="00236E18" w:rsidRPr="006561C8" w:rsidRDefault="00236E18" w:rsidP="00294272">
            <w:pPr>
              <w:spacing w:before="60"/>
              <w:jc w:val="center"/>
              <w:rPr>
                <w:b/>
                <w:snapToGrid w:val="0"/>
                <w:sz w:val="18"/>
                <w:szCs w:val="18"/>
              </w:rPr>
            </w:pPr>
            <w:r w:rsidRPr="006561C8">
              <w:rPr>
                <w:b/>
                <w:snapToGrid w:val="0"/>
                <w:sz w:val="18"/>
                <w:szCs w:val="18"/>
              </w:rPr>
              <w:t>Contribución</w:t>
            </w:r>
            <w:r w:rsidRPr="006561C8">
              <w:rPr>
                <w:b/>
                <w:snapToGrid w:val="0"/>
                <w:sz w:val="18"/>
                <w:szCs w:val="18"/>
                <w:vertAlign w:val="superscript"/>
              </w:rPr>
              <w:t>1</w:t>
            </w:r>
          </w:p>
          <w:p w:rsidR="00236E18" w:rsidRPr="006561C8" w:rsidRDefault="00236E18" w:rsidP="00294272">
            <w:pPr>
              <w:spacing w:before="60"/>
              <w:jc w:val="center"/>
              <w:rPr>
                <w:b/>
                <w:snapToGrid w:val="0"/>
                <w:sz w:val="18"/>
                <w:szCs w:val="18"/>
              </w:rPr>
            </w:pPr>
            <w:r w:rsidRPr="006561C8">
              <w:rPr>
                <w:b/>
                <w:snapToGrid w:val="0"/>
                <w:sz w:val="18"/>
                <w:szCs w:val="18"/>
              </w:rPr>
              <w:t>2016</w:t>
            </w:r>
          </w:p>
        </w:tc>
        <w:tc>
          <w:tcPr>
            <w:tcW w:w="1430" w:type="dxa"/>
            <w:vMerge w:val="restart"/>
            <w:shd w:val="pct15" w:color="auto" w:fill="FFFFFF"/>
            <w:vAlign w:val="center"/>
          </w:tcPr>
          <w:p w:rsidR="00236E18" w:rsidRPr="006561C8" w:rsidRDefault="00236E18" w:rsidP="00294272">
            <w:pPr>
              <w:spacing w:before="60"/>
              <w:jc w:val="center"/>
              <w:rPr>
                <w:b/>
                <w:snapToGrid w:val="0"/>
                <w:sz w:val="18"/>
                <w:szCs w:val="18"/>
              </w:rPr>
            </w:pPr>
            <w:r w:rsidRPr="006561C8">
              <w:rPr>
                <w:b/>
                <w:snapToGrid w:val="0"/>
                <w:sz w:val="18"/>
                <w:szCs w:val="18"/>
              </w:rPr>
              <w:t>Contribución</w:t>
            </w:r>
            <w:r w:rsidRPr="006561C8">
              <w:rPr>
                <w:b/>
                <w:snapToGrid w:val="0"/>
                <w:sz w:val="18"/>
                <w:szCs w:val="18"/>
                <w:vertAlign w:val="superscript"/>
              </w:rPr>
              <w:t>1</w:t>
            </w:r>
          </w:p>
          <w:p w:rsidR="00236E18" w:rsidRPr="006561C8" w:rsidRDefault="00236E18" w:rsidP="00294272">
            <w:pPr>
              <w:spacing w:before="60"/>
              <w:jc w:val="center"/>
              <w:rPr>
                <w:b/>
                <w:snapToGrid w:val="0"/>
                <w:sz w:val="18"/>
                <w:szCs w:val="18"/>
              </w:rPr>
            </w:pPr>
            <w:r w:rsidRPr="006561C8">
              <w:rPr>
                <w:b/>
                <w:snapToGrid w:val="0"/>
                <w:sz w:val="18"/>
                <w:szCs w:val="18"/>
              </w:rPr>
              <w:t>2017</w:t>
            </w:r>
          </w:p>
        </w:tc>
        <w:tc>
          <w:tcPr>
            <w:tcW w:w="1436" w:type="dxa"/>
            <w:gridSpan w:val="2"/>
            <w:vMerge w:val="restart"/>
            <w:shd w:val="pct15" w:color="auto" w:fill="FFFFFF"/>
            <w:vAlign w:val="center"/>
          </w:tcPr>
          <w:p w:rsidR="00236E18" w:rsidRPr="006561C8" w:rsidRDefault="00236E18" w:rsidP="00294272">
            <w:pPr>
              <w:spacing w:before="60"/>
              <w:jc w:val="center"/>
              <w:rPr>
                <w:b/>
                <w:snapToGrid w:val="0"/>
                <w:sz w:val="18"/>
                <w:szCs w:val="18"/>
              </w:rPr>
            </w:pPr>
            <w:r w:rsidRPr="006561C8">
              <w:rPr>
                <w:b/>
                <w:snapToGrid w:val="0"/>
                <w:sz w:val="18"/>
                <w:szCs w:val="18"/>
              </w:rPr>
              <w:t>Contribuciones</w:t>
            </w:r>
          </w:p>
          <w:p w:rsidR="00236E18" w:rsidRPr="006561C8" w:rsidRDefault="00236E18" w:rsidP="00294272">
            <w:pPr>
              <w:spacing w:before="60"/>
              <w:jc w:val="center"/>
              <w:rPr>
                <w:b/>
                <w:snapToGrid w:val="0"/>
                <w:sz w:val="18"/>
                <w:szCs w:val="18"/>
              </w:rPr>
            </w:pPr>
            <w:r w:rsidRPr="006561C8">
              <w:rPr>
                <w:b/>
                <w:snapToGrid w:val="0"/>
                <w:sz w:val="18"/>
                <w:szCs w:val="18"/>
              </w:rPr>
              <w:t>2016/17</w:t>
            </w:r>
          </w:p>
        </w:tc>
      </w:tr>
      <w:tr w:rsidR="00236E18" w:rsidRPr="008857F9" w:rsidTr="00294272">
        <w:trPr>
          <w:trHeight w:val="200"/>
          <w:tblHeader/>
        </w:trPr>
        <w:tc>
          <w:tcPr>
            <w:tcW w:w="2750" w:type="dxa"/>
            <w:shd w:val="pct15" w:color="auto" w:fill="FFFFFF"/>
          </w:tcPr>
          <w:p w:rsidR="00236E18" w:rsidRPr="00FB0333" w:rsidRDefault="00236E18" w:rsidP="00294272">
            <w:pPr>
              <w:pStyle w:val="Heading6"/>
              <w:tabs>
                <w:tab w:val="num" w:pos="0"/>
              </w:tabs>
              <w:ind w:left="-46" w:firstLine="46"/>
              <w:jc w:val="center"/>
              <w:rPr>
                <w:rFonts w:cs="Arial"/>
                <w:color w:val="auto"/>
                <w:sz w:val="17"/>
                <w:szCs w:val="17"/>
                <w:lang w:val="es-ES"/>
              </w:rPr>
            </w:pPr>
            <w:r w:rsidRPr="00FB0333">
              <w:rPr>
                <w:rFonts w:cs="Arial"/>
                <w:color w:val="244061" w:themeColor="accent1" w:themeShade="80"/>
                <w:sz w:val="17"/>
                <w:szCs w:val="17"/>
                <w:lang w:val="es-ES"/>
              </w:rPr>
              <w:t>Uniones financiadas por contribuciones</w:t>
            </w:r>
          </w:p>
        </w:tc>
        <w:tc>
          <w:tcPr>
            <w:tcW w:w="1430" w:type="dxa"/>
            <w:vMerge/>
            <w:shd w:val="pct15" w:color="auto" w:fill="FFFFFF"/>
          </w:tcPr>
          <w:p w:rsidR="00236E18" w:rsidRPr="008857F9" w:rsidRDefault="00236E18" w:rsidP="00294272">
            <w:pPr>
              <w:spacing w:before="60"/>
              <w:jc w:val="center"/>
              <w:rPr>
                <w:b/>
                <w:snapToGrid w:val="0"/>
                <w:sz w:val="18"/>
                <w:szCs w:val="18"/>
              </w:rPr>
            </w:pPr>
          </w:p>
        </w:tc>
        <w:tc>
          <w:tcPr>
            <w:tcW w:w="1210" w:type="dxa"/>
            <w:vMerge/>
            <w:shd w:val="pct15" w:color="auto" w:fill="FFFFFF"/>
            <w:vAlign w:val="center"/>
          </w:tcPr>
          <w:p w:rsidR="00236E18" w:rsidRPr="008857F9" w:rsidRDefault="00236E18" w:rsidP="00294272">
            <w:pPr>
              <w:spacing w:before="60"/>
              <w:jc w:val="center"/>
              <w:rPr>
                <w:b/>
                <w:snapToGrid w:val="0"/>
                <w:sz w:val="18"/>
                <w:szCs w:val="18"/>
              </w:rPr>
            </w:pPr>
          </w:p>
        </w:tc>
        <w:tc>
          <w:tcPr>
            <w:tcW w:w="1320" w:type="dxa"/>
            <w:vMerge/>
            <w:shd w:val="pct15" w:color="auto" w:fill="FFFFFF"/>
            <w:vAlign w:val="center"/>
          </w:tcPr>
          <w:p w:rsidR="00236E18" w:rsidRPr="008857F9" w:rsidRDefault="00236E18" w:rsidP="00294272">
            <w:pPr>
              <w:spacing w:before="60"/>
              <w:jc w:val="center"/>
              <w:rPr>
                <w:b/>
                <w:snapToGrid w:val="0"/>
                <w:sz w:val="18"/>
                <w:szCs w:val="18"/>
              </w:rPr>
            </w:pPr>
          </w:p>
        </w:tc>
        <w:tc>
          <w:tcPr>
            <w:tcW w:w="1430" w:type="dxa"/>
            <w:vMerge/>
            <w:shd w:val="pct15" w:color="auto" w:fill="FFFFFF"/>
            <w:vAlign w:val="center"/>
          </w:tcPr>
          <w:p w:rsidR="00236E18" w:rsidRPr="008857F9" w:rsidRDefault="00236E18" w:rsidP="00294272">
            <w:pPr>
              <w:spacing w:before="60"/>
              <w:jc w:val="center"/>
              <w:rPr>
                <w:b/>
                <w:snapToGrid w:val="0"/>
                <w:sz w:val="18"/>
                <w:szCs w:val="18"/>
              </w:rPr>
            </w:pPr>
          </w:p>
        </w:tc>
        <w:tc>
          <w:tcPr>
            <w:tcW w:w="1436" w:type="dxa"/>
            <w:gridSpan w:val="2"/>
            <w:vMerge/>
            <w:shd w:val="pct15" w:color="auto" w:fill="FFFFFF"/>
            <w:vAlign w:val="center"/>
          </w:tcPr>
          <w:p w:rsidR="00236E18" w:rsidRPr="008857F9" w:rsidRDefault="00236E18" w:rsidP="00294272">
            <w:pPr>
              <w:spacing w:before="60"/>
              <w:jc w:val="center"/>
              <w:rPr>
                <w:b/>
                <w:snapToGrid w:val="0"/>
                <w:sz w:val="18"/>
                <w:szCs w:val="18"/>
              </w:rPr>
            </w:pP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A</w:t>
            </w:r>
            <w:r w:rsidRPr="008857F9">
              <w:rPr>
                <w:snapToGrid w:val="0"/>
                <w:sz w:val="18"/>
                <w:szCs w:val="18"/>
              </w:rPr>
              <w:t>fganistán</w:t>
            </w:r>
            <w:r w:rsidRPr="008857F9">
              <w:rPr>
                <w:snapToGrid w:val="0"/>
                <w:sz w:val="18"/>
                <w:szCs w:val="18"/>
                <w:vertAlign w:val="superscript"/>
              </w:rPr>
              <w:t>2</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i/>
                <w:snapToGrid w:val="0"/>
                <w:sz w:val="18"/>
                <w:szCs w:val="18"/>
              </w:rPr>
              <w:t>Ster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1.424</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1.424</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2.848</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Albania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Alemania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1.139.475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1.139.475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2.278.950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vertAlign w:val="superscript"/>
              </w:rPr>
            </w:pPr>
            <w:r w:rsidRPr="008857F9">
              <w:rPr>
                <w:snapToGrid w:val="0"/>
                <w:sz w:val="18"/>
                <w:szCs w:val="18"/>
              </w:rPr>
              <w:t>Andorra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vertAlign w:val="superscript"/>
              </w:rPr>
            </w:pPr>
            <w:r w:rsidRPr="008857F9">
              <w:rPr>
                <w:snapToGrid w:val="0"/>
                <w:sz w:val="18"/>
                <w:szCs w:val="18"/>
              </w:rPr>
              <w:t xml:space="preserve">Angola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Antigua y Barbuda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Arabia Saudita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Argelia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11.395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22.790</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Argentina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VI</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2</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91.158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91.158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182.316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Armenia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Australia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683.685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683.685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1.367.370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Austria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IV</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7,5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341.842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341.842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683.684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Azerbaiyán</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B</w:t>
            </w:r>
            <w:r w:rsidRPr="008857F9">
              <w:rPr>
                <w:snapToGrid w:val="0"/>
                <w:sz w:val="18"/>
                <w:szCs w:val="18"/>
              </w:rPr>
              <w:t>ahamas</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snapToGrid w:val="0"/>
                <w:sz w:val="18"/>
                <w:szCs w:val="18"/>
              </w:rPr>
              <w:t>Bahrein</w:t>
            </w:r>
            <w:proofErr w:type="spellEnd"/>
          </w:p>
        </w:tc>
        <w:tc>
          <w:tcPr>
            <w:tcW w:w="1430" w:type="dxa"/>
            <w:shd w:val="clear" w:color="auto" w:fill="auto"/>
          </w:tcPr>
          <w:p w:rsidR="00236E18" w:rsidRPr="008857F9" w:rsidRDefault="00236E18" w:rsidP="00294272">
            <w:pPr>
              <w:jc w:val="center"/>
              <w:rPr>
                <w:i/>
                <w:snapToGrid w:val="0"/>
                <w:sz w:val="18"/>
                <w:szCs w:val="18"/>
              </w:rPr>
            </w:pPr>
            <w:r w:rsidRPr="008857F9">
              <w:rPr>
                <w:i/>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11.394</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Bangladesh</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Barbados</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snapToGrid w:val="0"/>
                <w:sz w:val="18"/>
                <w:szCs w:val="18"/>
              </w:rPr>
              <w:t>Belarús</w:t>
            </w:r>
            <w:proofErr w:type="spellEnd"/>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Bélgica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IV</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10</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455.790</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455.790</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911.580</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Belice</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snapToGrid w:val="0"/>
                <w:sz w:val="18"/>
                <w:szCs w:val="18"/>
              </w:rPr>
              <w:t>Benin</w:t>
            </w:r>
            <w:proofErr w:type="spellEnd"/>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snapToGrid w:val="0"/>
                <w:sz w:val="18"/>
                <w:szCs w:val="18"/>
              </w:rPr>
              <w:t>Bhután</w:t>
            </w:r>
            <w:proofErr w:type="spellEnd"/>
            <w:r w:rsidRPr="008857F9">
              <w:rPr>
                <w:snapToGrid w:val="0"/>
                <w:sz w:val="18"/>
                <w:szCs w:val="18"/>
              </w:rPr>
              <w:t xml:space="preserve">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Bolivia (Estado Plurinacional de)</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Bosnia y Herzegovina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snapToGrid w:val="0"/>
                <w:sz w:val="18"/>
                <w:szCs w:val="18"/>
              </w:rPr>
              <w:t>Botswana</w:t>
            </w:r>
            <w:proofErr w:type="spellEnd"/>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Brasil</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VI</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2</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91.158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91.158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182.316 </w:t>
            </w:r>
          </w:p>
        </w:tc>
      </w:tr>
      <w:tr w:rsidR="00236E18" w:rsidRPr="008857F9" w:rsidTr="00294272">
        <w:trPr>
          <w:gridAfter w:val="1"/>
          <w:wAfter w:w="116" w:type="dxa"/>
        </w:trPr>
        <w:tc>
          <w:tcPr>
            <w:tcW w:w="2750" w:type="dxa"/>
            <w:shd w:val="clear" w:color="auto" w:fill="auto"/>
            <w:vAlign w:val="center"/>
          </w:tcPr>
          <w:p w:rsidR="00236E18" w:rsidRPr="008857F9" w:rsidRDefault="00236E18" w:rsidP="00294272">
            <w:pPr>
              <w:rPr>
                <w:snapToGrid w:val="0"/>
                <w:sz w:val="18"/>
                <w:szCs w:val="18"/>
                <w:vertAlign w:val="superscript"/>
              </w:rPr>
            </w:pPr>
            <w:r w:rsidRPr="008857F9">
              <w:rPr>
                <w:snapToGrid w:val="0"/>
                <w:sz w:val="18"/>
                <w:szCs w:val="18"/>
              </w:rPr>
              <w:t xml:space="preserve">Brunei Darussalam </w:t>
            </w:r>
          </w:p>
        </w:tc>
        <w:tc>
          <w:tcPr>
            <w:tcW w:w="1430" w:type="dxa"/>
            <w:shd w:val="clear" w:color="auto" w:fill="auto"/>
            <w:vAlign w:val="center"/>
          </w:tcPr>
          <w:p w:rsidR="00236E18" w:rsidRPr="008857F9" w:rsidRDefault="00236E18" w:rsidP="00294272">
            <w:pPr>
              <w:jc w:val="center"/>
              <w:rPr>
                <w:snapToGrid w:val="0"/>
                <w:sz w:val="18"/>
                <w:szCs w:val="18"/>
              </w:rPr>
            </w:pPr>
            <w:r w:rsidRPr="008857F9">
              <w:rPr>
                <w:snapToGrid w:val="0"/>
                <w:sz w:val="18"/>
                <w:szCs w:val="18"/>
              </w:rPr>
              <w:t>S</w:t>
            </w:r>
          </w:p>
        </w:tc>
        <w:tc>
          <w:tcPr>
            <w:tcW w:w="1210" w:type="dxa"/>
            <w:shd w:val="clear" w:color="auto" w:fill="auto"/>
            <w:vAlign w:val="center"/>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vAlign w:val="center"/>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430" w:type="dxa"/>
            <w:shd w:val="clear" w:color="auto" w:fill="auto"/>
            <w:vAlign w:val="center"/>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320" w:type="dxa"/>
            <w:shd w:val="clear" w:color="auto" w:fill="auto"/>
            <w:vAlign w:val="center"/>
          </w:tcPr>
          <w:p w:rsidR="00236E18" w:rsidRPr="008857F9" w:rsidRDefault="00236E18" w:rsidP="00294272">
            <w:pPr>
              <w:jc w:val="right"/>
              <w:rPr>
                <w:snapToGrid w:val="0"/>
                <w:sz w:val="18"/>
                <w:szCs w:val="18"/>
              </w:rPr>
            </w:pPr>
            <w:r w:rsidRPr="008857F9">
              <w:rPr>
                <w:snapToGrid w:val="0"/>
                <w:sz w:val="18"/>
                <w:szCs w:val="18"/>
              </w:rPr>
              <w:t xml:space="preserve">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Bulgaria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VI</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2</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91.158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91.158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182.316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Burkina Faso</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Burundi</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C</w:t>
            </w:r>
            <w:r w:rsidRPr="008857F9">
              <w:rPr>
                <w:snapToGrid w:val="0"/>
                <w:sz w:val="18"/>
                <w:szCs w:val="18"/>
              </w:rPr>
              <w:t>abo Verde</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2.849</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2.849</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5.698</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Camboya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1.424</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1.424</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2.848</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Camerún</w:t>
            </w:r>
          </w:p>
        </w:tc>
        <w:tc>
          <w:tcPr>
            <w:tcW w:w="1430" w:type="dxa"/>
            <w:shd w:val="clear" w:color="auto" w:fill="auto"/>
          </w:tcPr>
          <w:p w:rsidR="00236E18" w:rsidRPr="008857F9" w:rsidRDefault="00236E18" w:rsidP="00294272">
            <w:pPr>
              <w:rPr>
                <w:snapToGrid w:val="0"/>
                <w:sz w:val="18"/>
                <w:szCs w:val="18"/>
              </w:rPr>
            </w:pPr>
            <w:r w:rsidRPr="008857F9">
              <w:rPr>
                <w:snapToGrid w:val="0"/>
                <w:sz w:val="18"/>
                <w:szCs w:val="18"/>
              </w:rPr>
              <w:t xml:space="preserve">          </w:t>
            </w: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2.849</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2.849</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5.698</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Canadá</w:t>
            </w:r>
          </w:p>
        </w:tc>
        <w:tc>
          <w:tcPr>
            <w:tcW w:w="1430" w:type="dxa"/>
            <w:shd w:val="clear" w:color="auto" w:fill="auto"/>
          </w:tcPr>
          <w:p w:rsidR="00236E18" w:rsidRPr="008857F9" w:rsidRDefault="00236E18" w:rsidP="00294272">
            <w:pPr>
              <w:jc w:val="center"/>
              <w:rPr>
                <w:i/>
                <w:snapToGrid w:val="0"/>
                <w:sz w:val="18"/>
                <w:szCs w:val="18"/>
              </w:rPr>
            </w:pPr>
            <w:r w:rsidRPr="008857F9">
              <w:rPr>
                <w:snapToGrid w:val="0"/>
                <w:sz w:val="18"/>
                <w:szCs w:val="18"/>
              </w:rPr>
              <w:t>IV</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10</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455.790</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455.790</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911.580</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Chad</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Chile</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China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IV</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7,5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341.842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341.842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683.684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Chipre</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Colombia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Comoras</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1.424</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1.424</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2.848</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Congo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Costa Rica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snapToGrid w:val="0"/>
                <w:sz w:val="18"/>
                <w:szCs w:val="18"/>
              </w:rPr>
              <w:t>Côte</w:t>
            </w:r>
            <w:proofErr w:type="spellEnd"/>
            <w:r w:rsidRPr="008857F9">
              <w:rPr>
                <w:snapToGrid w:val="0"/>
                <w:sz w:val="18"/>
                <w:szCs w:val="18"/>
              </w:rPr>
              <w:t xml:space="preserve"> </w:t>
            </w:r>
            <w:proofErr w:type="spellStart"/>
            <w:r w:rsidRPr="008857F9">
              <w:rPr>
                <w:snapToGrid w:val="0"/>
                <w:sz w:val="18"/>
                <w:szCs w:val="18"/>
              </w:rPr>
              <w:t>d'Ivoire</w:t>
            </w:r>
            <w:proofErr w:type="spellEnd"/>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Croacia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22.789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22.789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45.578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Cuba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D</w:t>
            </w:r>
            <w:r w:rsidRPr="008857F9">
              <w:rPr>
                <w:snapToGrid w:val="0"/>
                <w:sz w:val="18"/>
                <w:szCs w:val="18"/>
              </w:rPr>
              <w:t>inamarca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IV</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10</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455.790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455.790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911.580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snapToGrid w:val="0"/>
                <w:sz w:val="18"/>
                <w:szCs w:val="18"/>
              </w:rPr>
              <w:t>Djibouti</w:t>
            </w:r>
            <w:proofErr w:type="spellEnd"/>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Dominica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E</w:t>
            </w:r>
            <w:r w:rsidRPr="008857F9">
              <w:rPr>
                <w:snapToGrid w:val="0"/>
                <w:sz w:val="18"/>
                <w:szCs w:val="18"/>
              </w:rPr>
              <w:t>cuador</w:t>
            </w:r>
          </w:p>
        </w:tc>
        <w:tc>
          <w:tcPr>
            <w:tcW w:w="1430" w:type="dxa"/>
            <w:shd w:val="clear" w:color="auto" w:fill="auto"/>
          </w:tcPr>
          <w:p w:rsidR="00236E18" w:rsidRPr="008857F9" w:rsidRDefault="00236E18" w:rsidP="00294272">
            <w:pPr>
              <w:jc w:val="center"/>
              <w:rPr>
                <w:i/>
                <w:snapToGrid w:val="0"/>
                <w:sz w:val="18"/>
                <w:szCs w:val="18"/>
              </w:rPr>
            </w:pPr>
            <w:r w:rsidRPr="008857F9">
              <w:rPr>
                <w:i/>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Egipto</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11.395</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11.395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El Salvador</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2.849</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2.849</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5.698</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Emiratos Árabes Unidos </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vertAlign w:val="superscript"/>
              </w:rPr>
            </w:pPr>
            <w:r w:rsidRPr="008857F9">
              <w:rPr>
                <w:snapToGrid w:val="0"/>
                <w:sz w:val="18"/>
                <w:szCs w:val="18"/>
              </w:rPr>
              <w:t xml:space="preserve">Eritrea </w:t>
            </w:r>
            <w:r w:rsidRPr="008857F9">
              <w:rPr>
                <w:snapToGrid w:val="0"/>
                <w:sz w:val="18"/>
                <w:szCs w:val="18"/>
                <w:vertAlign w:val="superscript"/>
              </w:rPr>
              <w:t>2</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lastRenderedPageBreak/>
              <w:t>Eslovaquia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3</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136.737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136.737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273.474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Eslovenia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España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IV</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10</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455.790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455.790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Estados Unidos de América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1.139.475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1.139.475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2.278.950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Estonia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vertAlign w:val="superscript"/>
              </w:rPr>
            </w:pPr>
            <w:r w:rsidRPr="008857F9">
              <w:rPr>
                <w:snapToGrid w:val="0"/>
                <w:sz w:val="18"/>
                <w:szCs w:val="18"/>
              </w:rPr>
              <w:t xml:space="preserve">Etiopía </w:t>
            </w:r>
            <w:r w:rsidRPr="008857F9">
              <w:rPr>
                <w:snapToGrid w:val="0"/>
                <w:sz w:val="18"/>
                <w:szCs w:val="18"/>
                <w:vertAlign w:val="superscript"/>
              </w:rPr>
              <w:t>2</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ex República Yugoslava de Macedonia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0,5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22.789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22.789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F</w:t>
            </w:r>
            <w:r w:rsidRPr="008857F9">
              <w:rPr>
                <w:snapToGrid w:val="0"/>
                <w:sz w:val="18"/>
                <w:szCs w:val="18"/>
              </w:rPr>
              <w:t xml:space="preserve">ederación de Rusia </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IV</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10</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455.790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455.790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snapToGrid w:val="0"/>
                <w:sz w:val="18"/>
                <w:szCs w:val="18"/>
              </w:rPr>
              <w:t>Fiji</w:t>
            </w:r>
            <w:proofErr w:type="spellEnd"/>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vertAlign w:val="superscript"/>
              </w:rPr>
            </w:pPr>
            <w:r w:rsidRPr="008857F9">
              <w:rPr>
                <w:snapToGrid w:val="0"/>
                <w:sz w:val="18"/>
                <w:szCs w:val="18"/>
              </w:rPr>
              <w:t>Filipinas</w:t>
            </w:r>
            <w:r w:rsidRPr="008857F9">
              <w:rPr>
                <w:snapToGrid w:val="0"/>
                <w:sz w:val="18"/>
                <w:szCs w:val="18"/>
                <w:vertAlign w:val="superscript"/>
              </w:rPr>
              <w:t xml:space="preserve"> </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Finlandia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IV</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10</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455.790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455.790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Francia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1.139.475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1.139.475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2.278.950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G</w:t>
            </w:r>
            <w:r w:rsidRPr="008857F9">
              <w:rPr>
                <w:snapToGrid w:val="0"/>
                <w:sz w:val="18"/>
                <w:szCs w:val="18"/>
              </w:rPr>
              <w:t>abón</w:t>
            </w:r>
          </w:p>
        </w:tc>
        <w:tc>
          <w:tcPr>
            <w:tcW w:w="1430" w:type="dxa"/>
            <w:shd w:val="clear" w:color="auto" w:fill="auto"/>
          </w:tcPr>
          <w:p w:rsidR="00236E18" w:rsidRPr="008857F9" w:rsidRDefault="00236E18" w:rsidP="00294272">
            <w:pPr>
              <w:jc w:val="center"/>
              <w:rPr>
                <w:i/>
                <w:snapToGrid w:val="0"/>
                <w:sz w:val="18"/>
                <w:szCs w:val="18"/>
              </w:rPr>
            </w:pPr>
            <w:r w:rsidRPr="008857F9">
              <w:rPr>
                <w:i/>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Gambia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Georgia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Ghana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Granada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Grecia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3</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136.737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136.737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273.474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Guatemala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Guinea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Guinea Ecuatorial</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Guinea-Bissau</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Guyana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H</w:t>
            </w:r>
            <w:r w:rsidRPr="008857F9">
              <w:rPr>
                <w:snapToGrid w:val="0"/>
                <w:sz w:val="18"/>
                <w:szCs w:val="18"/>
              </w:rPr>
              <w:t>aití</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Honduras</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Hungría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3</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136.737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136.737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273.474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I</w:t>
            </w:r>
            <w:r w:rsidRPr="008857F9">
              <w:rPr>
                <w:snapToGrid w:val="0"/>
                <w:sz w:val="18"/>
                <w:szCs w:val="18"/>
              </w:rPr>
              <w:t>ndia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VI</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2</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182.316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Indonesia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Irán (República Islámica del)</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Iraq</w:t>
            </w:r>
          </w:p>
        </w:tc>
        <w:tc>
          <w:tcPr>
            <w:tcW w:w="1430" w:type="dxa"/>
            <w:shd w:val="clear" w:color="auto" w:fill="auto"/>
          </w:tcPr>
          <w:p w:rsidR="00236E18" w:rsidRPr="008857F9" w:rsidRDefault="00236E18" w:rsidP="00294272">
            <w:pPr>
              <w:jc w:val="center"/>
              <w:rPr>
                <w:i/>
                <w:snapToGrid w:val="0"/>
                <w:sz w:val="18"/>
                <w:szCs w:val="18"/>
              </w:rPr>
            </w:pPr>
            <w:r w:rsidRPr="008857F9">
              <w:rPr>
                <w:i/>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5.697</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5.697</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11.394</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Irlanda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IV</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10</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455.790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455.790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Islandia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22.789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22.789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Israel</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VI</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2</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182.316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Italia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683.685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683.685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1.367.370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J</w:t>
            </w:r>
            <w:r w:rsidRPr="008857F9">
              <w:rPr>
                <w:snapToGrid w:val="0"/>
                <w:sz w:val="18"/>
                <w:szCs w:val="18"/>
              </w:rPr>
              <w:t>amaica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Japón</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1.139.475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1.139.475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2.278.950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Jordania</w:t>
            </w:r>
          </w:p>
        </w:tc>
        <w:tc>
          <w:tcPr>
            <w:tcW w:w="1430" w:type="dxa"/>
            <w:shd w:val="clear" w:color="auto" w:fill="auto"/>
          </w:tcPr>
          <w:p w:rsidR="00236E18" w:rsidRPr="008857F9" w:rsidRDefault="00236E18" w:rsidP="00294272">
            <w:pPr>
              <w:jc w:val="center"/>
              <w:rPr>
                <w:i/>
                <w:snapToGrid w:val="0"/>
                <w:sz w:val="18"/>
                <w:szCs w:val="18"/>
              </w:rPr>
            </w:pPr>
            <w:r w:rsidRPr="008857F9">
              <w:rPr>
                <w:i/>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K</w:t>
            </w:r>
            <w:r w:rsidRPr="008857F9">
              <w:rPr>
                <w:snapToGrid w:val="0"/>
                <w:sz w:val="18"/>
                <w:szCs w:val="18"/>
              </w:rPr>
              <w:t>azajstán</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snapToGrid w:val="0"/>
                <w:sz w:val="18"/>
                <w:szCs w:val="18"/>
              </w:rPr>
              <w:t>Kenya</w:t>
            </w:r>
            <w:proofErr w:type="spellEnd"/>
          </w:p>
        </w:tc>
        <w:tc>
          <w:tcPr>
            <w:tcW w:w="1430" w:type="dxa"/>
            <w:shd w:val="clear" w:color="auto" w:fill="auto"/>
          </w:tcPr>
          <w:p w:rsidR="00236E18" w:rsidRPr="008857F9" w:rsidRDefault="00236E18" w:rsidP="00294272">
            <w:pPr>
              <w:jc w:val="center"/>
              <w:rPr>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Kirguistán</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Kiribati</w:t>
            </w:r>
            <w:r w:rsidRPr="008857F9">
              <w:rPr>
                <w:snapToGrid w:val="0"/>
                <w:sz w:val="18"/>
                <w:szCs w:val="18"/>
                <w:vertAlign w:val="superscript"/>
              </w:rPr>
              <w:t>2</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vertAlign w:val="superscript"/>
              </w:rPr>
            </w:pPr>
            <w:r w:rsidRPr="008857F9">
              <w:rPr>
                <w:snapToGrid w:val="0"/>
                <w:sz w:val="18"/>
                <w:szCs w:val="18"/>
              </w:rPr>
              <w:t>Kuwait</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b/>
                <w:snapToGrid w:val="0"/>
                <w:sz w:val="18"/>
                <w:szCs w:val="18"/>
              </w:rPr>
              <w:t>L</w:t>
            </w:r>
            <w:r w:rsidRPr="008857F9">
              <w:rPr>
                <w:snapToGrid w:val="0"/>
                <w:sz w:val="18"/>
                <w:szCs w:val="18"/>
              </w:rPr>
              <w:t>esotho</w:t>
            </w:r>
            <w:proofErr w:type="spellEnd"/>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Letonia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Líbano</w:t>
            </w:r>
          </w:p>
        </w:tc>
        <w:tc>
          <w:tcPr>
            <w:tcW w:w="1430" w:type="dxa"/>
            <w:shd w:val="clear" w:color="auto" w:fill="auto"/>
          </w:tcPr>
          <w:p w:rsidR="00236E18" w:rsidRPr="008857F9" w:rsidRDefault="00236E18" w:rsidP="00294272">
            <w:pPr>
              <w:jc w:val="center"/>
              <w:rPr>
                <w:i/>
                <w:snapToGrid w:val="0"/>
                <w:sz w:val="18"/>
                <w:szCs w:val="18"/>
              </w:rPr>
            </w:pPr>
            <w:r w:rsidRPr="008857F9">
              <w:rPr>
                <w:i/>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11.394</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Liberia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Libia </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11.395</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11.395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22.790</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Liechtenstein</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22.789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22.789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Lituania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Luxemburgo</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M</w:t>
            </w:r>
            <w:r w:rsidRPr="008857F9">
              <w:rPr>
                <w:snapToGrid w:val="0"/>
                <w:sz w:val="18"/>
                <w:szCs w:val="18"/>
              </w:rPr>
              <w:t>adagascar</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Malasia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22.789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22.789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Malawi</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Maldivas </w:t>
            </w:r>
            <w:r w:rsidRPr="008857F9">
              <w:rPr>
                <w:snapToGrid w:val="0"/>
                <w:sz w:val="18"/>
                <w:szCs w:val="18"/>
                <w:vertAlign w:val="superscript"/>
              </w:rPr>
              <w:t>2</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2.849</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2.849</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5.698</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Malí</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Malta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Marruecos</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Mauricio</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Mauritania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México</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IV</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7,5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341.842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341.842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683.684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Micronesia (Estados Federados de)</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2.849</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2.849</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5.698</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lastRenderedPageBreak/>
              <w:t>Mónaco</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Mongolia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Montenegro</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11.395</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11.395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22.790</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vertAlign w:val="superscript"/>
              </w:rPr>
            </w:pPr>
            <w:r w:rsidRPr="008857F9">
              <w:rPr>
                <w:snapToGrid w:val="0"/>
                <w:sz w:val="18"/>
                <w:szCs w:val="18"/>
              </w:rPr>
              <w:t>Mozambique</w:t>
            </w:r>
            <w:r w:rsidRPr="008857F9">
              <w:rPr>
                <w:snapToGrid w:val="0"/>
                <w:sz w:val="18"/>
                <w:szCs w:val="18"/>
                <w:vertAlign w:val="superscript"/>
              </w:rPr>
              <w:t xml:space="preserve">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vertAlign w:val="superscript"/>
              </w:rPr>
            </w:pPr>
            <w:r w:rsidRPr="008857F9">
              <w:rPr>
                <w:snapToGrid w:val="0"/>
                <w:sz w:val="18"/>
                <w:szCs w:val="18"/>
              </w:rPr>
              <w:t xml:space="preserve">Myanmar </w:t>
            </w:r>
            <w:r w:rsidRPr="008857F9">
              <w:rPr>
                <w:snapToGrid w:val="0"/>
                <w:sz w:val="18"/>
                <w:szCs w:val="18"/>
                <w:vertAlign w:val="superscript"/>
              </w:rPr>
              <w:t>2</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N</w:t>
            </w:r>
            <w:r w:rsidRPr="008857F9">
              <w:rPr>
                <w:snapToGrid w:val="0"/>
                <w:sz w:val="18"/>
                <w:szCs w:val="18"/>
              </w:rPr>
              <w:t>amibia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vertAlign w:val="superscript"/>
              </w:rPr>
            </w:pPr>
            <w:r w:rsidRPr="008857F9">
              <w:rPr>
                <w:snapToGrid w:val="0"/>
                <w:sz w:val="18"/>
                <w:szCs w:val="18"/>
              </w:rPr>
              <w:t xml:space="preserve">Nepal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Nicaragua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Níger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Nigeria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Niue</w:t>
            </w:r>
            <w:r w:rsidRPr="008857F9">
              <w:rPr>
                <w:snapToGrid w:val="0"/>
                <w:sz w:val="18"/>
                <w:szCs w:val="18"/>
                <w:vertAlign w:val="superscript"/>
              </w:rPr>
              <w:t>2</w:t>
            </w:r>
          </w:p>
        </w:tc>
        <w:tc>
          <w:tcPr>
            <w:tcW w:w="1430" w:type="dxa"/>
            <w:shd w:val="clear" w:color="auto" w:fill="auto"/>
          </w:tcPr>
          <w:p w:rsidR="00236E18" w:rsidRPr="008857F9" w:rsidRDefault="00236E18" w:rsidP="00294272">
            <w:pPr>
              <w:jc w:val="center"/>
              <w:rPr>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2.849</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2.849</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5.698</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Noruega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IV</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10</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455.790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455.790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Nueva Zelandia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3</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136.737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136.737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273.474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vertAlign w:val="superscript"/>
              </w:rPr>
            </w:pPr>
            <w:r w:rsidRPr="008857F9">
              <w:rPr>
                <w:b/>
                <w:snapToGrid w:val="0"/>
                <w:sz w:val="18"/>
                <w:szCs w:val="18"/>
              </w:rPr>
              <w:t>O</w:t>
            </w:r>
            <w:r w:rsidRPr="008857F9">
              <w:rPr>
                <w:snapToGrid w:val="0"/>
                <w:sz w:val="18"/>
                <w:szCs w:val="18"/>
              </w:rPr>
              <w:t>mán</w:t>
            </w:r>
            <w:r w:rsidRPr="008857F9">
              <w:rPr>
                <w:snapToGrid w:val="0"/>
                <w:sz w:val="18"/>
                <w:szCs w:val="18"/>
                <w:vertAlign w:val="superscript"/>
              </w:rPr>
              <w:t xml:space="preserve"> </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P</w:t>
            </w:r>
            <w:r w:rsidRPr="008857F9">
              <w:rPr>
                <w:snapToGrid w:val="0"/>
                <w:sz w:val="18"/>
                <w:szCs w:val="18"/>
              </w:rPr>
              <w:t>aíses Bajos</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683.685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683.685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1.367.370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Pakistán</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Panamá</w:t>
            </w:r>
          </w:p>
        </w:tc>
        <w:tc>
          <w:tcPr>
            <w:tcW w:w="1430" w:type="dxa"/>
            <w:shd w:val="clear" w:color="auto" w:fill="auto"/>
          </w:tcPr>
          <w:p w:rsidR="00236E18" w:rsidRPr="008857F9" w:rsidRDefault="00236E18" w:rsidP="00294272">
            <w:pPr>
              <w:jc w:val="center"/>
              <w:rPr>
                <w:i/>
                <w:snapToGrid w:val="0"/>
                <w:sz w:val="18"/>
                <w:szCs w:val="18"/>
              </w:rPr>
            </w:pPr>
            <w:r w:rsidRPr="008857F9">
              <w:rPr>
                <w:i/>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snapToGrid w:val="0"/>
                <w:sz w:val="18"/>
                <w:szCs w:val="18"/>
              </w:rPr>
              <w:t>Papua</w:t>
            </w:r>
            <w:proofErr w:type="spellEnd"/>
            <w:r w:rsidRPr="008857F9">
              <w:rPr>
                <w:snapToGrid w:val="0"/>
                <w:sz w:val="18"/>
                <w:szCs w:val="18"/>
              </w:rPr>
              <w:t xml:space="preserve"> Nueva Guinea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Paraguay</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Perú</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Polonia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3</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136.737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136.737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273.474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Portugal</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IV</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7,5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341.842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341.842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683.684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Q</w:t>
            </w:r>
            <w:r w:rsidRPr="008857F9">
              <w:rPr>
                <w:snapToGrid w:val="0"/>
                <w:sz w:val="18"/>
                <w:szCs w:val="18"/>
              </w:rPr>
              <w:t xml:space="preserve">atar </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11.395</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11.395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22.790</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R</w:t>
            </w:r>
            <w:r w:rsidRPr="008857F9">
              <w:rPr>
                <w:snapToGrid w:val="0"/>
                <w:sz w:val="18"/>
                <w:szCs w:val="18"/>
              </w:rPr>
              <w:t>eino Unido</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1.139.475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1.139.475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2.278.950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República Árabe Siria </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5.697</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5.697</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11.394</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República Centroafricana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República Checa </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VI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3</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136.737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136.737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273.474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República de Corea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IV</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7,5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341.842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341.842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683.684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República de </w:t>
            </w:r>
            <w:proofErr w:type="spellStart"/>
            <w:r w:rsidRPr="008857F9">
              <w:rPr>
                <w:snapToGrid w:val="0"/>
                <w:sz w:val="18"/>
                <w:szCs w:val="18"/>
              </w:rPr>
              <w:t>Moldova</w:t>
            </w:r>
            <w:proofErr w:type="spellEnd"/>
            <w:r w:rsidRPr="008857F9">
              <w:rPr>
                <w:snapToGrid w:val="0"/>
                <w:sz w:val="18"/>
                <w:szCs w:val="18"/>
              </w:rPr>
              <w:t xml:space="preserve"> </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República Democrática del Congo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República Democrática Popular Lao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República Dominicana </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República Popular Democrática de Corea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República Unida de </w:t>
            </w:r>
            <w:proofErr w:type="spellStart"/>
            <w:r w:rsidRPr="008857F9">
              <w:rPr>
                <w:snapToGrid w:val="0"/>
                <w:sz w:val="18"/>
                <w:szCs w:val="18"/>
              </w:rPr>
              <w:t>Tanzanía</w:t>
            </w:r>
            <w:proofErr w:type="spellEnd"/>
            <w:r w:rsidRPr="008857F9">
              <w:rPr>
                <w:snapToGrid w:val="0"/>
                <w:sz w:val="18"/>
                <w:szCs w:val="18"/>
              </w:rPr>
              <w:t xml:space="preserve">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Rumania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VI</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2</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182.316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snapToGrid w:val="0"/>
                <w:sz w:val="18"/>
                <w:szCs w:val="18"/>
              </w:rPr>
              <w:t>Rwanda</w:t>
            </w:r>
            <w:proofErr w:type="spellEnd"/>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S</w:t>
            </w:r>
            <w:r w:rsidRPr="008857F9">
              <w:rPr>
                <w:snapToGrid w:val="0"/>
                <w:sz w:val="18"/>
                <w:szCs w:val="18"/>
              </w:rPr>
              <w:t xml:space="preserve">aint </w:t>
            </w:r>
            <w:proofErr w:type="spellStart"/>
            <w:r w:rsidRPr="008857F9">
              <w:rPr>
                <w:snapToGrid w:val="0"/>
                <w:sz w:val="18"/>
                <w:szCs w:val="18"/>
              </w:rPr>
              <w:t>Kitts</w:t>
            </w:r>
            <w:proofErr w:type="spellEnd"/>
            <w:r w:rsidRPr="008857F9">
              <w:rPr>
                <w:snapToGrid w:val="0"/>
                <w:sz w:val="18"/>
                <w:szCs w:val="18"/>
              </w:rPr>
              <w:t xml:space="preserve"> y </w:t>
            </w:r>
            <w:proofErr w:type="spellStart"/>
            <w:r w:rsidRPr="008857F9">
              <w:rPr>
                <w:snapToGrid w:val="0"/>
                <w:sz w:val="18"/>
                <w:szCs w:val="18"/>
              </w:rPr>
              <w:t>Nevis</w:t>
            </w:r>
            <w:proofErr w:type="spellEnd"/>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vertAlign w:val="superscript"/>
              </w:rPr>
            </w:pPr>
            <w:r w:rsidRPr="008857F9">
              <w:rPr>
                <w:snapToGrid w:val="0"/>
                <w:sz w:val="18"/>
                <w:szCs w:val="18"/>
              </w:rPr>
              <w:t xml:space="preserve">Samoa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2.849</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2.849</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5.698</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San Marino</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San Vicente y las Granadinas</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Santa Lucía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Santa Sede </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Santo Tomé y Príncipe</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Senegal</w:t>
            </w:r>
          </w:p>
        </w:tc>
        <w:tc>
          <w:tcPr>
            <w:tcW w:w="1430" w:type="dxa"/>
            <w:shd w:val="clear" w:color="auto" w:fill="auto"/>
          </w:tcPr>
          <w:p w:rsidR="00236E18" w:rsidRPr="008857F9" w:rsidRDefault="00236E18" w:rsidP="00294272">
            <w:pPr>
              <w:jc w:val="center"/>
              <w:rPr>
                <w:i/>
                <w:iCs/>
                <w:snapToGrid w:val="0"/>
                <w:sz w:val="18"/>
                <w:szCs w:val="18"/>
              </w:rPr>
            </w:pPr>
            <w:proofErr w:type="spellStart"/>
            <w:r w:rsidRPr="008857F9">
              <w:rPr>
                <w:i/>
                <w:iCs/>
                <w:snapToGrid w:val="0"/>
                <w:sz w:val="18"/>
                <w:szCs w:val="18"/>
              </w:rPr>
              <w:t>Ster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1.424</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1.424</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2.848</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Serbia</w:t>
            </w:r>
          </w:p>
        </w:tc>
        <w:tc>
          <w:tcPr>
            <w:tcW w:w="1430" w:type="dxa"/>
            <w:shd w:val="clear" w:color="auto" w:fill="auto"/>
          </w:tcPr>
          <w:p w:rsidR="00236E18" w:rsidRPr="008857F9" w:rsidRDefault="00236E18" w:rsidP="00294272">
            <w:pPr>
              <w:jc w:val="center"/>
              <w:rPr>
                <w:i/>
                <w:snapToGrid w:val="0"/>
                <w:sz w:val="18"/>
                <w:szCs w:val="18"/>
              </w:rPr>
            </w:pPr>
            <w:r w:rsidRPr="008857F9">
              <w:rPr>
                <w:snapToGrid w:val="0"/>
                <w:sz w:val="18"/>
                <w:szCs w:val="18"/>
              </w:rPr>
              <w:t>VIII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22.789</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22.789</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45.578</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vertAlign w:val="superscript"/>
              </w:rPr>
            </w:pPr>
            <w:r w:rsidRPr="008857F9">
              <w:rPr>
                <w:snapToGrid w:val="0"/>
                <w:sz w:val="18"/>
                <w:szCs w:val="18"/>
              </w:rPr>
              <w:t xml:space="preserve">Seychelles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Sierra Leona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Singapur</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vertAlign w:val="superscript"/>
              </w:rPr>
            </w:pPr>
            <w:r w:rsidRPr="008857F9">
              <w:rPr>
                <w:snapToGrid w:val="0"/>
                <w:sz w:val="18"/>
                <w:szCs w:val="18"/>
              </w:rPr>
              <w:t xml:space="preserve">Somalia </w:t>
            </w:r>
            <w:r w:rsidRPr="008857F9">
              <w:rPr>
                <w:snapToGrid w:val="0"/>
                <w:sz w:val="18"/>
                <w:szCs w:val="18"/>
                <w:vertAlign w:val="superscript"/>
              </w:rPr>
              <w:t>2</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Sri Lanka</w:t>
            </w:r>
          </w:p>
        </w:tc>
        <w:tc>
          <w:tcPr>
            <w:tcW w:w="1430" w:type="dxa"/>
            <w:shd w:val="clear" w:color="auto" w:fill="auto"/>
          </w:tcPr>
          <w:p w:rsidR="00236E18" w:rsidRPr="008857F9" w:rsidRDefault="00236E18" w:rsidP="00294272">
            <w:pPr>
              <w:jc w:val="center"/>
              <w:rPr>
                <w:i/>
                <w:snapToGrid w:val="0"/>
                <w:sz w:val="18"/>
                <w:szCs w:val="18"/>
              </w:rPr>
            </w:pPr>
            <w:r w:rsidRPr="008857F9">
              <w:rPr>
                <w:i/>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Sudáfrica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IV</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7,5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341.842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341.842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683.684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Sudán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Suecia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683.685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683.685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1.367.370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Suiza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III</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15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683.685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683.685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1.367.370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snapToGrid w:val="0"/>
                <w:sz w:val="18"/>
                <w:szCs w:val="18"/>
              </w:rPr>
              <w:t>Suriname</w:t>
            </w:r>
            <w:proofErr w:type="spellEnd"/>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snapToGrid w:val="0"/>
                <w:sz w:val="18"/>
                <w:szCs w:val="18"/>
              </w:rPr>
              <w:t>Swazilandia</w:t>
            </w:r>
            <w:proofErr w:type="spellEnd"/>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T</w:t>
            </w:r>
            <w:r w:rsidRPr="008857F9">
              <w:rPr>
                <w:snapToGrid w:val="0"/>
                <w:sz w:val="18"/>
                <w:szCs w:val="18"/>
              </w:rPr>
              <w:t>ailandia</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Tayikistán</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Togo</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Tonga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 xml:space="preserve">Trinidad y </w:t>
            </w:r>
            <w:proofErr w:type="spellStart"/>
            <w:r w:rsidRPr="008857F9">
              <w:rPr>
                <w:snapToGrid w:val="0"/>
                <w:sz w:val="18"/>
                <w:szCs w:val="18"/>
              </w:rPr>
              <w:t>Tabago</w:t>
            </w:r>
            <w:proofErr w:type="spellEnd"/>
          </w:p>
        </w:tc>
        <w:tc>
          <w:tcPr>
            <w:tcW w:w="1430" w:type="dxa"/>
            <w:shd w:val="clear" w:color="auto" w:fill="auto"/>
          </w:tcPr>
          <w:p w:rsidR="00236E18" w:rsidRPr="008857F9" w:rsidRDefault="00236E18" w:rsidP="00294272">
            <w:pPr>
              <w:jc w:val="center"/>
              <w:rPr>
                <w:i/>
                <w:snapToGrid w:val="0"/>
                <w:sz w:val="18"/>
                <w:szCs w:val="18"/>
              </w:rPr>
            </w:pPr>
            <w:r w:rsidRPr="008857F9">
              <w:rPr>
                <w:i/>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lastRenderedPageBreak/>
              <w:t>Túnez</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Turkmenistán</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Turquía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VI</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2</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91.158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182.316 </w:t>
            </w:r>
          </w:p>
        </w:tc>
      </w:tr>
      <w:tr w:rsidR="00236E18" w:rsidRPr="008857F9" w:rsidTr="00294272">
        <w:trPr>
          <w:gridAfter w:val="1"/>
          <w:wAfter w:w="116" w:type="dxa"/>
        </w:trPr>
        <w:tc>
          <w:tcPr>
            <w:tcW w:w="2750" w:type="dxa"/>
            <w:shd w:val="clear" w:color="auto" w:fill="auto"/>
          </w:tcPr>
          <w:p w:rsidR="00236E18" w:rsidRPr="008857F9" w:rsidRDefault="00236E18" w:rsidP="00294272">
            <w:pPr>
              <w:keepNext/>
              <w:rPr>
                <w:snapToGrid w:val="0"/>
                <w:sz w:val="18"/>
                <w:szCs w:val="18"/>
              </w:rPr>
            </w:pPr>
            <w:r w:rsidRPr="008857F9">
              <w:rPr>
                <w:snapToGrid w:val="0"/>
                <w:sz w:val="18"/>
                <w:szCs w:val="18"/>
              </w:rPr>
              <w:t>Tuvalu</w:t>
            </w:r>
            <w:r w:rsidRPr="008857F9">
              <w:rPr>
                <w:snapToGrid w:val="0"/>
                <w:sz w:val="18"/>
                <w:szCs w:val="18"/>
                <w:vertAlign w:val="superscript"/>
              </w:rPr>
              <w:t>2</w:t>
            </w:r>
          </w:p>
        </w:tc>
        <w:tc>
          <w:tcPr>
            <w:tcW w:w="1430" w:type="dxa"/>
            <w:shd w:val="clear" w:color="auto" w:fill="auto"/>
          </w:tcPr>
          <w:p w:rsidR="00236E18" w:rsidRPr="008857F9" w:rsidRDefault="00236E18" w:rsidP="00294272">
            <w:pPr>
              <w:keepNext/>
              <w:jc w:val="center"/>
              <w:rPr>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1.424</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1.424</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2.848</w:t>
            </w:r>
          </w:p>
        </w:tc>
      </w:tr>
      <w:tr w:rsidR="00236E18" w:rsidRPr="008857F9" w:rsidTr="00294272">
        <w:trPr>
          <w:gridAfter w:val="1"/>
          <w:wAfter w:w="116" w:type="dxa"/>
        </w:trPr>
        <w:tc>
          <w:tcPr>
            <w:tcW w:w="2750" w:type="dxa"/>
            <w:shd w:val="clear" w:color="auto" w:fill="auto"/>
          </w:tcPr>
          <w:p w:rsidR="00236E18" w:rsidRPr="008857F9" w:rsidRDefault="00236E18" w:rsidP="00294272">
            <w:pPr>
              <w:keepNext/>
              <w:rPr>
                <w:snapToGrid w:val="0"/>
                <w:sz w:val="18"/>
                <w:szCs w:val="18"/>
              </w:rPr>
            </w:pPr>
            <w:r w:rsidRPr="008857F9">
              <w:rPr>
                <w:b/>
                <w:snapToGrid w:val="0"/>
                <w:sz w:val="18"/>
                <w:szCs w:val="18"/>
              </w:rPr>
              <w:t>U</w:t>
            </w:r>
            <w:r w:rsidRPr="008857F9">
              <w:rPr>
                <w:snapToGrid w:val="0"/>
                <w:sz w:val="18"/>
                <w:szCs w:val="18"/>
              </w:rPr>
              <w:t>crania</w:t>
            </w:r>
          </w:p>
        </w:tc>
        <w:tc>
          <w:tcPr>
            <w:tcW w:w="1430" w:type="dxa"/>
            <w:shd w:val="clear" w:color="auto" w:fill="auto"/>
          </w:tcPr>
          <w:p w:rsidR="00236E18" w:rsidRPr="008857F9" w:rsidRDefault="00236E18" w:rsidP="00294272">
            <w:pPr>
              <w:keepNext/>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keepNext/>
              <w:rPr>
                <w:snapToGrid w:val="0"/>
                <w:sz w:val="18"/>
                <w:szCs w:val="18"/>
              </w:rPr>
            </w:pPr>
            <w:r w:rsidRPr="008857F9">
              <w:rPr>
                <w:snapToGrid w:val="0"/>
                <w:sz w:val="18"/>
                <w:szCs w:val="18"/>
              </w:rPr>
              <w:t>Uganda</w:t>
            </w:r>
          </w:p>
        </w:tc>
        <w:tc>
          <w:tcPr>
            <w:tcW w:w="1430" w:type="dxa"/>
            <w:shd w:val="clear" w:color="auto" w:fill="auto"/>
          </w:tcPr>
          <w:p w:rsidR="00236E18" w:rsidRPr="008857F9" w:rsidRDefault="00236E18" w:rsidP="00294272">
            <w:pPr>
              <w:keepNext/>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Uruguay</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11.394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Uzbekistán</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11.395</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11.395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22.790</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V</w:t>
            </w:r>
            <w:r w:rsidRPr="008857F9">
              <w:rPr>
                <w:snapToGrid w:val="0"/>
                <w:sz w:val="18"/>
                <w:szCs w:val="18"/>
              </w:rPr>
              <w:t>anuatu</w:t>
            </w:r>
          </w:p>
        </w:tc>
        <w:tc>
          <w:tcPr>
            <w:tcW w:w="1430" w:type="dxa"/>
            <w:shd w:val="clear" w:color="auto" w:fill="auto"/>
          </w:tcPr>
          <w:p w:rsidR="00236E18" w:rsidRPr="008857F9" w:rsidRDefault="00236E18" w:rsidP="00294272">
            <w:pPr>
              <w:jc w:val="center"/>
              <w:rPr>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1.424</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1.424</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2.848</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snapToGrid w:val="0"/>
                <w:sz w:val="18"/>
                <w:szCs w:val="18"/>
              </w:rPr>
              <w:t>Venezuela (República Bolivariana de)</w:t>
            </w:r>
          </w:p>
        </w:tc>
        <w:tc>
          <w:tcPr>
            <w:tcW w:w="1430" w:type="dxa"/>
            <w:shd w:val="clear" w:color="auto" w:fill="auto"/>
          </w:tcPr>
          <w:p w:rsidR="00236E18" w:rsidRPr="008857F9" w:rsidRDefault="00236E18" w:rsidP="00294272">
            <w:pPr>
              <w:jc w:val="center"/>
              <w:rPr>
                <w:snapToGrid w:val="0"/>
                <w:sz w:val="18"/>
                <w:szCs w:val="18"/>
              </w:rPr>
            </w:pPr>
            <w:r w:rsidRPr="008857F9">
              <w:rPr>
                <w:snapToGrid w:val="0"/>
                <w:sz w:val="18"/>
                <w:szCs w:val="18"/>
              </w:rPr>
              <w:t>IX</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11.395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22.790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snapToGrid w:val="0"/>
                <w:sz w:val="18"/>
                <w:szCs w:val="18"/>
              </w:rPr>
              <w:t>Viet</w:t>
            </w:r>
            <w:proofErr w:type="spellEnd"/>
            <w:r w:rsidRPr="008857F9">
              <w:rPr>
                <w:snapToGrid w:val="0"/>
                <w:sz w:val="18"/>
                <w:szCs w:val="18"/>
              </w:rPr>
              <w:t xml:space="preserve"> </w:t>
            </w:r>
            <w:proofErr w:type="spellStart"/>
            <w:r w:rsidRPr="008857F9">
              <w:rPr>
                <w:snapToGrid w:val="0"/>
                <w:sz w:val="18"/>
                <w:szCs w:val="18"/>
              </w:rPr>
              <w:t>Nam</w:t>
            </w:r>
            <w:proofErr w:type="spellEnd"/>
          </w:p>
        </w:tc>
        <w:tc>
          <w:tcPr>
            <w:tcW w:w="1430" w:type="dxa"/>
            <w:shd w:val="clear" w:color="auto" w:fill="auto"/>
          </w:tcPr>
          <w:p w:rsidR="00236E18" w:rsidRPr="008857F9" w:rsidRDefault="00236E18" w:rsidP="00294272">
            <w:pPr>
              <w:jc w:val="center"/>
              <w:rPr>
                <w:i/>
                <w:snapToGrid w:val="0"/>
                <w:sz w:val="18"/>
                <w:szCs w:val="18"/>
              </w:rPr>
            </w:pPr>
            <w:r w:rsidRPr="008857F9">
              <w:rPr>
                <w:i/>
                <w:snapToGrid w:val="0"/>
                <w:sz w:val="18"/>
                <w:szCs w:val="18"/>
              </w:rPr>
              <w:t>S</w:t>
            </w:r>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5.697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11.394</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vertAlign w:val="superscript"/>
              </w:rPr>
            </w:pPr>
            <w:r w:rsidRPr="008857F9">
              <w:rPr>
                <w:b/>
                <w:snapToGrid w:val="0"/>
                <w:sz w:val="18"/>
                <w:szCs w:val="18"/>
              </w:rPr>
              <w:t>Y</w:t>
            </w:r>
            <w:r w:rsidRPr="008857F9">
              <w:rPr>
                <w:snapToGrid w:val="0"/>
                <w:sz w:val="18"/>
                <w:szCs w:val="18"/>
              </w:rPr>
              <w:t xml:space="preserve">emen </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r w:rsidRPr="008857F9">
              <w:rPr>
                <w:b/>
                <w:snapToGrid w:val="0"/>
                <w:sz w:val="18"/>
                <w:szCs w:val="18"/>
              </w:rPr>
              <w:t>Z</w:t>
            </w:r>
            <w:r w:rsidRPr="008857F9">
              <w:rPr>
                <w:snapToGrid w:val="0"/>
                <w:sz w:val="18"/>
                <w:szCs w:val="18"/>
              </w:rPr>
              <w:t>ambia</w:t>
            </w:r>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ter</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0,03125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1.424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2.848 </w:t>
            </w:r>
          </w:p>
        </w:tc>
      </w:tr>
      <w:tr w:rsidR="00236E18" w:rsidRPr="008857F9" w:rsidTr="00294272">
        <w:trPr>
          <w:gridAfter w:val="1"/>
          <w:wAfter w:w="116" w:type="dxa"/>
        </w:trPr>
        <w:tc>
          <w:tcPr>
            <w:tcW w:w="2750" w:type="dxa"/>
            <w:shd w:val="clear" w:color="auto" w:fill="auto"/>
          </w:tcPr>
          <w:p w:rsidR="00236E18" w:rsidRPr="008857F9" w:rsidRDefault="00236E18" w:rsidP="00294272">
            <w:pPr>
              <w:rPr>
                <w:snapToGrid w:val="0"/>
                <w:sz w:val="18"/>
                <w:szCs w:val="18"/>
              </w:rPr>
            </w:pPr>
            <w:proofErr w:type="spellStart"/>
            <w:r w:rsidRPr="008857F9">
              <w:rPr>
                <w:snapToGrid w:val="0"/>
                <w:sz w:val="18"/>
                <w:szCs w:val="18"/>
              </w:rPr>
              <w:t>Zimbabwe</w:t>
            </w:r>
            <w:proofErr w:type="spellEnd"/>
          </w:p>
        </w:tc>
        <w:tc>
          <w:tcPr>
            <w:tcW w:w="1430" w:type="dxa"/>
            <w:shd w:val="clear" w:color="auto" w:fill="auto"/>
          </w:tcPr>
          <w:p w:rsidR="00236E18" w:rsidRPr="008857F9" w:rsidRDefault="00236E18" w:rsidP="00294272">
            <w:pPr>
              <w:jc w:val="center"/>
              <w:rPr>
                <w:i/>
                <w:snapToGrid w:val="0"/>
                <w:sz w:val="18"/>
                <w:szCs w:val="18"/>
              </w:rPr>
            </w:pPr>
            <w:proofErr w:type="spellStart"/>
            <w:r w:rsidRPr="008857F9">
              <w:rPr>
                <w:snapToGrid w:val="0"/>
                <w:sz w:val="18"/>
                <w:szCs w:val="18"/>
              </w:rPr>
              <w:t>S</w:t>
            </w:r>
            <w:r w:rsidRPr="008857F9">
              <w:rPr>
                <w:i/>
                <w:snapToGrid w:val="0"/>
                <w:sz w:val="18"/>
                <w:szCs w:val="18"/>
              </w:rPr>
              <w:t>bis</w:t>
            </w:r>
            <w:proofErr w:type="spellEnd"/>
          </w:p>
        </w:tc>
        <w:tc>
          <w:tcPr>
            <w:tcW w:w="1210" w:type="dxa"/>
            <w:shd w:val="clear" w:color="auto" w:fill="auto"/>
          </w:tcPr>
          <w:p w:rsidR="00236E18" w:rsidRPr="008857F9" w:rsidRDefault="00236E18" w:rsidP="00294272">
            <w:pPr>
              <w:jc w:val="right"/>
              <w:rPr>
                <w:snapToGrid w:val="0"/>
                <w:sz w:val="18"/>
                <w:szCs w:val="18"/>
              </w:rPr>
            </w:pPr>
            <w:r w:rsidRPr="008857F9">
              <w:rPr>
                <w:snapToGrid w:val="0"/>
                <w:sz w:val="18"/>
                <w:szCs w:val="18"/>
              </w:rPr>
              <w:t>0,0625</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43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2.849 </w:t>
            </w:r>
          </w:p>
        </w:tc>
        <w:tc>
          <w:tcPr>
            <w:tcW w:w="1320" w:type="dxa"/>
            <w:shd w:val="clear" w:color="auto" w:fill="auto"/>
          </w:tcPr>
          <w:p w:rsidR="00236E18" w:rsidRPr="008857F9" w:rsidRDefault="00236E18" w:rsidP="00294272">
            <w:pPr>
              <w:jc w:val="right"/>
              <w:rPr>
                <w:snapToGrid w:val="0"/>
                <w:sz w:val="18"/>
                <w:szCs w:val="18"/>
              </w:rPr>
            </w:pPr>
            <w:r w:rsidRPr="008857F9">
              <w:rPr>
                <w:snapToGrid w:val="0"/>
                <w:sz w:val="18"/>
                <w:szCs w:val="18"/>
              </w:rPr>
              <w:t xml:space="preserve">             5.698 </w:t>
            </w:r>
          </w:p>
        </w:tc>
      </w:tr>
      <w:tr w:rsidR="00236E18" w:rsidRPr="008857F9" w:rsidTr="00294272">
        <w:trPr>
          <w:gridAfter w:val="1"/>
          <w:wAfter w:w="116" w:type="dxa"/>
        </w:trPr>
        <w:tc>
          <w:tcPr>
            <w:tcW w:w="2750" w:type="dxa"/>
            <w:shd w:val="pct15" w:color="auto" w:fill="FFFFFF"/>
          </w:tcPr>
          <w:p w:rsidR="00236E18" w:rsidRPr="008857F9" w:rsidRDefault="00236E18" w:rsidP="00294272">
            <w:pPr>
              <w:rPr>
                <w:b/>
                <w:snapToGrid w:val="0"/>
                <w:sz w:val="18"/>
                <w:szCs w:val="18"/>
                <w:vertAlign w:val="superscript"/>
              </w:rPr>
            </w:pPr>
            <w:r w:rsidRPr="008857F9">
              <w:rPr>
                <w:b/>
                <w:snapToGrid w:val="0"/>
                <w:sz w:val="18"/>
                <w:szCs w:val="18"/>
              </w:rPr>
              <w:t xml:space="preserve">Total de contribuciones </w:t>
            </w:r>
          </w:p>
        </w:tc>
        <w:tc>
          <w:tcPr>
            <w:tcW w:w="1430" w:type="dxa"/>
            <w:shd w:val="pct15" w:color="auto" w:fill="FFFFFF"/>
          </w:tcPr>
          <w:p w:rsidR="00236E18" w:rsidRPr="008857F9" w:rsidRDefault="00236E18" w:rsidP="00294272">
            <w:pPr>
              <w:jc w:val="right"/>
              <w:rPr>
                <w:b/>
                <w:snapToGrid w:val="0"/>
                <w:sz w:val="18"/>
                <w:szCs w:val="18"/>
              </w:rPr>
            </w:pPr>
          </w:p>
        </w:tc>
        <w:tc>
          <w:tcPr>
            <w:tcW w:w="1210" w:type="dxa"/>
            <w:shd w:val="pct15" w:color="auto" w:fill="FFFFFF"/>
          </w:tcPr>
          <w:p w:rsidR="00236E18" w:rsidRPr="008857F9" w:rsidRDefault="00236E18" w:rsidP="00294272">
            <w:pPr>
              <w:jc w:val="right"/>
              <w:rPr>
                <w:b/>
                <w:snapToGrid w:val="0"/>
                <w:sz w:val="18"/>
                <w:szCs w:val="18"/>
              </w:rPr>
            </w:pPr>
          </w:p>
        </w:tc>
        <w:tc>
          <w:tcPr>
            <w:tcW w:w="1320" w:type="dxa"/>
            <w:shd w:val="pct15" w:color="auto" w:fill="FFFFFF"/>
          </w:tcPr>
          <w:p w:rsidR="00236E18" w:rsidRPr="008857F9" w:rsidRDefault="00236E18" w:rsidP="00294272">
            <w:pPr>
              <w:jc w:val="right"/>
              <w:rPr>
                <w:b/>
                <w:snapToGrid w:val="0"/>
                <w:sz w:val="18"/>
                <w:szCs w:val="18"/>
              </w:rPr>
            </w:pPr>
            <w:r w:rsidRPr="008857F9">
              <w:rPr>
                <w:b/>
                <w:snapToGrid w:val="0"/>
                <w:sz w:val="18"/>
                <w:szCs w:val="18"/>
              </w:rPr>
              <w:t>17.361.317</w:t>
            </w:r>
          </w:p>
        </w:tc>
        <w:tc>
          <w:tcPr>
            <w:tcW w:w="1430" w:type="dxa"/>
            <w:shd w:val="pct15" w:color="auto" w:fill="FFFFFF"/>
          </w:tcPr>
          <w:p w:rsidR="00236E18" w:rsidRPr="008857F9" w:rsidRDefault="00236E18" w:rsidP="00294272">
            <w:pPr>
              <w:jc w:val="right"/>
              <w:rPr>
                <w:b/>
                <w:snapToGrid w:val="0"/>
                <w:sz w:val="18"/>
                <w:szCs w:val="18"/>
              </w:rPr>
            </w:pPr>
            <w:r w:rsidRPr="008857F9">
              <w:rPr>
                <w:b/>
                <w:snapToGrid w:val="0"/>
                <w:sz w:val="18"/>
                <w:szCs w:val="18"/>
              </w:rPr>
              <w:t>17.361.317</w:t>
            </w:r>
          </w:p>
        </w:tc>
        <w:tc>
          <w:tcPr>
            <w:tcW w:w="1320" w:type="dxa"/>
            <w:shd w:val="pct15" w:color="auto" w:fill="FFFFFF"/>
          </w:tcPr>
          <w:p w:rsidR="00236E18" w:rsidRPr="008857F9" w:rsidRDefault="00236E18" w:rsidP="00294272">
            <w:pPr>
              <w:jc w:val="right"/>
              <w:rPr>
                <w:b/>
                <w:snapToGrid w:val="0"/>
                <w:sz w:val="18"/>
                <w:szCs w:val="18"/>
              </w:rPr>
            </w:pPr>
            <w:r w:rsidRPr="008857F9">
              <w:rPr>
                <w:b/>
                <w:snapToGrid w:val="0"/>
                <w:sz w:val="18"/>
                <w:szCs w:val="18"/>
              </w:rPr>
              <w:t>34.722.634</w:t>
            </w:r>
          </w:p>
        </w:tc>
      </w:tr>
      <w:tr w:rsidR="00236E18" w:rsidRPr="008857F9" w:rsidTr="00294272">
        <w:trPr>
          <w:gridAfter w:val="1"/>
          <w:wAfter w:w="116" w:type="dxa"/>
        </w:trPr>
        <w:tc>
          <w:tcPr>
            <w:tcW w:w="2750" w:type="dxa"/>
            <w:shd w:val="clear" w:color="auto" w:fill="FFFFFF"/>
          </w:tcPr>
          <w:p w:rsidR="00236E18" w:rsidRPr="008857F9" w:rsidRDefault="00236E18" w:rsidP="00294272">
            <w:pPr>
              <w:rPr>
                <w:snapToGrid w:val="0"/>
                <w:sz w:val="18"/>
                <w:szCs w:val="18"/>
              </w:rPr>
            </w:pPr>
          </w:p>
        </w:tc>
        <w:tc>
          <w:tcPr>
            <w:tcW w:w="1430" w:type="dxa"/>
            <w:shd w:val="clear" w:color="auto" w:fill="FFFFFF"/>
          </w:tcPr>
          <w:p w:rsidR="00236E18" w:rsidRPr="008857F9" w:rsidRDefault="00236E18" w:rsidP="00294272">
            <w:pPr>
              <w:jc w:val="center"/>
              <w:rPr>
                <w:i/>
                <w:snapToGrid w:val="0"/>
                <w:sz w:val="18"/>
                <w:szCs w:val="18"/>
              </w:rPr>
            </w:pPr>
          </w:p>
        </w:tc>
        <w:tc>
          <w:tcPr>
            <w:tcW w:w="1210" w:type="dxa"/>
            <w:shd w:val="clear" w:color="auto" w:fill="FFFFFF"/>
          </w:tcPr>
          <w:p w:rsidR="00236E18" w:rsidRPr="008857F9" w:rsidRDefault="00236E18" w:rsidP="00294272">
            <w:pPr>
              <w:jc w:val="right"/>
              <w:rPr>
                <w:snapToGrid w:val="0"/>
                <w:sz w:val="18"/>
                <w:szCs w:val="18"/>
              </w:rPr>
            </w:pPr>
          </w:p>
        </w:tc>
        <w:tc>
          <w:tcPr>
            <w:tcW w:w="1320" w:type="dxa"/>
            <w:shd w:val="clear" w:color="auto" w:fill="FFFFFF"/>
          </w:tcPr>
          <w:p w:rsidR="00236E18" w:rsidRPr="008857F9" w:rsidRDefault="00236E18" w:rsidP="00294272">
            <w:pPr>
              <w:jc w:val="right"/>
              <w:rPr>
                <w:snapToGrid w:val="0"/>
                <w:sz w:val="18"/>
                <w:szCs w:val="18"/>
              </w:rPr>
            </w:pPr>
          </w:p>
        </w:tc>
        <w:tc>
          <w:tcPr>
            <w:tcW w:w="1430" w:type="dxa"/>
            <w:shd w:val="clear" w:color="auto" w:fill="FFFFFF"/>
          </w:tcPr>
          <w:p w:rsidR="00236E18" w:rsidRPr="008857F9" w:rsidRDefault="00236E18" w:rsidP="00294272">
            <w:pPr>
              <w:jc w:val="right"/>
              <w:rPr>
                <w:snapToGrid w:val="0"/>
                <w:sz w:val="18"/>
                <w:szCs w:val="18"/>
              </w:rPr>
            </w:pPr>
          </w:p>
        </w:tc>
        <w:tc>
          <w:tcPr>
            <w:tcW w:w="1320" w:type="dxa"/>
            <w:shd w:val="clear" w:color="auto" w:fill="FFFFFF"/>
          </w:tcPr>
          <w:p w:rsidR="00236E18" w:rsidRPr="008857F9" w:rsidRDefault="00236E18" w:rsidP="00294272">
            <w:pPr>
              <w:jc w:val="right"/>
              <w:rPr>
                <w:snapToGrid w:val="0"/>
                <w:sz w:val="18"/>
                <w:szCs w:val="18"/>
              </w:rPr>
            </w:pPr>
          </w:p>
        </w:tc>
      </w:tr>
    </w:tbl>
    <w:p w:rsidR="00236E18" w:rsidRPr="008857F9" w:rsidRDefault="00236E18" w:rsidP="00236E18">
      <w:pPr>
        <w:autoSpaceDE w:val="0"/>
        <w:autoSpaceDN w:val="0"/>
        <w:adjustRightInd w:val="0"/>
        <w:rPr>
          <w:sz w:val="18"/>
          <w:szCs w:val="18"/>
        </w:rPr>
      </w:pPr>
    </w:p>
    <w:p w:rsidR="00236E18" w:rsidRPr="008857F9" w:rsidRDefault="00236E18" w:rsidP="00236E18">
      <w:pPr>
        <w:tabs>
          <w:tab w:val="left" w:pos="284"/>
        </w:tabs>
        <w:ind w:hanging="6"/>
        <w:jc w:val="both"/>
        <w:rPr>
          <w:snapToGrid w:val="0"/>
          <w:sz w:val="18"/>
          <w:szCs w:val="18"/>
        </w:rPr>
      </w:pPr>
      <w:r w:rsidRPr="008857F9">
        <w:rPr>
          <w:snapToGrid w:val="0"/>
          <w:sz w:val="18"/>
          <w:szCs w:val="18"/>
          <w:vertAlign w:val="superscript"/>
        </w:rPr>
        <w:t>1</w:t>
      </w:r>
      <w:r w:rsidRPr="008857F9">
        <w:rPr>
          <w:snapToGrid w:val="0"/>
          <w:sz w:val="18"/>
          <w:szCs w:val="18"/>
        </w:rPr>
        <w:tab/>
        <w:t>El valor de la unidad para los años 2016 y 2017 es de 45.579 francos suizos, sin variación con respecto a los años 2014 y 2015.</w:t>
      </w:r>
    </w:p>
    <w:p w:rsidR="00236E18" w:rsidRPr="008857F9" w:rsidRDefault="00236E18" w:rsidP="00236E18">
      <w:pPr>
        <w:tabs>
          <w:tab w:val="left" w:pos="284"/>
        </w:tabs>
        <w:ind w:hanging="6"/>
        <w:jc w:val="both"/>
        <w:rPr>
          <w:snapToGrid w:val="0"/>
          <w:sz w:val="18"/>
          <w:szCs w:val="18"/>
        </w:rPr>
      </w:pPr>
    </w:p>
    <w:p w:rsidR="00236E18" w:rsidRPr="008857F9" w:rsidRDefault="00236E18" w:rsidP="00236E18">
      <w:pPr>
        <w:pStyle w:val="BodyTextIndent2"/>
        <w:tabs>
          <w:tab w:val="left" w:pos="0"/>
          <w:tab w:val="left" w:pos="330"/>
        </w:tabs>
        <w:spacing w:after="160"/>
        <w:rPr>
          <w:rFonts w:cs="Arial"/>
          <w:color w:val="auto"/>
          <w:sz w:val="18"/>
          <w:szCs w:val="18"/>
          <w:lang w:val="es-ES"/>
        </w:rPr>
      </w:pPr>
      <w:r w:rsidRPr="008857F9">
        <w:rPr>
          <w:rFonts w:cs="Arial"/>
          <w:color w:val="auto"/>
          <w:sz w:val="18"/>
          <w:szCs w:val="18"/>
          <w:vertAlign w:val="superscript"/>
          <w:lang w:val="es-ES"/>
        </w:rPr>
        <w:t>2</w:t>
      </w:r>
      <w:r w:rsidRPr="008857F9">
        <w:rPr>
          <w:rFonts w:cs="Arial"/>
          <w:color w:val="auto"/>
          <w:sz w:val="18"/>
          <w:szCs w:val="18"/>
          <w:lang w:val="es-ES"/>
        </w:rPr>
        <w:tab/>
        <w:t>Estados miembros de la OMPI que no son miembros de ninguna Unión.</w:t>
      </w:r>
    </w:p>
    <w:p w:rsidR="00236E18" w:rsidRPr="008857F9" w:rsidRDefault="00236E18" w:rsidP="00236E18">
      <w:pPr>
        <w:autoSpaceDE w:val="0"/>
        <w:autoSpaceDN w:val="0"/>
        <w:adjustRightInd w:val="0"/>
        <w:rPr>
          <w:sz w:val="20"/>
        </w:rPr>
      </w:pPr>
    </w:p>
    <w:p w:rsidR="00236E18" w:rsidRDefault="00236E18" w:rsidP="00236E18">
      <w:pPr>
        <w:rPr>
          <w:sz w:val="20"/>
        </w:rPr>
      </w:pPr>
      <w:r>
        <w:rPr>
          <w:sz w:val="20"/>
        </w:rPr>
        <w:br w:type="page"/>
      </w:r>
    </w:p>
    <w:p w:rsidR="00236E18" w:rsidRPr="00820E58" w:rsidRDefault="00236E18" w:rsidP="00236E18">
      <w:pPr>
        <w:pStyle w:val="StyleHeading3ComplexItalic"/>
        <w:keepNext w:val="0"/>
        <w:tabs>
          <w:tab w:val="clear" w:pos="1985"/>
          <w:tab w:val="left" w:pos="0"/>
        </w:tabs>
        <w:rPr>
          <w:caps w:val="0"/>
          <w:lang w:val="es-ES"/>
        </w:rPr>
      </w:pPr>
      <w:bookmarkStart w:id="192" w:name="_Toc431573593"/>
      <w:bookmarkStart w:id="193" w:name="_Toc431573994"/>
      <w:r w:rsidRPr="00820E58">
        <w:rPr>
          <w:caps w:val="0"/>
          <w:lang w:val="es-ES"/>
        </w:rPr>
        <w:lastRenderedPageBreak/>
        <w:t>APÉNDICE B</w:t>
      </w:r>
      <w:bookmarkEnd w:id="192"/>
      <w:r>
        <w:rPr>
          <w:caps w:val="0"/>
          <w:lang w:val="es-ES"/>
        </w:rPr>
        <w:br/>
      </w:r>
      <w:bookmarkStart w:id="194" w:name="_Toc431573594"/>
      <w:r w:rsidRPr="00820E58">
        <w:rPr>
          <w:caps w:val="0"/>
          <w:lang w:val="es-ES"/>
        </w:rPr>
        <w:t>DEFINICIÓN DE LAS</w:t>
      </w:r>
      <w:r>
        <w:rPr>
          <w:caps w:val="0"/>
          <w:lang w:val="es-ES"/>
        </w:rPr>
        <w:t xml:space="preserve"> CATEGORÍAS DE COSTOS</w:t>
      </w:r>
      <w:bookmarkEnd w:id="193"/>
      <w:bookmarkEnd w:id="194"/>
    </w:p>
    <w:p w:rsidR="00236E18" w:rsidRPr="00820E58" w:rsidRDefault="00236E18" w:rsidP="00236E18">
      <w:pPr>
        <w:pStyle w:val="Header"/>
        <w:tabs>
          <w:tab w:val="clear" w:pos="4536"/>
          <w:tab w:val="clear" w:pos="9072"/>
        </w:tabs>
        <w:rPr>
          <w:sz w:val="26"/>
        </w:rPr>
      </w:pPr>
    </w:p>
    <w:p w:rsidR="00236E18" w:rsidRPr="00820E58" w:rsidRDefault="00236E18" w:rsidP="00236E18">
      <w:pPr>
        <w:pStyle w:val="Header"/>
        <w:tabs>
          <w:tab w:val="clear" w:pos="4536"/>
          <w:tab w:val="clear" w:pos="9072"/>
        </w:tabs>
        <w:rPr>
          <w:sz w:val="26"/>
        </w:rPr>
      </w:pPr>
    </w:p>
    <w:p w:rsidR="00236E18" w:rsidRPr="00820E58" w:rsidRDefault="00236E18" w:rsidP="00236E18">
      <w:pPr>
        <w:ind w:right="91"/>
        <w:rPr>
          <w:b/>
          <w:sz w:val="20"/>
        </w:rPr>
      </w:pPr>
      <w:r w:rsidRPr="00820E58">
        <w:rPr>
          <w:b/>
          <w:sz w:val="20"/>
        </w:rPr>
        <w:t>FUENTES DE INGRESOS</w:t>
      </w:r>
    </w:p>
    <w:p w:rsidR="00236E18" w:rsidRPr="00820E58" w:rsidRDefault="00236E18" w:rsidP="00236E18">
      <w:pPr>
        <w:ind w:right="91"/>
        <w:jc w:val="both"/>
        <w:rPr>
          <w:sz w:val="20"/>
        </w:rPr>
      </w:pPr>
    </w:p>
    <w:p w:rsidR="00236E18" w:rsidRPr="00820E58" w:rsidRDefault="00236E18" w:rsidP="00236E18">
      <w:pPr>
        <w:tabs>
          <w:tab w:val="left" w:pos="567"/>
        </w:tabs>
        <w:ind w:left="567" w:right="91"/>
        <w:jc w:val="both"/>
        <w:rPr>
          <w:sz w:val="20"/>
        </w:rPr>
      </w:pPr>
      <w:r w:rsidRPr="00820E58">
        <w:rPr>
          <w:b/>
          <w:i/>
          <w:sz w:val="20"/>
        </w:rPr>
        <w:t>Contribuciones</w:t>
      </w:r>
      <w:proofErr w:type="gramStart"/>
      <w:r w:rsidRPr="00820E58">
        <w:rPr>
          <w:sz w:val="20"/>
        </w:rPr>
        <w:t>:  Contribuciones</w:t>
      </w:r>
      <w:proofErr w:type="gramEnd"/>
      <w:r w:rsidRPr="00820E58">
        <w:rPr>
          <w:sz w:val="20"/>
        </w:rPr>
        <w:t xml:space="preserve"> pagaderas por los Estados miembros a la Organización con arreglo al sistema de contribución única.</w:t>
      </w:r>
    </w:p>
    <w:p w:rsidR="00236E18" w:rsidRPr="00302C4D" w:rsidRDefault="00236E18" w:rsidP="00236E18">
      <w:pPr>
        <w:pStyle w:val="zanxtext"/>
        <w:spacing w:before="0"/>
        <w:ind w:right="91"/>
        <w:jc w:val="both"/>
        <w:rPr>
          <w:rFonts w:ascii="Arial" w:hAnsi="Arial" w:cs="Arial"/>
          <w:sz w:val="20"/>
          <w:lang w:val="es-ES"/>
        </w:rPr>
      </w:pPr>
    </w:p>
    <w:p w:rsidR="00236E18" w:rsidRPr="00302C4D" w:rsidRDefault="00236E18" w:rsidP="00236E18">
      <w:pPr>
        <w:tabs>
          <w:tab w:val="left" w:pos="567"/>
        </w:tabs>
        <w:ind w:left="567" w:right="91"/>
        <w:jc w:val="both"/>
        <w:rPr>
          <w:color w:val="000000"/>
          <w:sz w:val="20"/>
        </w:rPr>
      </w:pPr>
      <w:r w:rsidRPr="00302C4D">
        <w:rPr>
          <w:b/>
          <w:bCs/>
          <w:i/>
          <w:iCs/>
          <w:color w:val="000000"/>
          <w:sz w:val="20"/>
        </w:rPr>
        <w:t>Tasas</w:t>
      </w:r>
      <w:proofErr w:type="gramStart"/>
      <w:r w:rsidRPr="00302C4D">
        <w:rPr>
          <w:color w:val="000000"/>
          <w:sz w:val="20"/>
        </w:rPr>
        <w:t>:  Tasas</w:t>
      </w:r>
      <w:proofErr w:type="gramEnd"/>
      <w:r w:rsidRPr="00302C4D">
        <w:rPr>
          <w:color w:val="000000"/>
          <w:sz w:val="20"/>
        </w:rPr>
        <w:t xml:space="preserve"> pagaderas a la Oficina </w:t>
      </w:r>
      <w:r>
        <w:rPr>
          <w:color w:val="000000"/>
          <w:sz w:val="20"/>
        </w:rPr>
        <w:t>Internac</w:t>
      </w:r>
      <w:r w:rsidRPr="00302C4D">
        <w:rPr>
          <w:color w:val="000000"/>
          <w:sz w:val="20"/>
        </w:rPr>
        <w:t xml:space="preserve">ional </w:t>
      </w:r>
      <w:r>
        <w:rPr>
          <w:color w:val="000000"/>
          <w:sz w:val="20"/>
        </w:rPr>
        <w:t>en virtud de los Sistemas del PCT, Madrid, La Haya y Lisboa</w:t>
      </w:r>
      <w:r w:rsidRPr="00302C4D">
        <w:rPr>
          <w:color w:val="000000"/>
          <w:sz w:val="20"/>
        </w:rPr>
        <w:t>,  net</w:t>
      </w:r>
      <w:r>
        <w:rPr>
          <w:color w:val="000000"/>
          <w:sz w:val="20"/>
        </w:rPr>
        <w:t>as de ajustes por fluctuación cambiaria</w:t>
      </w:r>
      <w:r w:rsidRPr="00302C4D">
        <w:rPr>
          <w:color w:val="000000"/>
          <w:sz w:val="20"/>
        </w:rPr>
        <w:t xml:space="preserve">. </w:t>
      </w:r>
    </w:p>
    <w:p w:rsidR="00236E18" w:rsidRPr="00302C4D" w:rsidRDefault="00236E18" w:rsidP="00236E18">
      <w:pPr>
        <w:pStyle w:val="zanxtext"/>
        <w:spacing w:before="0"/>
        <w:ind w:right="91"/>
        <w:jc w:val="both"/>
        <w:rPr>
          <w:rFonts w:ascii="Arial" w:hAnsi="Arial" w:cs="Arial"/>
          <w:sz w:val="20"/>
          <w:lang w:val="es-ES"/>
        </w:rPr>
      </w:pPr>
    </w:p>
    <w:p w:rsidR="00236E18" w:rsidRPr="00302C4D" w:rsidRDefault="00236E18" w:rsidP="00236E18">
      <w:pPr>
        <w:tabs>
          <w:tab w:val="left" w:pos="567"/>
        </w:tabs>
        <w:ind w:left="567" w:right="91"/>
        <w:jc w:val="both"/>
        <w:rPr>
          <w:b/>
          <w:bCs/>
          <w:i/>
          <w:iCs/>
          <w:color w:val="000000"/>
          <w:sz w:val="20"/>
        </w:rPr>
      </w:pPr>
      <w:r w:rsidRPr="00302C4D">
        <w:rPr>
          <w:b/>
          <w:bCs/>
          <w:i/>
          <w:iCs/>
          <w:color w:val="000000"/>
          <w:sz w:val="20"/>
        </w:rPr>
        <w:t>Arbitra</w:t>
      </w:r>
      <w:r>
        <w:rPr>
          <w:b/>
          <w:bCs/>
          <w:i/>
          <w:iCs/>
          <w:color w:val="000000"/>
          <w:sz w:val="20"/>
        </w:rPr>
        <w:t>je</w:t>
      </w:r>
      <w:proofErr w:type="gramStart"/>
      <w:r w:rsidRPr="00F029DA">
        <w:rPr>
          <w:bCs/>
          <w:iCs/>
          <w:color w:val="000000"/>
          <w:sz w:val="20"/>
        </w:rPr>
        <w:t xml:space="preserve">:  </w:t>
      </w:r>
      <w:r>
        <w:rPr>
          <w:color w:val="000000"/>
          <w:sz w:val="20"/>
        </w:rPr>
        <w:t>Tasas</w:t>
      </w:r>
      <w:proofErr w:type="gramEnd"/>
      <w:r>
        <w:rPr>
          <w:color w:val="000000"/>
          <w:sz w:val="20"/>
        </w:rPr>
        <w:t xml:space="preserve"> pagaderas por el arbitraje en materia de nombres de dominio y por la inscripción a reuniones organizadas por el Centro de Arbitraje y Mediación de la OMPI</w:t>
      </w:r>
      <w:r w:rsidRPr="00302C4D">
        <w:rPr>
          <w:color w:val="000000"/>
          <w:sz w:val="20"/>
        </w:rPr>
        <w:t>, net</w:t>
      </w:r>
      <w:r>
        <w:rPr>
          <w:color w:val="000000"/>
          <w:sz w:val="20"/>
        </w:rPr>
        <w:t>as de ajustes por fluctuación cambiaria.</w:t>
      </w:r>
    </w:p>
    <w:p w:rsidR="00236E18" w:rsidRPr="00302C4D" w:rsidRDefault="00236E18" w:rsidP="00236E18">
      <w:pPr>
        <w:tabs>
          <w:tab w:val="left" w:pos="567"/>
        </w:tabs>
        <w:ind w:right="91"/>
        <w:jc w:val="both"/>
        <w:rPr>
          <w:bCs/>
          <w:iCs/>
          <w:color w:val="000000"/>
          <w:sz w:val="20"/>
        </w:rPr>
      </w:pPr>
    </w:p>
    <w:p w:rsidR="00236E18" w:rsidRPr="00302C4D" w:rsidRDefault="00236E18" w:rsidP="00236E18">
      <w:pPr>
        <w:tabs>
          <w:tab w:val="left" w:pos="567"/>
        </w:tabs>
        <w:ind w:left="567" w:right="91"/>
        <w:jc w:val="both"/>
        <w:rPr>
          <w:color w:val="000000"/>
          <w:sz w:val="20"/>
        </w:rPr>
      </w:pPr>
      <w:r>
        <w:rPr>
          <w:b/>
          <w:bCs/>
          <w:i/>
          <w:iCs/>
          <w:color w:val="000000"/>
          <w:sz w:val="20"/>
        </w:rPr>
        <w:t>Rédito de inversiones</w:t>
      </w:r>
      <w:proofErr w:type="gramStart"/>
      <w:r w:rsidRPr="00302C4D">
        <w:rPr>
          <w:color w:val="000000"/>
          <w:sz w:val="20"/>
        </w:rPr>
        <w:t xml:space="preserve">:  </w:t>
      </w:r>
      <w:r>
        <w:rPr>
          <w:color w:val="000000"/>
          <w:sz w:val="20"/>
        </w:rPr>
        <w:t>Renta</w:t>
      </w:r>
      <w:proofErr w:type="gramEnd"/>
      <w:r>
        <w:rPr>
          <w:color w:val="000000"/>
          <w:sz w:val="20"/>
        </w:rPr>
        <w:t xml:space="preserve"> generada por las inversiones, incluido el interés devengado por los depósitos de capital</w:t>
      </w:r>
      <w:r w:rsidRPr="00302C4D">
        <w:rPr>
          <w:color w:val="000000"/>
          <w:sz w:val="20"/>
        </w:rPr>
        <w:t>.</w:t>
      </w:r>
    </w:p>
    <w:p w:rsidR="00236E18" w:rsidRPr="00302C4D" w:rsidRDefault="00236E18" w:rsidP="00236E18">
      <w:pPr>
        <w:pStyle w:val="zanxtext"/>
        <w:spacing w:before="0"/>
        <w:ind w:right="91"/>
        <w:jc w:val="both"/>
        <w:rPr>
          <w:rFonts w:ascii="Arial" w:hAnsi="Arial" w:cs="Arial"/>
          <w:sz w:val="20"/>
          <w:lang w:val="es-ES"/>
        </w:rPr>
      </w:pPr>
    </w:p>
    <w:p w:rsidR="00236E18" w:rsidRPr="00820E58" w:rsidRDefault="00236E18" w:rsidP="00236E18">
      <w:pPr>
        <w:tabs>
          <w:tab w:val="left" w:pos="567"/>
        </w:tabs>
        <w:ind w:left="567" w:right="91"/>
        <w:jc w:val="both"/>
        <w:rPr>
          <w:sz w:val="20"/>
        </w:rPr>
      </w:pPr>
      <w:r w:rsidRPr="00302C4D">
        <w:rPr>
          <w:b/>
          <w:i/>
          <w:color w:val="000000"/>
          <w:sz w:val="20"/>
        </w:rPr>
        <w:t>Publicaci</w:t>
      </w:r>
      <w:r>
        <w:rPr>
          <w:b/>
          <w:i/>
          <w:color w:val="000000"/>
          <w:sz w:val="20"/>
        </w:rPr>
        <w:t>o</w:t>
      </w:r>
      <w:r w:rsidRPr="00302C4D">
        <w:rPr>
          <w:b/>
          <w:i/>
          <w:color w:val="000000"/>
          <w:sz w:val="20"/>
        </w:rPr>
        <w:t>n</w:t>
      </w:r>
      <w:r>
        <w:rPr>
          <w:b/>
          <w:i/>
          <w:color w:val="000000"/>
          <w:sz w:val="20"/>
        </w:rPr>
        <w:t>es</w:t>
      </w:r>
      <w:proofErr w:type="gramStart"/>
      <w:r w:rsidRPr="00820E58">
        <w:rPr>
          <w:sz w:val="20"/>
        </w:rPr>
        <w:t>:  Ingresos</w:t>
      </w:r>
      <w:proofErr w:type="gramEnd"/>
      <w:r w:rsidRPr="00820E58">
        <w:rPr>
          <w:sz w:val="20"/>
        </w:rPr>
        <w:t xml:space="preserve"> procedentes de la venta de publicaciones y de suscripciones a las publicaciones periódicas de la Secretaría en papel, CD-ROM y otros soportes.</w:t>
      </w:r>
    </w:p>
    <w:p w:rsidR="00236E18" w:rsidRPr="00302C4D" w:rsidRDefault="00236E18" w:rsidP="00236E18">
      <w:pPr>
        <w:pStyle w:val="zanxtext"/>
        <w:spacing w:before="0"/>
        <w:ind w:right="91"/>
        <w:jc w:val="both"/>
        <w:rPr>
          <w:rFonts w:ascii="Arial" w:hAnsi="Arial" w:cs="Arial"/>
          <w:sz w:val="20"/>
          <w:lang w:val="es-ES"/>
        </w:rPr>
      </w:pPr>
    </w:p>
    <w:p w:rsidR="00236E18" w:rsidRPr="00820E58" w:rsidRDefault="00236E18" w:rsidP="00236E18">
      <w:pPr>
        <w:tabs>
          <w:tab w:val="left" w:pos="567"/>
        </w:tabs>
        <w:ind w:left="567" w:right="91"/>
        <w:jc w:val="both"/>
        <w:rPr>
          <w:sz w:val="20"/>
        </w:rPr>
      </w:pPr>
      <w:r w:rsidRPr="00820E58">
        <w:rPr>
          <w:b/>
          <w:i/>
          <w:sz w:val="20"/>
        </w:rPr>
        <w:t>Ingresos diversos</w:t>
      </w:r>
      <w:proofErr w:type="gramStart"/>
      <w:r w:rsidRPr="00820E58">
        <w:rPr>
          <w:sz w:val="20"/>
        </w:rPr>
        <w:t>:  Tasas</w:t>
      </w:r>
      <w:proofErr w:type="gramEnd"/>
      <w:r w:rsidRPr="00820E58">
        <w:rPr>
          <w:sz w:val="20"/>
        </w:rPr>
        <w:t xml:space="preserve"> de inscripción en conferencias y cursos de formación, gastos de apoyo en relación con actividades extrapresupuestarias ejecutadas por la OMPI y financiadas por el PNUD y mediante fondos fiduciarios, ajustes contables (créditos) en relación con años anteriores y ajustes por fluctuación cambiaria, alquiler de locales de la OMPI, pagos de la UPOV a la OMPI por servicios administrativos de apoyo.</w:t>
      </w:r>
    </w:p>
    <w:p w:rsidR="00236E18" w:rsidRPr="00302C4D" w:rsidRDefault="00236E18" w:rsidP="00236E18">
      <w:pPr>
        <w:pStyle w:val="zanxtext"/>
        <w:spacing w:before="0"/>
        <w:ind w:right="91"/>
        <w:jc w:val="both"/>
        <w:rPr>
          <w:rFonts w:ascii="Arial" w:hAnsi="Arial" w:cs="Arial"/>
          <w:sz w:val="20"/>
          <w:lang w:val="es-ES"/>
        </w:rPr>
      </w:pPr>
    </w:p>
    <w:p w:rsidR="00236E18" w:rsidRPr="00302C4D" w:rsidRDefault="00236E18" w:rsidP="00236E18">
      <w:pPr>
        <w:pStyle w:val="zanxtext"/>
        <w:spacing w:before="0"/>
        <w:ind w:right="91"/>
        <w:jc w:val="both"/>
        <w:rPr>
          <w:rFonts w:ascii="Arial" w:hAnsi="Arial" w:cs="Arial"/>
          <w:sz w:val="20"/>
          <w:lang w:val="es-ES"/>
        </w:rPr>
      </w:pPr>
    </w:p>
    <w:p w:rsidR="00236E18" w:rsidRPr="007E335A" w:rsidRDefault="00236E18" w:rsidP="00236E18">
      <w:pPr>
        <w:pStyle w:val="Footer"/>
        <w:ind w:right="91"/>
        <w:jc w:val="both"/>
        <w:rPr>
          <w:b/>
          <w:sz w:val="20"/>
        </w:rPr>
      </w:pPr>
      <w:r w:rsidRPr="007E335A">
        <w:rPr>
          <w:b/>
          <w:sz w:val="20"/>
        </w:rPr>
        <w:t>OBJETOS DE GASTO</w:t>
      </w:r>
    </w:p>
    <w:p w:rsidR="00236E18" w:rsidRPr="007E335A" w:rsidRDefault="00236E18" w:rsidP="00236E18">
      <w:pPr>
        <w:pStyle w:val="zanxtext"/>
        <w:spacing w:before="0"/>
        <w:ind w:right="91"/>
        <w:jc w:val="both"/>
        <w:rPr>
          <w:rFonts w:ascii="Arial" w:hAnsi="Arial" w:cs="Arial"/>
          <w:sz w:val="20"/>
          <w:lang w:val="es-ES"/>
        </w:rPr>
      </w:pPr>
    </w:p>
    <w:p w:rsidR="00236E18" w:rsidRPr="007E335A" w:rsidRDefault="00236E18" w:rsidP="00236E18">
      <w:pPr>
        <w:pStyle w:val="zanxtext"/>
        <w:spacing w:before="0"/>
        <w:ind w:right="91"/>
        <w:jc w:val="both"/>
        <w:rPr>
          <w:rFonts w:ascii="Arial" w:hAnsi="Arial" w:cs="Arial"/>
          <w:bCs/>
          <w:sz w:val="20"/>
          <w:lang w:val="es-ES"/>
        </w:rPr>
      </w:pPr>
      <w:r w:rsidRPr="007E335A">
        <w:rPr>
          <w:rFonts w:ascii="Arial" w:hAnsi="Arial" w:cs="Arial"/>
          <w:bCs/>
          <w:sz w:val="20"/>
          <w:lang w:val="es-ES"/>
        </w:rPr>
        <w:t>RECURSOS DE PERSONAL</w:t>
      </w:r>
    </w:p>
    <w:p w:rsidR="00236E18" w:rsidRPr="007E335A" w:rsidRDefault="00236E18" w:rsidP="00236E18">
      <w:pPr>
        <w:pStyle w:val="zanxtext"/>
        <w:spacing w:before="0"/>
        <w:ind w:right="91"/>
        <w:jc w:val="both"/>
        <w:rPr>
          <w:rFonts w:ascii="Arial" w:hAnsi="Arial" w:cs="Arial"/>
          <w:b/>
          <w:sz w:val="20"/>
          <w:u w:val="single"/>
          <w:lang w:val="es-ES"/>
        </w:rPr>
      </w:pPr>
    </w:p>
    <w:p w:rsidR="00236E18" w:rsidRPr="007E335A" w:rsidRDefault="00236E18" w:rsidP="00236E18">
      <w:pPr>
        <w:tabs>
          <w:tab w:val="left" w:pos="567"/>
        </w:tabs>
        <w:ind w:left="567" w:right="91"/>
        <w:jc w:val="both"/>
        <w:rPr>
          <w:sz w:val="20"/>
        </w:rPr>
      </w:pPr>
      <w:r w:rsidRPr="007E335A">
        <w:rPr>
          <w:b/>
          <w:i/>
          <w:sz w:val="20"/>
        </w:rPr>
        <w:t>Puestos</w:t>
      </w:r>
      <w:r w:rsidRPr="0068265C">
        <w:rPr>
          <w:sz w:val="20"/>
        </w:rPr>
        <w:t>:</w:t>
      </w:r>
      <w:r w:rsidRPr="007E335A">
        <w:rPr>
          <w:sz w:val="20"/>
        </w:rPr>
        <w:t xml:space="preserve">  Remuneración recibida por los miembros del personal, en particular, sueldos, ajuste por lugar de destino, subsidios por personas a cargo, primas de idiomas y horas extraordinarias, subsidios de no residente, primas de asignación y subsidio por gastos de representación.</w:t>
      </w:r>
    </w:p>
    <w:p w:rsidR="00236E18" w:rsidRPr="007E335A" w:rsidRDefault="00236E18" w:rsidP="00236E18">
      <w:pPr>
        <w:tabs>
          <w:tab w:val="left" w:pos="567"/>
        </w:tabs>
        <w:ind w:left="567" w:right="91"/>
        <w:jc w:val="both"/>
        <w:rPr>
          <w:i/>
          <w:sz w:val="20"/>
        </w:rPr>
      </w:pPr>
    </w:p>
    <w:p w:rsidR="00236E18" w:rsidRPr="007E335A" w:rsidRDefault="00236E18" w:rsidP="00236E18">
      <w:pPr>
        <w:tabs>
          <w:tab w:val="left" w:pos="567"/>
        </w:tabs>
        <w:ind w:left="567" w:right="91"/>
        <w:jc w:val="both"/>
        <w:rPr>
          <w:sz w:val="20"/>
        </w:rPr>
      </w:pPr>
      <w:r w:rsidRPr="006B0C94">
        <w:rPr>
          <w:b/>
          <w:i/>
          <w:sz w:val="20"/>
        </w:rPr>
        <w:t>Personal temporal</w:t>
      </w:r>
      <w:proofErr w:type="gramStart"/>
      <w:r w:rsidRPr="007E335A">
        <w:rPr>
          <w:sz w:val="20"/>
        </w:rPr>
        <w:t>:  Remuneración</w:t>
      </w:r>
      <w:proofErr w:type="gramEnd"/>
      <w:r w:rsidRPr="007E335A">
        <w:rPr>
          <w:sz w:val="20"/>
        </w:rPr>
        <w:t xml:space="preserve"> y subsidios pagados a profesionales o empleados de servicios generales con contratos de corta duración.</w:t>
      </w:r>
    </w:p>
    <w:p w:rsidR="00236E18" w:rsidRPr="00302C4D" w:rsidRDefault="00236E18" w:rsidP="00236E18">
      <w:pPr>
        <w:tabs>
          <w:tab w:val="left" w:pos="567"/>
        </w:tabs>
        <w:ind w:right="91"/>
        <w:jc w:val="both"/>
        <w:rPr>
          <w:color w:val="000000"/>
          <w:sz w:val="20"/>
        </w:rPr>
      </w:pPr>
    </w:p>
    <w:p w:rsidR="00236E18" w:rsidRPr="00302C4D" w:rsidRDefault="00236E18" w:rsidP="00236E18">
      <w:pPr>
        <w:tabs>
          <w:tab w:val="left" w:pos="567"/>
        </w:tabs>
        <w:ind w:left="567" w:right="91"/>
        <w:jc w:val="both"/>
        <w:rPr>
          <w:color w:val="000000"/>
          <w:sz w:val="20"/>
        </w:rPr>
      </w:pPr>
      <w:r w:rsidRPr="00302C4D">
        <w:rPr>
          <w:b/>
          <w:bCs/>
          <w:i/>
          <w:iCs/>
          <w:color w:val="000000"/>
          <w:sz w:val="20"/>
        </w:rPr>
        <w:t>Ot</w:t>
      </w:r>
      <w:r>
        <w:rPr>
          <w:b/>
          <w:bCs/>
          <w:i/>
          <w:iCs/>
          <w:color w:val="000000"/>
          <w:sz w:val="20"/>
        </w:rPr>
        <w:t>ros gastos de personal</w:t>
      </w:r>
      <w:proofErr w:type="gramStart"/>
      <w:r w:rsidRPr="00302C4D">
        <w:rPr>
          <w:color w:val="000000"/>
          <w:sz w:val="20"/>
        </w:rPr>
        <w:t xml:space="preserve">: </w:t>
      </w:r>
      <w:r>
        <w:rPr>
          <w:color w:val="000000"/>
          <w:sz w:val="20"/>
        </w:rPr>
        <w:t xml:space="preserve"> Previsión</w:t>
      </w:r>
      <w:proofErr w:type="gramEnd"/>
      <w:r>
        <w:rPr>
          <w:color w:val="000000"/>
          <w:sz w:val="20"/>
        </w:rPr>
        <w:t xml:space="preserve"> para cubrir el seguro de accidentes profesionales</w:t>
      </w:r>
      <w:r w:rsidRPr="00302C4D">
        <w:rPr>
          <w:color w:val="000000"/>
          <w:sz w:val="20"/>
        </w:rPr>
        <w:t>,</w:t>
      </w:r>
      <w:r>
        <w:rPr>
          <w:color w:val="000000"/>
          <w:sz w:val="20"/>
        </w:rPr>
        <w:t xml:space="preserve"> la Caja Cerrada de Pensiones, las costas procesales y el programa de recompensa y reconocimiento</w:t>
      </w:r>
      <w:r w:rsidRPr="00302C4D">
        <w:rPr>
          <w:color w:val="000000"/>
          <w:sz w:val="20"/>
        </w:rPr>
        <w:t xml:space="preserve">. </w:t>
      </w:r>
    </w:p>
    <w:p w:rsidR="00236E18" w:rsidRPr="00302C4D" w:rsidRDefault="00236E18" w:rsidP="00236E18">
      <w:pPr>
        <w:jc w:val="both"/>
        <w:rPr>
          <w:b/>
          <w:bCs/>
          <w:sz w:val="20"/>
        </w:rPr>
      </w:pPr>
    </w:p>
    <w:p w:rsidR="00236E18" w:rsidRPr="00302C4D" w:rsidRDefault="00236E18" w:rsidP="00236E18">
      <w:pPr>
        <w:jc w:val="both"/>
        <w:rPr>
          <w:sz w:val="20"/>
        </w:rPr>
      </w:pPr>
    </w:p>
    <w:p w:rsidR="00236E18" w:rsidRPr="003E75F4" w:rsidRDefault="00236E18" w:rsidP="00236E18">
      <w:pPr>
        <w:jc w:val="both"/>
        <w:rPr>
          <w:sz w:val="20"/>
        </w:rPr>
      </w:pPr>
      <w:r w:rsidRPr="003E75F4">
        <w:rPr>
          <w:sz w:val="20"/>
        </w:rPr>
        <w:t xml:space="preserve">RECURSOS NO </w:t>
      </w:r>
      <w:r>
        <w:rPr>
          <w:sz w:val="20"/>
        </w:rPr>
        <w:t>RELATIVOS</w:t>
      </w:r>
      <w:r w:rsidRPr="003E75F4">
        <w:rPr>
          <w:sz w:val="20"/>
        </w:rPr>
        <w:t xml:space="preserve"> A PERSONAL</w:t>
      </w:r>
    </w:p>
    <w:p w:rsidR="00236E18" w:rsidRPr="003E75F4" w:rsidRDefault="00236E18" w:rsidP="00236E18">
      <w:pPr>
        <w:jc w:val="both"/>
        <w:rPr>
          <w:sz w:val="20"/>
        </w:rPr>
      </w:pPr>
    </w:p>
    <w:p w:rsidR="00236E18" w:rsidRPr="003E75F4" w:rsidRDefault="00236E18" w:rsidP="00236E18">
      <w:pPr>
        <w:jc w:val="both"/>
        <w:rPr>
          <w:b/>
          <w:bCs/>
          <w:sz w:val="20"/>
        </w:rPr>
      </w:pPr>
      <w:r w:rsidRPr="003E75F4">
        <w:rPr>
          <w:b/>
          <w:bCs/>
          <w:sz w:val="20"/>
        </w:rPr>
        <w:t>Pasantías y becas de la OMPI</w:t>
      </w:r>
    </w:p>
    <w:p w:rsidR="00236E18" w:rsidRPr="003E75F4" w:rsidRDefault="00236E18" w:rsidP="00236E18">
      <w:pPr>
        <w:jc w:val="both"/>
        <w:rPr>
          <w:sz w:val="20"/>
        </w:rPr>
      </w:pPr>
    </w:p>
    <w:p w:rsidR="00236E18" w:rsidRPr="003E75F4" w:rsidRDefault="00236E18" w:rsidP="00236E18">
      <w:pPr>
        <w:numPr>
          <w:ilvl w:val="0"/>
          <w:numId w:val="72"/>
        </w:numPr>
        <w:tabs>
          <w:tab w:val="clear" w:pos="1287"/>
          <w:tab w:val="num" w:pos="567"/>
        </w:tabs>
        <w:ind w:left="567" w:hanging="283"/>
        <w:jc w:val="both"/>
        <w:rPr>
          <w:sz w:val="20"/>
        </w:rPr>
      </w:pPr>
      <w:r w:rsidRPr="003E75F4">
        <w:rPr>
          <w:b/>
          <w:i/>
          <w:sz w:val="20"/>
        </w:rPr>
        <w:t>Pasantías</w:t>
      </w:r>
      <w:proofErr w:type="gramStart"/>
      <w:r w:rsidRPr="003E75F4">
        <w:rPr>
          <w:sz w:val="20"/>
        </w:rPr>
        <w:t>:  Remuneración</w:t>
      </w:r>
      <w:proofErr w:type="gramEnd"/>
      <w:r w:rsidRPr="003E75F4">
        <w:rPr>
          <w:sz w:val="20"/>
        </w:rPr>
        <w:t xml:space="preserve"> y subsidios pagados a los pasantes. </w:t>
      </w:r>
    </w:p>
    <w:p w:rsidR="00236E18" w:rsidRPr="003E75F4" w:rsidRDefault="00236E18" w:rsidP="00236E18">
      <w:pPr>
        <w:ind w:left="567"/>
        <w:jc w:val="both"/>
        <w:rPr>
          <w:sz w:val="20"/>
        </w:rPr>
      </w:pPr>
    </w:p>
    <w:p w:rsidR="00236E18" w:rsidRPr="003E75F4" w:rsidRDefault="00236E18" w:rsidP="00236E18">
      <w:pPr>
        <w:numPr>
          <w:ilvl w:val="0"/>
          <w:numId w:val="72"/>
        </w:numPr>
        <w:tabs>
          <w:tab w:val="clear" w:pos="1287"/>
          <w:tab w:val="num" w:pos="567"/>
        </w:tabs>
        <w:ind w:left="567" w:hanging="283"/>
        <w:jc w:val="both"/>
        <w:rPr>
          <w:sz w:val="20"/>
        </w:rPr>
      </w:pPr>
      <w:r w:rsidRPr="003E75F4">
        <w:rPr>
          <w:b/>
          <w:i/>
          <w:sz w:val="20"/>
        </w:rPr>
        <w:t>Becas de la OMPI</w:t>
      </w:r>
      <w:r w:rsidRPr="003E75F4">
        <w:rPr>
          <w:i/>
          <w:sz w:val="20"/>
        </w:rPr>
        <w:t>:</w:t>
      </w:r>
      <w:r w:rsidRPr="003E75F4">
        <w:rPr>
          <w:sz w:val="20"/>
        </w:rPr>
        <w:t xml:space="preserve">  Gastos relacionados con una actividad de formación para la cual se concede una beca monetaria a personas cualificadas </w:t>
      </w:r>
      <w:r>
        <w:rPr>
          <w:sz w:val="20"/>
        </w:rPr>
        <w:t>a fin de</w:t>
      </w:r>
      <w:r w:rsidRPr="003E75F4">
        <w:rPr>
          <w:sz w:val="20"/>
        </w:rPr>
        <w:t xml:space="preserve"> que puedan cumplir objetivos especiales de aprendizaje. </w:t>
      </w:r>
    </w:p>
    <w:p w:rsidR="00236E18" w:rsidRPr="003E75F4" w:rsidRDefault="00236E18" w:rsidP="00236E18">
      <w:pPr>
        <w:rPr>
          <w:b/>
          <w:bCs/>
          <w:sz w:val="20"/>
        </w:rPr>
      </w:pPr>
    </w:p>
    <w:p w:rsidR="00236E18" w:rsidRPr="00302C4D" w:rsidRDefault="00236E18" w:rsidP="00236E18">
      <w:pPr>
        <w:rPr>
          <w:b/>
          <w:bCs/>
          <w:sz w:val="20"/>
        </w:rPr>
      </w:pPr>
      <w:r>
        <w:rPr>
          <w:b/>
          <w:bCs/>
          <w:sz w:val="20"/>
        </w:rPr>
        <w:t>Viajes, formación y subvenciones conexas</w:t>
      </w:r>
    </w:p>
    <w:p w:rsidR="00236E18" w:rsidRPr="00BD2E93" w:rsidRDefault="00236E18" w:rsidP="00236E18">
      <w:pPr>
        <w:rPr>
          <w:sz w:val="20"/>
        </w:rPr>
      </w:pPr>
    </w:p>
    <w:p w:rsidR="00236E18" w:rsidRPr="00BD2E93" w:rsidRDefault="00236E18" w:rsidP="00236E18">
      <w:pPr>
        <w:numPr>
          <w:ilvl w:val="0"/>
          <w:numId w:val="73"/>
        </w:numPr>
        <w:tabs>
          <w:tab w:val="clear" w:pos="1120"/>
          <w:tab w:val="num" w:pos="567"/>
        </w:tabs>
        <w:ind w:left="567" w:hanging="283"/>
        <w:jc w:val="both"/>
        <w:rPr>
          <w:sz w:val="20"/>
        </w:rPr>
      </w:pPr>
      <w:r w:rsidRPr="00BD2E93">
        <w:rPr>
          <w:b/>
          <w:i/>
          <w:sz w:val="20"/>
        </w:rPr>
        <w:t>Misiones del personal</w:t>
      </w:r>
      <w:proofErr w:type="gramStart"/>
      <w:r w:rsidRPr="00BD2E93">
        <w:rPr>
          <w:sz w:val="20"/>
        </w:rPr>
        <w:t>:  Gastos</w:t>
      </w:r>
      <w:proofErr w:type="gramEnd"/>
      <w:r w:rsidRPr="00BD2E93">
        <w:rPr>
          <w:sz w:val="20"/>
        </w:rPr>
        <w:t xml:space="preserve"> de viaje y dietas para el personal que efectúe viajes oficiales.</w:t>
      </w:r>
    </w:p>
    <w:p w:rsidR="00236E18" w:rsidRPr="00BD2E93" w:rsidRDefault="00236E18" w:rsidP="00236E18">
      <w:pPr>
        <w:tabs>
          <w:tab w:val="num" w:pos="567"/>
        </w:tabs>
        <w:ind w:left="567" w:hanging="283"/>
        <w:jc w:val="both"/>
        <w:rPr>
          <w:sz w:val="20"/>
        </w:rPr>
      </w:pPr>
    </w:p>
    <w:p w:rsidR="00236E18" w:rsidRPr="00BD2E93" w:rsidRDefault="00236E18" w:rsidP="00236E18">
      <w:pPr>
        <w:numPr>
          <w:ilvl w:val="0"/>
          <w:numId w:val="73"/>
        </w:numPr>
        <w:tabs>
          <w:tab w:val="clear" w:pos="1120"/>
          <w:tab w:val="num" w:pos="567"/>
        </w:tabs>
        <w:ind w:left="567" w:hanging="283"/>
        <w:jc w:val="both"/>
        <w:rPr>
          <w:sz w:val="20"/>
        </w:rPr>
      </w:pPr>
      <w:r w:rsidRPr="00BD2E93">
        <w:rPr>
          <w:b/>
          <w:i/>
          <w:sz w:val="20"/>
        </w:rPr>
        <w:lastRenderedPageBreak/>
        <w:t>Viajes de terceros</w:t>
      </w:r>
      <w:proofErr w:type="gramStart"/>
      <w:r w:rsidRPr="00BD2E93">
        <w:rPr>
          <w:sz w:val="20"/>
        </w:rPr>
        <w:t>:  Gastos</w:t>
      </w:r>
      <w:proofErr w:type="gramEnd"/>
      <w:r w:rsidRPr="00BD2E93">
        <w:rPr>
          <w:sz w:val="20"/>
        </w:rPr>
        <w:t xml:space="preserve"> de viaje y dietas para terceros, incluidos los gastos de viaje de funcionarios gubernamentales, participantes y conferenciantes que asistan a reuniones financiadas por la OMPI.</w:t>
      </w:r>
    </w:p>
    <w:p w:rsidR="00236E18" w:rsidRPr="00BD2E93" w:rsidRDefault="00236E18" w:rsidP="00236E18">
      <w:pPr>
        <w:tabs>
          <w:tab w:val="num" w:pos="567"/>
        </w:tabs>
        <w:ind w:left="567" w:hanging="283"/>
        <w:jc w:val="both"/>
        <w:rPr>
          <w:sz w:val="20"/>
        </w:rPr>
      </w:pPr>
    </w:p>
    <w:p w:rsidR="00236E18" w:rsidRPr="00302C4D" w:rsidRDefault="00236E18" w:rsidP="00236E18">
      <w:pPr>
        <w:numPr>
          <w:ilvl w:val="0"/>
          <w:numId w:val="73"/>
        </w:numPr>
        <w:tabs>
          <w:tab w:val="clear" w:pos="1120"/>
          <w:tab w:val="num" w:pos="567"/>
        </w:tabs>
        <w:ind w:left="567" w:hanging="283"/>
        <w:jc w:val="both"/>
        <w:rPr>
          <w:color w:val="000000"/>
          <w:sz w:val="20"/>
        </w:rPr>
      </w:pPr>
      <w:r>
        <w:rPr>
          <w:b/>
          <w:bCs/>
          <w:i/>
          <w:iCs/>
          <w:color w:val="000000"/>
          <w:sz w:val="20"/>
        </w:rPr>
        <w:t>Subvenciones para formación y viajes conexos</w:t>
      </w:r>
      <w:proofErr w:type="gramStart"/>
      <w:r w:rsidRPr="00302C4D">
        <w:rPr>
          <w:color w:val="000000"/>
          <w:sz w:val="20"/>
        </w:rPr>
        <w:t xml:space="preserve">: </w:t>
      </w:r>
      <w:r>
        <w:rPr>
          <w:color w:val="000000"/>
          <w:sz w:val="20"/>
        </w:rPr>
        <w:t xml:space="preserve"> Gastos</w:t>
      </w:r>
      <w:proofErr w:type="gramEnd"/>
      <w:r>
        <w:rPr>
          <w:color w:val="000000"/>
          <w:sz w:val="20"/>
        </w:rPr>
        <w:t xml:space="preserve"> de viaje, dietas, formación y otros gastos de personas en formación inscritas en cursos, seminarios y becas.</w:t>
      </w:r>
      <w:r w:rsidRPr="00302C4D">
        <w:rPr>
          <w:color w:val="000000"/>
          <w:sz w:val="20"/>
        </w:rPr>
        <w:t xml:space="preserve"> </w:t>
      </w:r>
    </w:p>
    <w:p w:rsidR="00236E18" w:rsidRPr="00302C4D" w:rsidRDefault="00236E18" w:rsidP="00236E18">
      <w:pPr>
        <w:tabs>
          <w:tab w:val="num" w:pos="567"/>
        </w:tabs>
        <w:ind w:left="567" w:hanging="283"/>
        <w:jc w:val="both"/>
        <w:rPr>
          <w:sz w:val="20"/>
        </w:rPr>
      </w:pPr>
    </w:p>
    <w:p w:rsidR="00236E18" w:rsidRPr="00BD2E93" w:rsidRDefault="00236E18" w:rsidP="00236E18">
      <w:pPr>
        <w:rPr>
          <w:b/>
          <w:bCs/>
          <w:sz w:val="20"/>
        </w:rPr>
      </w:pPr>
    </w:p>
    <w:p w:rsidR="00236E18" w:rsidRPr="00BD2E93" w:rsidRDefault="00236E18" w:rsidP="00236E18">
      <w:pPr>
        <w:rPr>
          <w:b/>
          <w:bCs/>
          <w:sz w:val="20"/>
        </w:rPr>
      </w:pPr>
      <w:r w:rsidRPr="00BD2E93">
        <w:rPr>
          <w:b/>
          <w:bCs/>
          <w:sz w:val="20"/>
        </w:rPr>
        <w:t>Servicios contractuales</w:t>
      </w:r>
    </w:p>
    <w:p w:rsidR="00236E18" w:rsidRPr="00BD2E93" w:rsidRDefault="00236E18" w:rsidP="00236E18">
      <w:pPr>
        <w:rPr>
          <w:sz w:val="20"/>
        </w:rPr>
      </w:pPr>
    </w:p>
    <w:p w:rsidR="00236E18" w:rsidRPr="00BD2E93" w:rsidRDefault="00236E18" w:rsidP="00236E18">
      <w:pPr>
        <w:numPr>
          <w:ilvl w:val="0"/>
          <w:numId w:val="73"/>
        </w:numPr>
        <w:tabs>
          <w:tab w:val="clear" w:pos="1120"/>
          <w:tab w:val="num" w:pos="567"/>
        </w:tabs>
        <w:ind w:left="567" w:hanging="283"/>
        <w:jc w:val="both"/>
        <w:rPr>
          <w:sz w:val="20"/>
        </w:rPr>
      </w:pPr>
      <w:r w:rsidRPr="00BD2E93">
        <w:rPr>
          <w:b/>
          <w:i/>
          <w:sz w:val="20"/>
        </w:rPr>
        <w:t>Conferencias</w:t>
      </w:r>
      <w:proofErr w:type="gramStart"/>
      <w:r w:rsidRPr="00BD2E93">
        <w:rPr>
          <w:sz w:val="20"/>
        </w:rPr>
        <w:t>:  Remuneración</w:t>
      </w:r>
      <w:proofErr w:type="gramEnd"/>
      <w:r w:rsidRPr="00BD2E93">
        <w:rPr>
          <w:sz w:val="20"/>
        </w:rPr>
        <w:t xml:space="preserve">, gastos de viaje y dietas para intérpretes;  alquiler de locales para conferencias y de equipo para la interpretación;  refrigerios y recepciones;  y costos por servicios directamente relacionados con la organización de conferencias. </w:t>
      </w:r>
    </w:p>
    <w:p w:rsidR="00236E18" w:rsidRPr="00BD2E93" w:rsidRDefault="00236E18" w:rsidP="00236E18">
      <w:pPr>
        <w:ind w:left="568" w:hanging="284"/>
        <w:rPr>
          <w:sz w:val="20"/>
        </w:rPr>
      </w:pPr>
    </w:p>
    <w:p w:rsidR="00236E18" w:rsidRPr="00374BD8" w:rsidRDefault="00236E18" w:rsidP="00236E18">
      <w:pPr>
        <w:numPr>
          <w:ilvl w:val="0"/>
          <w:numId w:val="73"/>
        </w:numPr>
        <w:tabs>
          <w:tab w:val="clear" w:pos="1120"/>
        </w:tabs>
        <w:ind w:left="567" w:hanging="283"/>
        <w:jc w:val="both"/>
        <w:rPr>
          <w:sz w:val="20"/>
        </w:rPr>
      </w:pPr>
      <w:r w:rsidRPr="00374BD8">
        <w:rPr>
          <w:b/>
          <w:i/>
          <w:sz w:val="20"/>
        </w:rPr>
        <w:t>Publicaciones</w:t>
      </w:r>
      <w:r w:rsidRPr="00374BD8">
        <w:rPr>
          <w:sz w:val="20"/>
        </w:rPr>
        <w:t>:  Impresión y encuadernación externas;  revistas;  papel e impresión;  otro material impreso:  impresión de artículos publicados en revistas;  folletos;  tratados;  colecciones de textos;  manuales;  formularios de trabajo y otro material impreso;  producción de CD–ROM, vídeos, cintas magnéticas y otras formas de publicación electrónica.</w:t>
      </w:r>
    </w:p>
    <w:p w:rsidR="00236E18" w:rsidRPr="00374BD8" w:rsidRDefault="00236E18" w:rsidP="00236E18">
      <w:pPr>
        <w:ind w:left="567" w:firstLineChars="200" w:firstLine="400"/>
        <w:jc w:val="both"/>
        <w:rPr>
          <w:sz w:val="20"/>
        </w:rPr>
      </w:pPr>
    </w:p>
    <w:p w:rsidR="00236E18" w:rsidRPr="00374BD8" w:rsidRDefault="00236E18" w:rsidP="00236E18">
      <w:pPr>
        <w:numPr>
          <w:ilvl w:val="0"/>
          <w:numId w:val="73"/>
        </w:numPr>
        <w:tabs>
          <w:tab w:val="clear" w:pos="1120"/>
        </w:tabs>
        <w:ind w:left="567" w:hanging="283"/>
        <w:jc w:val="both"/>
        <w:rPr>
          <w:sz w:val="20"/>
        </w:rPr>
      </w:pPr>
      <w:r w:rsidRPr="00374BD8">
        <w:rPr>
          <w:b/>
          <w:i/>
          <w:sz w:val="20"/>
        </w:rPr>
        <w:t>Servicios contractuales individuales</w:t>
      </w:r>
      <w:proofErr w:type="gramStart"/>
      <w:r w:rsidRPr="00374BD8">
        <w:rPr>
          <w:sz w:val="20"/>
        </w:rPr>
        <w:t>:  Se</w:t>
      </w:r>
      <w:proofErr w:type="gramEnd"/>
      <w:r w:rsidRPr="00374BD8">
        <w:rPr>
          <w:sz w:val="20"/>
        </w:rPr>
        <w:t xml:space="preserve"> refiere a la remuneración pagada en concepto de servicios </w:t>
      </w:r>
      <w:r>
        <w:rPr>
          <w:sz w:val="20"/>
        </w:rPr>
        <w:t>prestados por individuos bajo contrato</w:t>
      </w:r>
      <w:r w:rsidRPr="00374BD8">
        <w:rPr>
          <w:sz w:val="20"/>
        </w:rPr>
        <w:t xml:space="preserve">.  </w:t>
      </w:r>
    </w:p>
    <w:p w:rsidR="00236E18" w:rsidRPr="00302C4D" w:rsidRDefault="00236E18" w:rsidP="00236E18">
      <w:pPr>
        <w:ind w:left="567" w:hanging="283"/>
        <w:jc w:val="both"/>
        <w:rPr>
          <w:color w:val="808080"/>
          <w:sz w:val="20"/>
        </w:rPr>
      </w:pPr>
    </w:p>
    <w:p w:rsidR="00236E18" w:rsidRPr="00457943" w:rsidRDefault="00236E18" w:rsidP="00236E18">
      <w:pPr>
        <w:numPr>
          <w:ilvl w:val="0"/>
          <w:numId w:val="73"/>
        </w:numPr>
        <w:tabs>
          <w:tab w:val="clear" w:pos="1120"/>
        </w:tabs>
        <w:ind w:left="567" w:hanging="283"/>
        <w:jc w:val="both"/>
        <w:rPr>
          <w:sz w:val="20"/>
        </w:rPr>
      </w:pPr>
      <w:r w:rsidRPr="00457943">
        <w:rPr>
          <w:b/>
          <w:i/>
          <w:sz w:val="20"/>
        </w:rPr>
        <w:t>Otros servicios contractuales</w:t>
      </w:r>
      <w:proofErr w:type="gramStart"/>
      <w:r w:rsidRPr="00457943">
        <w:rPr>
          <w:b/>
          <w:i/>
          <w:sz w:val="20"/>
        </w:rPr>
        <w:t xml:space="preserve">:  </w:t>
      </w:r>
      <w:r w:rsidRPr="00457943">
        <w:rPr>
          <w:sz w:val="20"/>
        </w:rPr>
        <w:t>Engloba</w:t>
      </w:r>
      <w:proofErr w:type="gramEnd"/>
      <w:r w:rsidRPr="00457943">
        <w:rPr>
          <w:sz w:val="20"/>
        </w:rPr>
        <w:t xml:space="preserve"> los servicios contractuales restantes prestados por prestadores comerciales y no comerciales.</w:t>
      </w:r>
    </w:p>
    <w:p w:rsidR="00236E18" w:rsidRPr="00302C4D" w:rsidRDefault="00236E18" w:rsidP="00236E18">
      <w:pPr>
        <w:jc w:val="both"/>
        <w:rPr>
          <w:sz w:val="20"/>
        </w:rPr>
      </w:pPr>
    </w:p>
    <w:p w:rsidR="00236E18" w:rsidRPr="00302C4D" w:rsidRDefault="00236E18" w:rsidP="00236E18">
      <w:pPr>
        <w:jc w:val="both"/>
        <w:rPr>
          <w:sz w:val="20"/>
        </w:rPr>
      </w:pPr>
    </w:p>
    <w:p w:rsidR="00236E18" w:rsidRPr="00302C4D" w:rsidRDefault="00236E18" w:rsidP="00236E18">
      <w:pPr>
        <w:jc w:val="both"/>
        <w:rPr>
          <w:b/>
          <w:sz w:val="20"/>
        </w:rPr>
      </w:pPr>
      <w:r>
        <w:rPr>
          <w:b/>
          <w:bCs/>
          <w:iCs/>
          <w:sz w:val="20"/>
        </w:rPr>
        <w:t>Costos financieros</w:t>
      </w:r>
      <w:r w:rsidRPr="00302C4D">
        <w:rPr>
          <w:b/>
          <w:sz w:val="20"/>
        </w:rPr>
        <w:t xml:space="preserve"> </w:t>
      </w:r>
    </w:p>
    <w:p w:rsidR="00236E18" w:rsidRPr="00302C4D" w:rsidRDefault="00236E18" w:rsidP="00236E18">
      <w:pPr>
        <w:jc w:val="both"/>
        <w:rPr>
          <w:b/>
          <w:sz w:val="20"/>
        </w:rPr>
      </w:pPr>
    </w:p>
    <w:p w:rsidR="00236E18" w:rsidRPr="00302C4D" w:rsidRDefault="00236E18" w:rsidP="00236E18">
      <w:pPr>
        <w:pStyle w:val="ListParagraph"/>
        <w:numPr>
          <w:ilvl w:val="0"/>
          <w:numId w:val="76"/>
        </w:numPr>
        <w:spacing w:after="200" w:line="276" w:lineRule="auto"/>
        <w:jc w:val="both"/>
        <w:rPr>
          <w:rFonts w:ascii="Arial" w:hAnsi="Arial" w:cs="Arial"/>
          <w:b/>
          <w:bCs/>
          <w:sz w:val="20"/>
          <w:lang w:val="es-ES"/>
        </w:rPr>
      </w:pPr>
      <w:r>
        <w:rPr>
          <w:rFonts w:ascii="Arial" w:hAnsi="Arial" w:cs="Arial"/>
          <w:b/>
          <w:i/>
          <w:sz w:val="20"/>
          <w:lang w:val="es-ES"/>
        </w:rPr>
        <w:t>Costos financieros</w:t>
      </w:r>
      <w:proofErr w:type="gramStart"/>
      <w:r w:rsidRPr="0068265C">
        <w:rPr>
          <w:rFonts w:ascii="Arial" w:hAnsi="Arial" w:cs="Arial"/>
          <w:sz w:val="20"/>
          <w:lang w:val="es-ES"/>
        </w:rPr>
        <w:t>:</w:t>
      </w:r>
      <w:r w:rsidRPr="00302C4D">
        <w:rPr>
          <w:rFonts w:ascii="Arial" w:hAnsi="Arial" w:cs="Arial"/>
          <w:sz w:val="20"/>
          <w:lang w:val="es-ES"/>
        </w:rPr>
        <w:t xml:space="preserve"> </w:t>
      </w:r>
      <w:r>
        <w:rPr>
          <w:rFonts w:ascii="Arial" w:hAnsi="Arial" w:cs="Arial"/>
          <w:sz w:val="20"/>
          <w:lang w:val="es-ES"/>
        </w:rPr>
        <w:t xml:space="preserve"> </w:t>
      </w:r>
      <w:r w:rsidRPr="00302C4D">
        <w:rPr>
          <w:rFonts w:ascii="Arial" w:hAnsi="Arial" w:cs="Arial"/>
          <w:sz w:val="20"/>
          <w:lang w:val="es-ES"/>
        </w:rPr>
        <w:t>Inter</w:t>
      </w:r>
      <w:r>
        <w:rPr>
          <w:rFonts w:ascii="Arial" w:hAnsi="Arial" w:cs="Arial"/>
          <w:sz w:val="20"/>
          <w:lang w:val="es-ES"/>
        </w:rPr>
        <w:t>eses</w:t>
      </w:r>
      <w:proofErr w:type="gramEnd"/>
      <w:r>
        <w:rPr>
          <w:rFonts w:ascii="Arial" w:hAnsi="Arial" w:cs="Arial"/>
          <w:sz w:val="20"/>
          <w:lang w:val="es-ES"/>
        </w:rPr>
        <w:t xml:space="preserve"> pagaderos por empréstitos;  cargos bancarios</w:t>
      </w:r>
      <w:r w:rsidRPr="00302C4D">
        <w:rPr>
          <w:rFonts w:ascii="Arial" w:hAnsi="Arial" w:cs="Arial"/>
          <w:sz w:val="20"/>
          <w:lang w:val="es-ES"/>
        </w:rPr>
        <w:t>.</w:t>
      </w:r>
    </w:p>
    <w:p w:rsidR="00236E18" w:rsidRPr="00302C4D" w:rsidRDefault="00236E18" w:rsidP="00236E18">
      <w:pPr>
        <w:jc w:val="both"/>
        <w:rPr>
          <w:b/>
          <w:bCs/>
          <w:sz w:val="20"/>
        </w:rPr>
      </w:pPr>
    </w:p>
    <w:p w:rsidR="00236E18" w:rsidRPr="00F029DA" w:rsidRDefault="00236E18" w:rsidP="00236E18">
      <w:pPr>
        <w:jc w:val="both"/>
        <w:rPr>
          <w:b/>
          <w:bCs/>
          <w:sz w:val="20"/>
        </w:rPr>
      </w:pPr>
      <w:r w:rsidRPr="00F029DA">
        <w:rPr>
          <w:b/>
          <w:bCs/>
          <w:sz w:val="20"/>
        </w:rPr>
        <w:t>Gastos de operación</w:t>
      </w:r>
    </w:p>
    <w:p w:rsidR="00236E18" w:rsidRPr="00F029DA" w:rsidRDefault="00236E18" w:rsidP="00236E18">
      <w:pPr>
        <w:jc w:val="both"/>
        <w:rPr>
          <w:sz w:val="20"/>
        </w:rPr>
      </w:pPr>
    </w:p>
    <w:p w:rsidR="00236E18" w:rsidRPr="00302C4D" w:rsidRDefault="00236E18" w:rsidP="00236E18">
      <w:pPr>
        <w:numPr>
          <w:ilvl w:val="0"/>
          <w:numId w:val="74"/>
        </w:numPr>
        <w:tabs>
          <w:tab w:val="clear" w:pos="1160"/>
          <w:tab w:val="num" w:pos="567"/>
        </w:tabs>
        <w:ind w:left="567" w:hanging="283"/>
        <w:jc w:val="both"/>
        <w:rPr>
          <w:color w:val="000000"/>
          <w:sz w:val="20"/>
        </w:rPr>
      </w:pPr>
      <w:r>
        <w:rPr>
          <w:b/>
          <w:bCs/>
          <w:i/>
          <w:iCs/>
          <w:color w:val="000000"/>
          <w:sz w:val="20"/>
        </w:rPr>
        <w:t>Locales y mantenimiento</w:t>
      </w:r>
      <w:proofErr w:type="gramStart"/>
      <w:r w:rsidRPr="00302C4D">
        <w:rPr>
          <w:color w:val="000000"/>
          <w:sz w:val="20"/>
        </w:rPr>
        <w:t xml:space="preserve">: </w:t>
      </w:r>
      <w:r>
        <w:rPr>
          <w:color w:val="000000"/>
          <w:sz w:val="20"/>
        </w:rPr>
        <w:t xml:space="preserve"> </w:t>
      </w:r>
      <w:r w:rsidRPr="00183CE4">
        <w:rPr>
          <w:color w:val="000000"/>
          <w:sz w:val="20"/>
        </w:rPr>
        <w:t>Adquisición</w:t>
      </w:r>
      <w:proofErr w:type="gramEnd"/>
      <w:r w:rsidRPr="00183CE4">
        <w:rPr>
          <w:color w:val="000000"/>
          <w:sz w:val="20"/>
        </w:rPr>
        <w:t>, alquiler, mejora y mantenimiento del espacio de oficinas y alquiler o mantenimiento de equipo</w:t>
      </w:r>
      <w:r>
        <w:rPr>
          <w:color w:val="000000"/>
          <w:sz w:val="20"/>
        </w:rPr>
        <w:t xml:space="preserve">s y </w:t>
      </w:r>
      <w:r w:rsidRPr="00183CE4">
        <w:rPr>
          <w:color w:val="000000"/>
          <w:sz w:val="20"/>
        </w:rPr>
        <w:t>mobiliario; consultores externos contratados para la gestión de las obras del nuevo edificio</w:t>
      </w:r>
      <w:r w:rsidRPr="00302C4D">
        <w:rPr>
          <w:color w:val="000000"/>
          <w:sz w:val="20"/>
        </w:rPr>
        <w:t>.</w:t>
      </w:r>
    </w:p>
    <w:p w:rsidR="00236E18" w:rsidRPr="00302C4D" w:rsidRDefault="00236E18" w:rsidP="00236E18">
      <w:pPr>
        <w:tabs>
          <w:tab w:val="num" w:pos="567"/>
        </w:tabs>
        <w:ind w:left="567" w:hanging="283"/>
        <w:jc w:val="both"/>
        <w:rPr>
          <w:sz w:val="20"/>
        </w:rPr>
      </w:pPr>
    </w:p>
    <w:p w:rsidR="00236E18" w:rsidRPr="00183CE4" w:rsidRDefault="00236E18" w:rsidP="00236E18">
      <w:pPr>
        <w:numPr>
          <w:ilvl w:val="0"/>
          <w:numId w:val="74"/>
        </w:numPr>
        <w:tabs>
          <w:tab w:val="clear" w:pos="1160"/>
          <w:tab w:val="num" w:pos="567"/>
        </w:tabs>
        <w:ind w:left="567" w:hanging="283"/>
        <w:jc w:val="both"/>
        <w:rPr>
          <w:sz w:val="20"/>
        </w:rPr>
      </w:pPr>
      <w:r w:rsidRPr="00183CE4">
        <w:rPr>
          <w:b/>
          <w:i/>
          <w:sz w:val="20"/>
        </w:rPr>
        <w:t>Comunicación</w:t>
      </w:r>
      <w:proofErr w:type="gramStart"/>
      <w:r w:rsidRPr="00183CE4">
        <w:rPr>
          <w:sz w:val="20"/>
        </w:rPr>
        <w:t>:  Gastos</w:t>
      </w:r>
      <w:proofErr w:type="gramEnd"/>
      <w:r w:rsidRPr="00183CE4">
        <w:rPr>
          <w:sz w:val="20"/>
        </w:rPr>
        <w:t xml:space="preserve"> de comunicación como los gastos de teléfono, Internet, fax y correo, franqueo y transporte de documentos. </w:t>
      </w:r>
    </w:p>
    <w:p w:rsidR="00236E18" w:rsidRPr="00183CE4" w:rsidRDefault="00236E18" w:rsidP="00236E18">
      <w:pPr>
        <w:tabs>
          <w:tab w:val="num" w:pos="567"/>
        </w:tabs>
        <w:jc w:val="both"/>
        <w:rPr>
          <w:sz w:val="20"/>
        </w:rPr>
      </w:pPr>
    </w:p>
    <w:p w:rsidR="00236E18" w:rsidRPr="00302C4D" w:rsidRDefault="00236E18" w:rsidP="00236E18">
      <w:pPr>
        <w:numPr>
          <w:ilvl w:val="0"/>
          <w:numId w:val="74"/>
        </w:numPr>
        <w:tabs>
          <w:tab w:val="clear" w:pos="1160"/>
          <w:tab w:val="num" w:pos="567"/>
        </w:tabs>
        <w:ind w:left="567" w:hanging="283"/>
        <w:jc w:val="both"/>
        <w:rPr>
          <w:color w:val="000000"/>
          <w:sz w:val="20"/>
        </w:rPr>
      </w:pPr>
      <w:r w:rsidRPr="00302C4D">
        <w:rPr>
          <w:b/>
          <w:bCs/>
          <w:i/>
          <w:iCs/>
          <w:sz w:val="20"/>
        </w:rPr>
        <w:t>Representa</w:t>
      </w:r>
      <w:r>
        <w:rPr>
          <w:b/>
          <w:bCs/>
          <w:i/>
          <w:iCs/>
          <w:sz w:val="20"/>
        </w:rPr>
        <w:t>ción</w:t>
      </w:r>
      <w:r w:rsidRPr="00302C4D">
        <w:rPr>
          <w:b/>
          <w:bCs/>
          <w:i/>
          <w:iCs/>
          <w:sz w:val="20"/>
        </w:rPr>
        <w:t xml:space="preserve"> </w:t>
      </w:r>
      <w:r>
        <w:rPr>
          <w:b/>
          <w:bCs/>
          <w:i/>
          <w:iCs/>
          <w:sz w:val="20"/>
        </w:rPr>
        <w:t>y gastos de operación diversos</w:t>
      </w:r>
      <w:proofErr w:type="gramStart"/>
      <w:r>
        <w:rPr>
          <w:sz w:val="20"/>
        </w:rPr>
        <w:t>:  Gastos</w:t>
      </w:r>
      <w:proofErr w:type="gramEnd"/>
      <w:r>
        <w:rPr>
          <w:sz w:val="20"/>
        </w:rPr>
        <w:t xml:space="preserve"> en atenciones sociales oficiales</w:t>
      </w:r>
      <w:r w:rsidRPr="00302C4D">
        <w:rPr>
          <w:sz w:val="20"/>
        </w:rPr>
        <w:t xml:space="preserve">, </w:t>
      </w:r>
      <w:r>
        <w:rPr>
          <w:sz w:val="20"/>
        </w:rPr>
        <w:t>contribución de la OMPI a la Asociación del Personal y gastos de operación varios</w:t>
      </w:r>
      <w:r w:rsidRPr="00302C4D">
        <w:rPr>
          <w:sz w:val="20"/>
        </w:rPr>
        <w:t>.</w:t>
      </w:r>
    </w:p>
    <w:p w:rsidR="00236E18" w:rsidRPr="00302C4D" w:rsidRDefault="00236E18" w:rsidP="00236E18">
      <w:pPr>
        <w:tabs>
          <w:tab w:val="num" w:pos="567"/>
        </w:tabs>
        <w:jc w:val="both"/>
        <w:rPr>
          <w:color w:val="000000"/>
          <w:sz w:val="20"/>
        </w:rPr>
      </w:pPr>
    </w:p>
    <w:p w:rsidR="00236E18" w:rsidRPr="00F029DA" w:rsidRDefault="00236E18" w:rsidP="00236E18">
      <w:pPr>
        <w:numPr>
          <w:ilvl w:val="0"/>
          <w:numId w:val="74"/>
        </w:numPr>
        <w:tabs>
          <w:tab w:val="clear" w:pos="1160"/>
          <w:tab w:val="num" w:pos="567"/>
        </w:tabs>
        <w:ind w:left="567" w:hanging="283"/>
        <w:jc w:val="both"/>
        <w:rPr>
          <w:sz w:val="20"/>
        </w:rPr>
      </w:pPr>
      <w:r w:rsidRPr="00F029DA">
        <w:rPr>
          <w:b/>
          <w:sz w:val="20"/>
        </w:rPr>
        <w:t>Servicios en común con las NN.UU</w:t>
      </w:r>
      <w:r w:rsidRPr="00F029DA">
        <w:rPr>
          <w:sz w:val="20"/>
        </w:rPr>
        <w:t>.</w:t>
      </w:r>
      <w:proofErr w:type="gramStart"/>
      <w:r w:rsidRPr="00F029DA">
        <w:rPr>
          <w:sz w:val="20"/>
        </w:rPr>
        <w:t>:  Asistencia</w:t>
      </w:r>
      <w:proofErr w:type="gramEnd"/>
      <w:r w:rsidRPr="00F029DA">
        <w:rPr>
          <w:sz w:val="20"/>
        </w:rPr>
        <w:t xml:space="preserve"> médica, contribuciones a las actividades administrativas comunes en el sistema de NN.UU., actividades cofinanciadas por las NN.UU., y el Tribunal Administrativo.</w:t>
      </w:r>
    </w:p>
    <w:p w:rsidR="00236E18" w:rsidRPr="00F029DA" w:rsidRDefault="00236E18" w:rsidP="00236E18">
      <w:pPr>
        <w:jc w:val="both"/>
        <w:rPr>
          <w:b/>
          <w:bCs/>
          <w:sz w:val="20"/>
        </w:rPr>
      </w:pPr>
    </w:p>
    <w:p w:rsidR="00236E18" w:rsidRPr="00F029DA" w:rsidRDefault="00236E18" w:rsidP="00236E18">
      <w:pPr>
        <w:jc w:val="both"/>
        <w:rPr>
          <w:b/>
          <w:bCs/>
          <w:sz w:val="20"/>
        </w:rPr>
      </w:pPr>
    </w:p>
    <w:p w:rsidR="00236E18" w:rsidRPr="00F029DA" w:rsidRDefault="00236E18" w:rsidP="00236E18">
      <w:pPr>
        <w:rPr>
          <w:b/>
          <w:bCs/>
          <w:sz w:val="20"/>
        </w:rPr>
      </w:pPr>
      <w:r w:rsidRPr="00F029DA">
        <w:rPr>
          <w:b/>
          <w:bCs/>
          <w:sz w:val="20"/>
        </w:rPr>
        <w:t>Equipo y suministros</w:t>
      </w:r>
    </w:p>
    <w:p w:rsidR="00236E18" w:rsidRPr="00302C4D" w:rsidRDefault="00236E18" w:rsidP="00236E18">
      <w:pPr>
        <w:jc w:val="both"/>
        <w:rPr>
          <w:color w:val="808080"/>
          <w:sz w:val="20"/>
        </w:rPr>
      </w:pPr>
    </w:p>
    <w:p w:rsidR="00236E18" w:rsidRPr="00F029DA" w:rsidRDefault="00236E18" w:rsidP="00236E18">
      <w:pPr>
        <w:numPr>
          <w:ilvl w:val="0"/>
          <w:numId w:val="75"/>
        </w:numPr>
        <w:tabs>
          <w:tab w:val="num" w:pos="567"/>
        </w:tabs>
        <w:ind w:left="567" w:hanging="283"/>
        <w:jc w:val="both"/>
        <w:rPr>
          <w:sz w:val="20"/>
        </w:rPr>
      </w:pPr>
      <w:r w:rsidRPr="00F029DA">
        <w:rPr>
          <w:b/>
          <w:i/>
          <w:sz w:val="20"/>
        </w:rPr>
        <w:t>Mobiliario y equipo</w:t>
      </w:r>
      <w:proofErr w:type="gramStart"/>
      <w:r w:rsidRPr="00F029DA">
        <w:rPr>
          <w:sz w:val="20"/>
        </w:rPr>
        <w:t>:  Compra</w:t>
      </w:r>
      <w:proofErr w:type="gramEnd"/>
      <w:r w:rsidRPr="00F029DA">
        <w:rPr>
          <w:sz w:val="20"/>
        </w:rPr>
        <w:t xml:space="preserve"> de mobiliario y máquinas de oficina;  equipo informático (computadoras de escritorio y portátiles, impresoras, servidores, etc.);  equipo para servicios de conferencias;  equipo de reproducción;  y equipo de transporte.</w:t>
      </w:r>
    </w:p>
    <w:p w:rsidR="00236E18" w:rsidRPr="00F029DA" w:rsidRDefault="00236E18" w:rsidP="00236E18">
      <w:pPr>
        <w:tabs>
          <w:tab w:val="num" w:pos="567"/>
        </w:tabs>
        <w:ind w:left="567" w:hanging="283"/>
        <w:jc w:val="both"/>
        <w:rPr>
          <w:sz w:val="20"/>
        </w:rPr>
      </w:pPr>
    </w:p>
    <w:p w:rsidR="00236E18" w:rsidRPr="00F029DA" w:rsidRDefault="00236E18" w:rsidP="00236E18">
      <w:pPr>
        <w:numPr>
          <w:ilvl w:val="0"/>
          <w:numId w:val="75"/>
        </w:numPr>
        <w:tabs>
          <w:tab w:val="num" w:pos="567"/>
        </w:tabs>
        <w:ind w:left="567" w:hanging="283"/>
        <w:jc w:val="both"/>
        <w:rPr>
          <w:sz w:val="20"/>
        </w:rPr>
      </w:pPr>
      <w:r w:rsidRPr="00F029DA">
        <w:rPr>
          <w:b/>
          <w:i/>
          <w:sz w:val="20"/>
        </w:rPr>
        <w:t>Suministros y material</w:t>
      </w:r>
      <w:proofErr w:type="gramStart"/>
      <w:r w:rsidRPr="00F029DA">
        <w:rPr>
          <w:sz w:val="20"/>
        </w:rPr>
        <w:t>:  Papel</w:t>
      </w:r>
      <w:proofErr w:type="gramEnd"/>
      <w:r w:rsidRPr="00F029DA">
        <w:rPr>
          <w:sz w:val="20"/>
        </w:rPr>
        <w:t xml:space="preserve"> y material para oficina;  material de reproducción interna (offset, microfilms, etc.);  libros para la Biblioteca y suscripciones a revistas y publicaciones periódicas;  uniformes;  material para computadoras;  programas informáticos y licencias para computadoras.</w:t>
      </w:r>
    </w:p>
    <w:p w:rsidR="00236E18" w:rsidRPr="008857F9" w:rsidRDefault="00236E18" w:rsidP="00236E18"/>
    <w:p w:rsidR="00236E18" w:rsidRPr="008857F9" w:rsidRDefault="00236E18" w:rsidP="00236E18">
      <w:pPr>
        <w:rPr>
          <w:sz w:val="20"/>
        </w:rPr>
      </w:pPr>
      <w:r w:rsidRPr="008857F9">
        <w:rPr>
          <w:sz w:val="20"/>
        </w:rPr>
        <w:br w:type="page"/>
      </w:r>
    </w:p>
    <w:p w:rsidR="00236E18" w:rsidRPr="008857F9" w:rsidRDefault="00236E18" w:rsidP="00236E18">
      <w:pPr>
        <w:pStyle w:val="StyleHeading3ComplexItalic"/>
        <w:keepNext w:val="0"/>
        <w:tabs>
          <w:tab w:val="clear" w:pos="1985"/>
          <w:tab w:val="left" w:pos="0"/>
        </w:tabs>
        <w:rPr>
          <w:caps w:val="0"/>
          <w:lang w:val="es-ES"/>
        </w:rPr>
      </w:pPr>
      <w:bookmarkStart w:id="195" w:name="_Toc310950815"/>
      <w:bookmarkStart w:id="196" w:name="_Toc356567801"/>
      <w:bookmarkStart w:id="197" w:name="_Toc367350627"/>
      <w:bookmarkStart w:id="198" w:name="_Toc419283295"/>
      <w:bookmarkStart w:id="199" w:name="_Toc431573595"/>
      <w:bookmarkStart w:id="200" w:name="_Toc431573995"/>
      <w:r w:rsidRPr="008857F9">
        <w:rPr>
          <w:caps w:val="0"/>
          <w:lang w:val="es-ES"/>
        </w:rPr>
        <w:lastRenderedPageBreak/>
        <w:t>APÉNDICE C</w:t>
      </w:r>
      <w:r w:rsidRPr="008857F9">
        <w:rPr>
          <w:caps w:val="0"/>
          <w:lang w:val="es-ES"/>
        </w:rPr>
        <w:br/>
        <w:t>C</w:t>
      </w:r>
      <w:r>
        <w:rPr>
          <w:caps w:val="0"/>
          <w:lang w:val="es-ES"/>
        </w:rPr>
        <w:t>ÁLCULO DEL C</w:t>
      </w:r>
      <w:r w:rsidRPr="008857F9">
        <w:rPr>
          <w:caps w:val="0"/>
          <w:lang w:val="es-ES"/>
        </w:rPr>
        <w:t>OSTO DE PERSON</w:t>
      </w:r>
      <w:bookmarkEnd w:id="195"/>
      <w:bookmarkEnd w:id="196"/>
      <w:bookmarkEnd w:id="197"/>
      <w:bookmarkEnd w:id="198"/>
      <w:r w:rsidRPr="008857F9">
        <w:rPr>
          <w:caps w:val="0"/>
          <w:lang w:val="es-ES"/>
        </w:rPr>
        <w:t>AL</w:t>
      </w:r>
      <w:bookmarkEnd w:id="199"/>
      <w:bookmarkEnd w:id="200"/>
    </w:p>
    <w:p w:rsidR="00236E18" w:rsidRPr="008857F9" w:rsidRDefault="00236E18" w:rsidP="00236E18">
      <w:pPr>
        <w:pStyle w:val="Header"/>
        <w:rPr>
          <w:sz w:val="20"/>
        </w:rPr>
      </w:pPr>
    </w:p>
    <w:p w:rsidR="00236E18" w:rsidRPr="008857F9" w:rsidRDefault="00236E18" w:rsidP="00236E18">
      <w:pPr>
        <w:pStyle w:val="Header"/>
        <w:rPr>
          <w:sz w:val="20"/>
        </w:rPr>
      </w:pPr>
    </w:p>
    <w:p w:rsidR="00236E18" w:rsidRPr="008857F9" w:rsidRDefault="00236E18" w:rsidP="00236E18">
      <w:pPr>
        <w:pStyle w:val="ListParagraph"/>
        <w:numPr>
          <w:ilvl w:val="0"/>
          <w:numId w:val="71"/>
        </w:numPr>
        <w:tabs>
          <w:tab w:val="left" w:pos="567"/>
        </w:tabs>
        <w:ind w:left="0" w:firstLine="0"/>
        <w:rPr>
          <w:rFonts w:ascii="Arial" w:hAnsi="Arial" w:cs="Arial"/>
          <w:sz w:val="20"/>
          <w:lang w:val="es-ES"/>
        </w:rPr>
      </w:pPr>
      <w:r w:rsidRPr="008857F9">
        <w:rPr>
          <w:rFonts w:ascii="Arial" w:hAnsi="Arial" w:cs="Arial"/>
          <w:sz w:val="20"/>
          <w:lang w:val="es-ES"/>
        </w:rPr>
        <w:t xml:space="preserve">Tras la puesta en marcha del sistema de gestión del rendimiento institucional y la aplicación de la PRI (RR.HH. y nómina) y en el marco de la consolidación continua de la gestión por resultados, en particular, en lo que atañe a reforzar el vínculo entre la labor realizada y los recursos conexos necesarios para la aplicación, se ha introducido para el bienio 2016/17 un cambio en la metodología de cálculo de los costos de personal.  El presupuesto correspondiente a los recursos de personal de la Organización se ha obtenido a partir de una </w:t>
      </w:r>
      <w:proofErr w:type="spellStart"/>
      <w:r w:rsidRPr="008857F9">
        <w:rPr>
          <w:rFonts w:ascii="Arial" w:hAnsi="Arial" w:cs="Arial"/>
          <w:sz w:val="20"/>
          <w:lang w:val="es-ES"/>
        </w:rPr>
        <w:t>presupuestación</w:t>
      </w:r>
      <w:proofErr w:type="spellEnd"/>
      <w:r w:rsidRPr="008857F9">
        <w:rPr>
          <w:rFonts w:ascii="Arial" w:hAnsi="Arial" w:cs="Arial"/>
          <w:sz w:val="20"/>
          <w:lang w:val="es-ES"/>
        </w:rPr>
        <w:t xml:space="preserve"> basada en costos reales.</w:t>
      </w:r>
    </w:p>
    <w:p w:rsidR="00236E18" w:rsidRPr="008857F9" w:rsidRDefault="00236E18" w:rsidP="00236E18">
      <w:pPr>
        <w:rPr>
          <w:sz w:val="20"/>
        </w:rPr>
      </w:pPr>
    </w:p>
    <w:p w:rsidR="00236E18" w:rsidRPr="008857F9" w:rsidRDefault="00236E18" w:rsidP="00236E18">
      <w:pPr>
        <w:pStyle w:val="ListParagraph"/>
        <w:numPr>
          <w:ilvl w:val="0"/>
          <w:numId w:val="71"/>
        </w:numPr>
        <w:tabs>
          <w:tab w:val="left" w:pos="567"/>
        </w:tabs>
        <w:ind w:left="0" w:firstLine="0"/>
        <w:rPr>
          <w:rFonts w:ascii="Arial" w:hAnsi="Arial"/>
          <w:sz w:val="20"/>
          <w:lang w:val="es-ES"/>
        </w:rPr>
      </w:pPr>
      <w:r w:rsidRPr="008857F9">
        <w:rPr>
          <w:rFonts w:ascii="Arial" w:hAnsi="Arial" w:cs="Arial"/>
          <w:sz w:val="20"/>
          <w:lang w:val="es-ES"/>
        </w:rPr>
        <w:t>El cálculo de costos basado en importes reales se funda en las escalas de sueldos y remuneración pensionable disponibles más recientes</w:t>
      </w:r>
      <w:r w:rsidRPr="008857F9">
        <w:rPr>
          <w:rFonts w:ascii="Arial" w:hAnsi="Arial" w:cs="Arial"/>
          <w:sz w:val="20"/>
          <w:vertAlign w:val="superscript"/>
          <w:lang w:val="es-ES"/>
        </w:rPr>
        <w:footnoteReference w:id="33"/>
      </w:r>
      <w:r w:rsidRPr="008857F9">
        <w:rPr>
          <w:rFonts w:ascii="Arial" w:hAnsi="Arial" w:cs="Arial"/>
          <w:sz w:val="20"/>
          <w:lang w:val="es-ES"/>
        </w:rPr>
        <w:t xml:space="preserve">, de las NN.UU., para las categorías profesional y superior y </w:t>
      </w:r>
      <w:r w:rsidRPr="008857F9">
        <w:rPr>
          <w:rFonts w:ascii="Arial" w:hAnsi="Arial"/>
          <w:sz w:val="20"/>
          <w:lang w:val="es-ES"/>
        </w:rPr>
        <w:t>funcionarios de la categoría de servicios generales, datos históricos sobre familiares a cargo y políticas y prestaciones aplicables.  Se ha aplicado una metodología de cálculo de los costos que incorpora varios elementos de costo para obtener los costos al nivel de los cargos, que se utilizan luego para calcular los costos globales de recursos de personal.  A continuación se exponen sucintamente los elementos de costo incluidos en el cálculo de costos basado en importes reales y los supuestos en que se basan.</w:t>
      </w:r>
    </w:p>
    <w:p w:rsidR="00236E18" w:rsidRPr="00D56677" w:rsidRDefault="00236E18" w:rsidP="00236E18">
      <w:pPr>
        <w:rPr>
          <w:sz w:val="16"/>
          <w:szCs w:val="16"/>
        </w:rPr>
      </w:pPr>
    </w:p>
    <w:p w:rsidR="00236E18" w:rsidRPr="008857F9" w:rsidRDefault="00236E18" w:rsidP="00236E18">
      <w:pPr>
        <w:jc w:val="center"/>
      </w:pPr>
      <w:r w:rsidRPr="008857F9">
        <w:rPr>
          <w:b/>
          <w:sz w:val="20"/>
        </w:rPr>
        <w:t>Cálculo de costos basado en</w:t>
      </w:r>
      <w:r>
        <w:rPr>
          <w:b/>
          <w:sz w:val="20"/>
        </w:rPr>
        <w:t xml:space="preserve"> los</w:t>
      </w:r>
      <w:r w:rsidRPr="008857F9">
        <w:rPr>
          <w:b/>
          <w:sz w:val="20"/>
        </w:rPr>
        <w:t xml:space="preserve"> importes reales y </w:t>
      </w:r>
      <w:r>
        <w:rPr>
          <w:b/>
          <w:sz w:val="20"/>
        </w:rPr>
        <w:t xml:space="preserve">los </w:t>
      </w:r>
      <w:r w:rsidRPr="008857F9">
        <w:rPr>
          <w:b/>
          <w:sz w:val="20"/>
        </w:rPr>
        <w:t xml:space="preserve">supuestos en </w:t>
      </w:r>
      <w:r>
        <w:rPr>
          <w:b/>
          <w:sz w:val="20"/>
        </w:rPr>
        <w:t xml:space="preserve">los </w:t>
      </w:r>
      <w:r w:rsidRPr="008857F9">
        <w:rPr>
          <w:b/>
          <w:sz w:val="20"/>
        </w:rPr>
        <w:t>que se basan</w:t>
      </w:r>
    </w:p>
    <w:p w:rsidR="00236E18" w:rsidRPr="00D56677" w:rsidRDefault="00236E18" w:rsidP="00236E18">
      <w:pPr>
        <w:jc w:val="center"/>
        <w:rPr>
          <w:sz w:val="16"/>
          <w:szCs w:val="16"/>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3870"/>
        <w:gridCol w:w="3870"/>
      </w:tblGrid>
      <w:tr w:rsidR="00236E18" w:rsidRPr="008857F9" w:rsidTr="00294272">
        <w:tc>
          <w:tcPr>
            <w:tcW w:w="1548" w:type="dxa"/>
            <w:shd w:val="clear" w:color="auto" w:fill="auto"/>
          </w:tcPr>
          <w:p w:rsidR="00236E18" w:rsidRPr="008857F9" w:rsidRDefault="00236E18" w:rsidP="00294272">
            <w:pPr>
              <w:spacing w:before="60" w:after="60"/>
              <w:rPr>
                <w:b/>
                <w:sz w:val="18"/>
              </w:rPr>
            </w:pPr>
          </w:p>
        </w:tc>
        <w:tc>
          <w:tcPr>
            <w:tcW w:w="3870" w:type="dxa"/>
            <w:shd w:val="clear" w:color="auto" w:fill="auto"/>
          </w:tcPr>
          <w:p w:rsidR="00236E18" w:rsidRPr="008857F9" w:rsidRDefault="00236E18" w:rsidP="00294272">
            <w:pPr>
              <w:spacing w:before="60" w:after="60"/>
              <w:jc w:val="center"/>
              <w:rPr>
                <w:bCs/>
                <w:sz w:val="18"/>
              </w:rPr>
            </w:pPr>
            <w:r w:rsidRPr="008857F9">
              <w:rPr>
                <w:b/>
                <w:sz w:val="18"/>
              </w:rPr>
              <w:t>Puestos</w:t>
            </w:r>
          </w:p>
          <w:p w:rsidR="00236E18" w:rsidRPr="008857F9" w:rsidRDefault="00236E18" w:rsidP="00294272">
            <w:pPr>
              <w:spacing w:before="60" w:after="60"/>
              <w:jc w:val="center"/>
              <w:rPr>
                <w:bCs/>
                <w:sz w:val="18"/>
              </w:rPr>
            </w:pPr>
            <w:r w:rsidRPr="008857F9">
              <w:rPr>
                <w:bCs/>
                <w:sz w:val="18"/>
              </w:rPr>
              <w:t>(</w:t>
            </w:r>
            <w:r w:rsidRPr="008857F9">
              <w:rPr>
                <w:bCs/>
                <w:i/>
                <w:iCs/>
                <w:sz w:val="18"/>
              </w:rPr>
              <w:t xml:space="preserve">Categorías profesional y superior y </w:t>
            </w:r>
            <w:r w:rsidRPr="008857F9">
              <w:rPr>
                <w:bCs/>
                <w:i/>
                <w:iCs/>
                <w:sz w:val="18"/>
              </w:rPr>
              <w:br/>
              <w:t>servicios generales</w:t>
            </w:r>
            <w:r w:rsidRPr="008857F9">
              <w:rPr>
                <w:bCs/>
                <w:sz w:val="18"/>
              </w:rPr>
              <w:t>)</w:t>
            </w:r>
          </w:p>
        </w:tc>
        <w:tc>
          <w:tcPr>
            <w:tcW w:w="3870" w:type="dxa"/>
          </w:tcPr>
          <w:p w:rsidR="00236E18" w:rsidRPr="008857F9" w:rsidRDefault="00236E18" w:rsidP="00294272">
            <w:pPr>
              <w:spacing w:before="60" w:after="60"/>
              <w:jc w:val="center"/>
              <w:rPr>
                <w:b/>
                <w:sz w:val="18"/>
              </w:rPr>
            </w:pPr>
            <w:r w:rsidRPr="008857F9">
              <w:rPr>
                <w:b/>
                <w:sz w:val="18"/>
              </w:rPr>
              <w:t>Personal temporal</w:t>
            </w:r>
          </w:p>
          <w:p w:rsidR="00236E18" w:rsidRPr="008857F9" w:rsidRDefault="00236E18" w:rsidP="00294272">
            <w:pPr>
              <w:spacing w:before="60" w:after="60"/>
              <w:jc w:val="center"/>
              <w:rPr>
                <w:bCs/>
                <w:sz w:val="18"/>
              </w:rPr>
            </w:pPr>
            <w:r w:rsidRPr="008857F9">
              <w:rPr>
                <w:bCs/>
                <w:sz w:val="18"/>
              </w:rPr>
              <w:t>(</w:t>
            </w:r>
            <w:r w:rsidRPr="008857F9">
              <w:rPr>
                <w:bCs/>
                <w:i/>
                <w:iCs/>
                <w:sz w:val="18"/>
              </w:rPr>
              <w:t xml:space="preserve">Categorías profesional y superior y </w:t>
            </w:r>
            <w:r w:rsidRPr="008857F9">
              <w:rPr>
                <w:bCs/>
                <w:i/>
                <w:iCs/>
                <w:sz w:val="18"/>
              </w:rPr>
              <w:br/>
              <w:t>servicios generales</w:t>
            </w:r>
            <w:r w:rsidRPr="008857F9">
              <w:rPr>
                <w:bCs/>
                <w:sz w:val="18"/>
              </w:rPr>
              <w:t>)</w:t>
            </w:r>
          </w:p>
        </w:tc>
      </w:tr>
      <w:tr w:rsidR="00236E18" w:rsidRPr="008857F9" w:rsidTr="00294272">
        <w:trPr>
          <w:trHeight w:val="2569"/>
        </w:trPr>
        <w:tc>
          <w:tcPr>
            <w:tcW w:w="1548" w:type="dxa"/>
          </w:tcPr>
          <w:p w:rsidR="00236E18" w:rsidRPr="008857F9" w:rsidRDefault="00236E18" w:rsidP="00294272">
            <w:pPr>
              <w:spacing w:before="60"/>
              <w:rPr>
                <w:b/>
                <w:sz w:val="18"/>
              </w:rPr>
            </w:pPr>
            <w:r w:rsidRPr="008857F9">
              <w:rPr>
                <w:b/>
                <w:sz w:val="18"/>
              </w:rPr>
              <w:t>Sueldo</w:t>
            </w:r>
          </w:p>
        </w:tc>
        <w:tc>
          <w:tcPr>
            <w:tcW w:w="3870" w:type="dxa"/>
          </w:tcPr>
          <w:p w:rsidR="00236E18" w:rsidRPr="008857F9" w:rsidRDefault="00236E18" w:rsidP="00294272">
            <w:pPr>
              <w:spacing w:before="60"/>
              <w:rPr>
                <w:sz w:val="16"/>
              </w:rPr>
            </w:pPr>
            <w:r w:rsidRPr="008857F9">
              <w:rPr>
                <w:sz w:val="16"/>
              </w:rPr>
              <w:t xml:space="preserve">El sueldo de un cargo cubierto se calcula al nivel del cargo, aplicando las escalas de sueldo (CAPI) para funcionarios con o sin familiares a cargo en el grado/escalón previsto.  Para los cargos vacantes, se aplica la escala para funcionarios con familiares a cargo en un escalón y grado promedio.  Luego, se convierte en francos suizos el importe calculado en dólares EE.UU., y se aplica el multiplicador de ajuste por lugar de destino, cuando proceda (para las categorías profesional y superior). </w:t>
            </w:r>
          </w:p>
          <w:p w:rsidR="00236E18" w:rsidRPr="008857F9" w:rsidRDefault="00236E18" w:rsidP="00294272">
            <w:pPr>
              <w:spacing w:before="60"/>
              <w:rPr>
                <w:sz w:val="16"/>
              </w:rPr>
            </w:pPr>
            <w:r w:rsidRPr="008857F9">
              <w:rPr>
                <w:sz w:val="16"/>
              </w:rPr>
              <w:t>Se añade al importe total el porcentaje de la remuneración pensionable (CCPPNU) correspondiente a la Organización.</w:t>
            </w:r>
          </w:p>
        </w:tc>
        <w:tc>
          <w:tcPr>
            <w:tcW w:w="3870" w:type="dxa"/>
          </w:tcPr>
          <w:p w:rsidR="00236E18" w:rsidRPr="008857F9" w:rsidRDefault="00236E18" w:rsidP="00294272">
            <w:pPr>
              <w:spacing w:before="60"/>
              <w:rPr>
                <w:sz w:val="16"/>
              </w:rPr>
            </w:pPr>
            <w:r w:rsidRPr="008857F9">
              <w:rPr>
                <w:sz w:val="16"/>
              </w:rPr>
              <w:t>El sueldo de un cargo cubierto se calcula al nivel del cargo, aplicando las escalas de sueldo (CAPI) para funcionarios con o sin familiares a cargo en el grado/escalón previsto.  Para los cargos vacantes, se aplica la escala para funcionarios con familiares a cargo en un escalón y grado promedio.  Luego, se convierte en francos suizos el importe calculado en dólares EE.UU., y se aplica el multiplicador de ajuste por lugar de destino, cuando proceda (para las categorías profesional y superior).</w:t>
            </w:r>
          </w:p>
          <w:p w:rsidR="00236E18" w:rsidRPr="008857F9" w:rsidRDefault="00236E18" w:rsidP="00294272">
            <w:pPr>
              <w:spacing w:before="60"/>
              <w:rPr>
                <w:sz w:val="16"/>
              </w:rPr>
            </w:pPr>
            <w:r w:rsidRPr="008857F9">
              <w:rPr>
                <w:sz w:val="16"/>
              </w:rPr>
              <w:t>Se añade al importe total el porcentaje de la remuneración pensionable (CCPPNU) correspondiente a la Organización.</w:t>
            </w:r>
          </w:p>
        </w:tc>
      </w:tr>
      <w:tr w:rsidR="00236E18" w:rsidRPr="008857F9" w:rsidTr="00294272">
        <w:trPr>
          <w:trHeight w:val="2406"/>
        </w:trPr>
        <w:tc>
          <w:tcPr>
            <w:tcW w:w="1548" w:type="dxa"/>
            <w:tcBorders>
              <w:bottom w:val="nil"/>
            </w:tcBorders>
          </w:tcPr>
          <w:p w:rsidR="00236E18" w:rsidRPr="008857F9" w:rsidRDefault="00236E18" w:rsidP="00294272">
            <w:pPr>
              <w:spacing w:before="60" w:after="60"/>
              <w:rPr>
                <w:b/>
                <w:sz w:val="18"/>
              </w:rPr>
            </w:pPr>
            <w:r w:rsidRPr="008857F9">
              <w:rPr>
                <w:b/>
                <w:sz w:val="18"/>
              </w:rPr>
              <w:t>Costos corrientes de personal (CCP)</w:t>
            </w:r>
          </w:p>
        </w:tc>
        <w:tc>
          <w:tcPr>
            <w:tcW w:w="3870" w:type="dxa"/>
            <w:tcBorders>
              <w:bottom w:val="nil"/>
            </w:tcBorders>
          </w:tcPr>
          <w:p w:rsidR="00236E18" w:rsidRPr="008857F9" w:rsidRDefault="00236E18" w:rsidP="00294272">
            <w:pPr>
              <w:spacing w:before="60" w:after="120"/>
              <w:rPr>
                <w:sz w:val="16"/>
              </w:rPr>
            </w:pPr>
            <w:r w:rsidRPr="008857F9">
              <w:rPr>
                <w:sz w:val="16"/>
              </w:rPr>
              <w:t>El CCP abarca todos los beneficios y prestaciones, distintos del sueldo, que se asignan de conformidad con el Estatuto y Reglamento del Personal (tales como el subsidio por familiares a cargo, las vacaciones en el país de origen, el subsidio de educación, etc.).  El costo corriente de personal se aplica al nivel del cargo sobre la base de un patrón histórico de gastos y previsiones efectuados.</w:t>
            </w:r>
          </w:p>
          <w:p w:rsidR="00236E18" w:rsidRPr="008857F9" w:rsidRDefault="00236E18" w:rsidP="00294272">
            <w:pPr>
              <w:spacing w:after="120"/>
              <w:rPr>
                <w:sz w:val="16"/>
              </w:rPr>
            </w:pPr>
            <w:r w:rsidRPr="008857F9">
              <w:rPr>
                <w:sz w:val="16"/>
              </w:rPr>
              <w:t>Para los cargos vacantes, se aplica la presunción de cónyuge y un hijo a cargo para calcular los beneficios previstos.</w:t>
            </w:r>
          </w:p>
        </w:tc>
        <w:tc>
          <w:tcPr>
            <w:tcW w:w="3870" w:type="dxa"/>
            <w:tcBorders>
              <w:bottom w:val="nil"/>
            </w:tcBorders>
          </w:tcPr>
          <w:p w:rsidR="00236E18" w:rsidRPr="008857F9" w:rsidRDefault="00236E18" w:rsidP="00294272">
            <w:pPr>
              <w:spacing w:before="60" w:after="120"/>
              <w:rPr>
                <w:sz w:val="16"/>
              </w:rPr>
            </w:pPr>
            <w:r w:rsidRPr="008857F9">
              <w:rPr>
                <w:sz w:val="16"/>
              </w:rPr>
              <w:t>El CCP abarca todos los beneficios y prestaciones, distintos del sueldo, que se asignan de conformidad con el Estatuto y Reglamento del Personal (tales como el subsidio por familiares a cargo, las vacaciones en el país de origen, el subsidio de educación, etc.).  El costo corriente de personal se aplica al nivel del cargo sobre la base de un patrón histórico de gastos y previsiones efectuados.</w:t>
            </w:r>
          </w:p>
          <w:p w:rsidR="00236E18" w:rsidRPr="008857F9" w:rsidRDefault="00236E18" w:rsidP="00294272">
            <w:pPr>
              <w:rPr>
                <w:sz w:val="16"/>
              </w:rPr>
            </w:pPr>
            <w:r w:rsidRPr="008857F9">
              <w:rPr>
                <w:sz w:val="16"/>
              </w:rPr>
              <w:t>Para los cargos vacantes, se aplica la presunción de cónyuge y un hijo a cargo para calcular los beneficios previstos.</w:t>
            </w:r>
          </w:p>
        </w:tc>
      </w:tr>
      <w:tr w:rsidR="00236E18" w:rsidRPr="008857F9" w:rsidTr="00294272">
        <w:trPr>
          <w:trHeight w:val="595"/>
        </w:trPr>
        <w:tc>
          <w:tcPr>
            <w:tcW w:w="1548" w:type="dxa"/>
            <w:tcBorders>
              <w:top w:val="single" w:sz="6" w:space="0" w:color="auto"/>
              <w:left w:val="single" w:sz="6" w:space="0" w:color="auto"/>
              <w:bottom w:val="single" w:sz="6" w:space="0" w:color="auto"/>
              <w:right w:val="single" w:sz="6" w:space="0" w:color="auto"/>
            </w:tcBorders>
          </w:tcPr>
          <w:p w:rsidR="00236E18" w:rsidRPr="008857F9" w:rsidRDefault="00236E18" w:rsidP="00294272">
            <w:pPr>
              <w:spacing w:beforeLines="60" w:before="144"/>
              <w:rPr>
                <w:b/>
                <w:sz w:val="18"/>
              </w:rPr>
            </w:pPr>
            <w:r w:rsidRPr="008857F9">
              <w:rPr>
                <w:b/>
                <w:sz w:val="18"/>
              </w:rPr>
              <w:t xml:space="preserve">Ajuste </w:t>
            </w:r>
          </w:p>
        </w:tc>
        <w:tc>
          <w:tcPr>
            <w:tcW w:w="3870" w:type="dxa"/>
            <w:tcBorders>
              <w:top w:val="single" w:sz="6" w:space="0" w:color="auto"/>
              <w:left w:val="single" w:sz="6" w:space="0" w:color="auto"/>
              <w:bottom w:val="single" w:sz="6" w:space="0" w:color="auto"/>
              <w:right w:val="single" w:sz="6" w:space="0" w:color="auto"/>
            </w:tcBorders>
          </w:tcPr>
          <w:p w:rsidR="00236E18" w:rsidRPr="008857F9" w:rsidRDefault="00236E18" w:rsidP="00294272">
            <w:pPr>
              <w:spacing w:before="60" w:after="120"/>
              <w:rPr>
                <w:sz w:val="16"/>
              </w:rPr>
            </w:pPr>
            <w:r w:rsidRPr="008857F9">
              <w:rPr>
                <w:sz w:val="16"/>
              </w:rPr>
              <w:t>El costo correspondiente a todos los cargos se ajusta a la baja para tener en cuenta el índice de vacantes previsto del 3%.</w:t>
            </w:r>
          </w:p>
        </w:tc>
        <w:tc>
          <w:tcPr>
            <w:tcW w:w="3870" w:type="dxa"/>
            <w:tcBorders>
              <w:top w:val="single" w:sz="6" w:space="0" w:color="auto"/>
              <w:left w:val="single" w:sz="6" w:space="0" w:color="auto"/>
              <w:bottom w:val="single" w:sz="6" w:space="0" w:color="auto"/>
              <w:right w:val="single" w:sz="6" w:space="0" w:color="auto"/>
            </w:tcBorders>
          </w:tcPr>
          <w:p w:rsidR="00236E18" w:rsidRPr="008857F9" w:rsidRDefault="00236E18" w:rsidP="00294272">
            <w:pPr>
              <w:spacing w:before="60" w:after="120"/>
              <w:rPr>
                <w:sz w:val="16"/>
              </w:rPr>
            </w:pPr>
            <w:r w:rsidRPr="008857F9">
              <w:rPr>
                <w:sz w:val="16"/>
              </w:rPr>
              <w:t xml:space="preserve">No se aplica el índice de vacantes a los cargos temporales. </w:t>
            </w:r>
          </w:p>
        </w:tc>
      </w:tr>
      <w:tr w:rsidR="00236E18" w:rsidRPr="008857F9" w:rsidTr="00294272">
        <w:tc>
          <w:tcPr>
            <w:tcW w:w="1548" w:type="dxa"/>
            <w:tcBorders>
              <w:top w:val="single" w:sz="6" w:space="0" w:color="auto"/>
              <w:left w:val="single" w:sz="6" w:space="0" w:color="auto"/>
              <w:bottom w:val="single" w:sz="6" w:space="0" w:color="auto"/>
              <w:right w:val="single" w:sz="6" w:space="0" w:color="auto"/>
            </w:tcBorders>
          </w:tcPr>
          <w:p w:rsidR="00236E18" w:rsidRPr="008857F9" w:rsidRDefault="00236E18" w:rsidP="00294272">
            <w:pPr>
              <w:spacing w:before="60" w:after="60"/>
              <w:rPr>
                <w:b/>
                <w:sz w:val="18"/>
              </w:rPr>
            </w:pPr>
            <w:r>
              <w:rPr>
                <w:b/>
                <w:sz w:val="18"/>
              </w:rPr>
              <w:t>Asignac</w:t>
            </w:r>
            <w:r w:rsidRPr="008857F9">
              <w:rPr>
                <w:b/>
                <w:sz w:val="18"/>
              </w:rPr>
              <w:t>ión relativa a la separación del servicio y costos conexos</w:t>
            </w:r>
          </w:p>
        </w:tc>
        <w:tc>
          <w:tcPr>
            <w:tcW w:w="3870" w:type="dxa"/>
            <w:tcBorders>
              <w:top w:val="single" w:sz="6" w:space="0" w:color="auto"/>
              <w:left w:val="single" w:sz="6" w:space="0" w:color="auto"/>
              <w:bottom w:val="single" w:sz="6" w:space="0" w:color="auto"/>
              <w:right w:val="single" w:sz="6" w:space="0" w:color="auto"/>
            </w:tcBorders>
          </w:tcPr>
          <w:p w:rsidR="00236E18" w:rsidRPr="008857F9" w:rsidRDefault="00236E18" w:rsidP="00294272">
            <w:pPr>
              <w:spacing w:before="60" w:after="60"/>
              <w:rPr>
                <w:sz w:val="16"/>
              </w:rPr>
            </w:pPr>
            <w:r w:rsidRPr="008857F9">
              <w:rPr>
                <w:sz w:val="16"/>
              </w:rPr>
              <w:t xml:space="preserve">Se aplica una </w:t>
            </w:r>
            <w:r>
              <w:rPr>
                <w:sz w:val="16"/>
              </w:rPr>
              <w:t>asignac</w:t>
            </w:r>
            <w:r w:rsidRPr="008857F9">
              <w:rPr>
                <w:sz w:val="16"/>
              </w:rPr>
              <w:t>ión del 6% respecto del costo total para sufragar los gastos relativos a la separación del servicio y para prestaciones pagaderas a los empleados después de</w:t>
            </w:r>
            <w:r>
              <w:rPr>
                <w:sz w:val="16"/>
              </w:rPr>
              <w:t xml:space="preserve"> </w:t>
            </w:r>
            <w:r w:rsidRPr="008857F9">
              <w:rPr>
                <w:sz w:val="16"/>
              </w:rPr>
              <w:t>l</w:t>
            </w:r>
            <w:r>
              <w:rPr>
                <w:sz w:val="16"/>
              </w:rPr>
              <w:t>a separación</w:t>
            </w:r>
            <w:r w:rsidRPr="008857F9">
              <w:rPr>
                <w:sz w:val="16"/>
              </w:rPr>
              <w:t>.</w:t>
            </w:r>
          </w:p>
        </w:tc>
        <w:tc>
          <w:tcPr>
            <w:tcW w:w="3870" w:type="dxa"/>
            <w:tcBorders>
              <w:top w:val="single" w:sz="6" w:space="0" w:color="auto"/>
              <w:left w:val="single" w:sz="6" w:space="0" w:color="auto"/>
              <w:bottom w:val="single" w:sz="6" w:space="0" w:color="auto"/>
              <w:right w:val="single" w:sz="6" w:space="0" w:color="auto"/>
            </w:tcBorders>
          </w:tcPr>
          <w:p w:rsidR="00236E18" w:rsidRPr="008857F9" w:rsidRDefault="00236E18" w:rsidP="00294272">
            <w:pPr>
              <w:spacing w:before="60" w:after="60"/>
              <w:rPr>
                <w:sz w:val="16"/>
              </w:rPr>
            </w:pPr>
            <w:r w:rsidRPr="008857F9">
              <w:rPr>
                <w:sz w:val="16"/>
              </w:rPr>
              <w:t>Se aplica una provisión del 2% respecto del costo total para sufragar los gastos relativos a la separación del servicio y para prestaciones pagaderas a los empleados después de</w:t>
            </w:r>
            <w:r>
              <w:rPr>
                <w:sz w:val="16"/>
              </w:rPr>
              <w:t xml:space="preserve"> </w:t>
            </w:r>
            <w:r w:rsidRPr="008857F9">
              <w:rPr>
                <w:sz w:val="16"/>
              </w:rPr>
              <w:t>l</w:t>
            </w:r>
            <w:r>
              <w:rPr>
                <w:sz w:val="16"/>
              </w:rPr>
              <w:t>a</w:t>
            </w:r>
            <w:r w:rsidRPr="008857F9">
              <w:rPr>
                <w:sz w:val="16"/>
              </w:rPr>
              <w:t xml:space="preserve"> se</w:t>
            </w:r>
            <w:r>
              <w:rPr>
                <w:sz w:val="16"/>
              </w:rPr>
              <w:t>paración</w:t>
            </w:r>
            <w:r w:rsidRPr="008857F9">
              <w:rPr>
                <w:sz w:val="16"/>
              </w:rPr>
              <w:t>.</w:t>
            </w:r>
          </w:p>
        </w:tc>
      </w:tr>
    </w:tbl>
    <w:p w:rsidR="00236E18" w:rsidRPr="008857F9" w:rsidRDefault="00236E18" w:rsidP="00236E18">
      <w:pPr>
        <w:rPr>
          <w:rFonts w:eastAsia="Times New Roman"/>
          <w:b/>
          <w:iCs/>
        </w:rPr>
      </w:pPr>
      <w:r w:rsidRPr="008857F9">
        <w:rPr>
          <w:caps/>
        </w:rPr>
        <w:br w:type="page"/>
      </w:r>
    </w:p>
    <w:p w:rsidR="00236E18" w:rsidRPr="008857F9" w:rsidRDefault="00236E18" w:rsidP="00236E18">
      <w:pPr>
        <w:pStyle w:val="StyleHeading3ComplexItalic"/>
        <w:keepNext w:val="0"/>
        <w:tabs>
          <w:tab w:val="clear" w:pos="1985"/>
          <w:tab w:val="left" w:pos="0"/>
        </w:tabs>
        <w:rPr>
          <w:caps w:val="0"/>
          <w:lang w:val="es-ES"/>
        </w:rPr>
      </w:pPr>
      <w:bookmarkStart w:id="201" w:name="_Toc431573596"/>
      <w:bookmarkStart w:id="202" w:name="_Toc431573996"/>
      <w:r w:rsidRPr="008857F9">
        <w:rPr>
          <w:caps w:val="0"/>
          <w:lang w:val="es-ES"/>
        </w:rPr>
        <w:lastRenderedPageBreak/>
        <w:t>APÉNDICE D</w:t>
      </w:r>
      <w:r w:rsidRPr="008857F9">
        <w:rPr>
          <w:caps w:val="0"/>
          <w:lang w:val="es-ES"/>
        </w:rPr>
        <w:br/>
        <w:t>FÓRMULAS DE FLEXIBILIDAD</w:t>
      </w:r>
      <w:bookmarkEnd w:id="201"/>
      <w:bookmarkEnd w:id="202"/>
    </w:p>
    <w:p w:rsidR="00236E18" w:rsidRPr="008857F9" w:rsidRDefault="00236E18" w:rsidP="00236E18">
      <w:pPr>
        <w:rPr>
          <w:sz w:val="20"/>
        </w:rPr>
      </w:pPr>
    </w:p>
    <w:p w:rsidR="00236E18" w:rsidRPr="008857F9" w:rsidRDefault="00236E18" w:rsidP="00236E18">
      <w:pPr>
        <w:autoSpaceDE w:val="0"/>
        <w:autoSpaceDN w:val="0"/>
        <w:adjustRightInd w:val="0"/>
        <w:rPr>
          <w:sz w:val="20"/>
        </w:rPr>
      </w:pPr>
    </w:p>
    <w:p w:rsidR="00236E18" w:rsidRPr="008857F9" w:rsidRDefault="00236E18" w:rsidP="00236E18">
      <w:pPr>
        <w:pStyle w:val="Body"/>
        <w:rPr>
          <w:rFonts w:ascii="Arial" w:hAnsi="Arial" w:cs="Arial"/>
          <w:color w:val="auto"/>
          <w:sz w:val="20"/>
          <w:lang w:val="es-ES"/>
        </w:rPr>
      </w:pPr>
      <w:r w:rsidRPr="008857F9">
        <w:rPr>
          <w:rFonts w:ascii="Arial" w:hAnsi="Arial" w:cs="Arial"/>
          <w:color w:val="auto"/>
          <w:sz w:val="20"/>
          <w:lang w:val="es-ES"/>
        </w:rPr>
        <w:t>GENERALIDADES</w:t>
      </w:r>
    </w:p>
    <w:p w:rsidR="00236E18" w:rsidRPr="008857F9" w:rsidRDefault="00236E18" w:rsidP="00236E18">
      <w:pPr>
        <w:jc w:val="both"/>
        <w:rPr>
          <w:sz w:val="20"/>
        </w:rPr>
      </w:pPr>
    </w:p>
    <w:p w:rsidR="00236E18" w:rsidRPr="008857F9" w:rsidRDefault="00236E18" w:rsidP="00236E18">
      <w:pPr>
        <w:jc w:val="both"/>
        <w:rPr>
          <w:sz w:val="20"/>
        </w:rPr>
      </w:pPr>
      <w:r w:rsidRPr="008857F9">
        <w:rPr>
          <w:sz w:val="20"/>
        </w:rPr>
        <w:t xml:space="preserve">Las fórmulas de flexibilidad constituyen el mecanismo que permite introducir variaciones en los niveles de recursos financieros asignados a los sistemas de protección mundial (del PCT, de Madrid, de </w:t>
      </w:r>
      <w:r>
        <w:rPr>
          <w:sz w:val="20"/>
        </w:rPr>
        <w:t>La Haya</w:t>
      </w:r>
      <w:r w:rsidRPr="008857F9">
        <w:rPr>
          <w:sz w:val="20"/>
        </w:rPr>
        <w:t xml:space="preserve">) para reflejar las variaciones en el volumen global de actividades de registro que no hayan sido previstas en el presupuesto.  Las fórmulas de flexibilidad correspondientes a los sistemas del PCT, de Madrid y de </w:t>
      </w:r>
      <w:r>
        <w:rPr>
          <w:sz w:val="20"/>
        </w:rPr>
        <w:t>La Haya</w:t>
      </w:r>
      <w:r w:rsidRPr="008857F9">
        <w:rPr>
          <w:sz w:val="20"/>
        </w:rPr>
        <w:t xml:space="preserve"> fueron revisadas y aprobadas por sus respectivas Asambleas, reunidas del 24 de septiembre al 3 de Octubre de 2007.</w:t>
      </w:r>
    </w:p>
    <w:p w:rsidR="00236E18" w:rsidRPr="008857F9" w:rsidRDefault="00236E18" w:rsidP="00236E18">
      <w:pPr>
        <w:jc w:val="both"/>
        <w:rPr>
          <w:sz w:val="20"/>
        </w:rPr>
      </w:pPr>
    </w:p>
    <w:p w:rsidR="00236E18" w:rsidRPr="008857F9" w:rsidRDefault="00236E18" w:rsidP="00236E18">
      <w:pPr>
        <w:jc w:val="both"/>
        <w:rPr>
          <w:sz w:val="20"/>
        </w:rPr>
      </w:pPr>
    </w:p>
    <w:p w:rsidR="00236E18" w:rsidRPr="008857F9" w:rsidRDefault="00236E18" w:rsidP="00236E18">
      <w:pPr>
        <w:pStyle w:val="Body"/>
        <w:jc w:val="both"/>
        <w:rPr>
          <w:rFonts w:ascii="Arial" w:hAnsi="Arial" w:cs="Arial"/>
          <w:color w:val="auto"/>
          <w:lang w:val="es-ES"/>
        </w:rPr>
      </w:pPr>
      <w:r w:rsidRPr="008857F9">
        <w:rPr>
          <w:rFonts w:ascii="Arial" w:hAnsi="Arial" w:cs="Arial"/>
          <w:color w:val="auto"/>
          <w:lang w:val="es-ES"/>
        </w:rPr>
        <w:t>SISTEMA DEL PCT</w:t>
      </w:r>
    </w:p>
    <w:p w:rsidR="00236E18" w:rsidRPr="008857F9" w:rsidRDefault="00236E18" w:rsidP="00236E18">
      <w:pPr>
        <w:jc w:val="both"/>
        <w:rPr>
          <w:sz w:val="20"/>
        </w:rPr>
      </w:pPr>
    </w:p>
    <w:p w:rsidR="00236E18" w:rsidRPr="008857F9" w:rsidRDefault="00236E18" w:rsidP="00236E18">
      <w:pPr>
        <w:jc w:val="both"/>
        <w:rPr>
          <w:sz w:val="20"/>
        </w:rPr>
      </w:pPr>
      <w:r w:rsidRPr="008857F9">
        <w:rPr>
          <w:sz w:val="20"/>
        </w:rPr>
        <w:t xml:space="preserve">Para el sistema del PCT, la fórmula de flexibilidad revisada se describe en el documento PCT/A/36/5 y fue aprobada por la Asamblea del PCT, como se indica en el documento PCT/A/36/13.  Tal como consta en esos documentos, la fórmula de flexibilidad para el PCT fue revisada para reflejar una variación presupuestaria de 341.870 francos suizos por cada 1.000 solicitudes internacionales del PCT no previstas en el </w:t>
      </w:r>
      <w:proofErr w:type="gramStart"/>
      <w:r w:rsidRPr="008857F9">
        <w:rPr>
          <w:sz w:val="20"/>
        </w:rPr>
        <w:t>presupuesto</w:t>
      </w:r>
      <w:proofErr w:type="gramEnd"/>
      <w:r w:rsidRPr="008857F9">
        <w:rPr>
          <w:sz w:val="20"/>
        </w:rPr>
        <w:t xml:space="preserve">.  En la fórmula revisada, las variaciones en el número de solicitudes ya no están vinculadas a las variaciones en el número de puestos de plantilla, como era el caso anteriormente.  En cambio, con arreglo a esta fórmula, la propuesta es modificar los recursos globales asignados a los programas en cuestión para utilizar tanto recursos de personal (puestos de plantilla, empleados temporeros, empleados con contratos derivados de acuerdos de servicios especiales, etc.) como recursos </w:t>
      </w:r>
      <w:r>
        <w:rPr>
          <w:sz w:val="20"/>
        </w:rPr>
        <w:t>no relativos a personal</w:t>
      </w:r>
      <w:r w:rsidRPr="008857F9">
        <w:rPr>
          <w:sz w:val="20"/>
        </w:rPr>
        <w:t xml:space="preserve"> (por ejemplo, contratos de subcontratación externa).  Los ajustes se asignan a la administración del sistema del PCT y a los servicios de apoyo en una proporción del 87,5% y del 12,5%, respectivamente.</w:t>
      </w:r>
    </w:p>
    <w:p w:rsidR="00236E18" w:rsidRPr="008857F9" w:rsidRDefault="00236E18" w:rsidP="00236E18">
      <w:pPr>
        <w:jc w:val="both"/>
        <w:rPr>
          <w:sz w:val="20"/>
        </w:rPr>
      </w:pPr>
    </w:p>
    <w:p w:rsidR="00236E18" w:rsidRPr="008857F9" w:rsidRDefault="00236E18" w:rsidP="00236E18">
      <w:pPr>
        <w:jc w:val="both"/>
        <w:rPr>
          <w:sz w:val="20"/>
        </w:rPr>
      </w:pPr>
    </w:p>
    <w:p w:rsidR="00236E18" w:rsidRPr="008857F9" w:rsidRDefault="00236E18" w:rsidP="00236E18">
      <w:pPr>
        <w:pStyle w:val="Body"/>
        <w:jc w:val="both"/>
        <w:rPr>
          <w:rFonts w:ascii="Arial" w:hAnsi="Arial" w:cs="Arial"/>
          <w:color w:val="auto"/>
          <w:lang w:val="es-ES"/>
        </w:rPr>
      </w:pPr>
      <w:r w:rsidRPr="008857F9">
        <w:rPr>
          <w:rFonts w:ascii="Arial" w:hAnsi="Arial" w:cs="Arial"/>
          <w:color w:val="auto"/>
          <w:lang w:val="es-ES"/>
        </w:rPr>
        <w:t>SISTEMA DE MADRID</w:t>
      </w:r>
    </w:p>
    <w:p w:rsidR="00236E18" w:rsidRPr="008857F9" w:rsidRDefault="00236E18" w:rsidP="00236E18">
      <w:pPr>
        <w:jc w:val="both"/>
        <w:rPr>
          <w:sz w:val="20"/>
        </w:rPr>
      </w:pPr>
    </w:p>
    <w:p w:rsidR="00236E18" w:rsidRPr="008857F9" w:rsidRDefault="00236E18" w:rsidP="00236E18">
      <w:pPr>
        <w:jc w:val="both"/>
        <w:rPr>
          <w:sz w:val="20"/>
        </w:rPr>
      </w:pPr>
      <w:r w:rsidRPr="008857F9">
        <w:rPr>
          <w:sz w:val="20"/>
        </w:rPr>
        <w:t xml:space="preserve">Para el sistema de Madrid, la fórmula de flexibilidad revisada se describe en el documento MM/A/38/5 y fue aprobada por la Asamblea de Madrid, como se indica en el documento MM/A/38/6.  La nueva fórmula permite efectuar ajustes en el presupuesto de la Unión de Madrid correspondientes a 197.060 francos suizos por cada variación de 500 registros o renovaciones inscritos, en comparación con las estimaciones iniciales aprobadas.  Con arreglo a esta fórmula, los ajustes ya no se relacionan únicamente con los puestos de plantilla;  en cambio, se realizan ajustes en la totalidad de los recursos financieros asignados a los programas directamente relacionados con la ejecución del volumen de trabajo resultante.  Estos pueden ser recursos de personal (puestos de plantilla, empleados temporeros, etc.) y recursos </w:t>
      </w:r>
      <w:r>
        <w:rPr>
          <w:sz w:val="20"/>
        </w:rPr>
        <w:t>no relativos a personal</w:t>
      </w:r>
      <w:r w:rsidRPr="008857F9">
        <w:rPr>
          <w:sz w:val="20"/>
        </w:rPr>
        <w:t xml:space="preserve"> (por ejemplo, contratos de subcontratación externa).  Los ajustes se asignan a la administración del Registro Internacional de Marcas y a los servicios de apoyo en una proporción del 87,5% y del 12,5%, respectivamente.</w:t>
      </w:r>
    </w:p>
    <w:p w:rsidR="00236E18" w:rsidRPr="008857F9" w:rsidRDefault="00236E18" w:rsidP="00236E18">
      <w:pPr>
        <w:jc w:val="both"/>
        <w:rPr>
          <w:sz w:val="20"/>
        </w:rPr>
      </w:pPr>
    </w:p>
    <w:p w:rsidR="00236E18" w:rsidRPr="008857F9" w:rsidRDefault="00236E18" w:rsidP="00236E18">
      <w:pPr>
        <w:jc w:val="both"/>
        <w:rPr>
          <w:sz w:val="20"/>
        </w:rPr>
      </w:pPr>
    </w:p>
    <w:p w:rsidR="00236E18" w:rsidRPr="008857F9" w:rsidRDefault="00236E18" w:rsidP="00236E18">
      <w:pPr>
        <w:pStyle w:val="Body"/>
        <w:jc w:val="both"/>
        <w:rPr>
          <w:rFonts w:ascii="Arial" w:hAnsi="Arial" w:cs="Arial"/>
          <w:color w:val="auto"/>
          <w:lang w:val="es-ES"/>
        </w:rPr>
      </w:pPr>
      <w:r w:rsidRPr="008857F9">
        <w:rPr>
          <w:rFonts w:ascii="Arial" w:hAnsi="Arial" w:cs="Arial"/>
          <w:color w:val="auto"/>
          <w:lang w:val="es-ES"/>
        </w:rPr>
        <w:t>SISTEMA DE LA HAYA</w:t>
      </w:r>
    </w:p>
    <w:p w:rsidR="00236E18" w:rsidRPr="008857F9" w:rsidRDefault="00236E18" w:rsidP="00236E18">
      <w:pPr>
        <w:jc w:val="both"/>
        <w:rPr>
          <w:sz w:val="20"/>
        </w:rPr>
      </w:pPr>
    </w:p>
    <w:p w:rsidR="00236E18" w:rsidRPr="008857F9" w:rsidRDefault="00236E18" w:rsidP="00236E18">
      <w:pPr>
        <w:pStyle w:val="BodyText2"/>
        <w:spacing w:line="240" w:lineRule="auto"/>
        <w:jc w:val="both"/>
        <w:rPr>
          <w:rFonts w:ascii="Arial" w:hAnsi="Arial" w:cs="Arial"/>
          <w:sz w:val="20"/>
          <w:szCs w:val="20"/>
          <w:lang w:val="es-ES"/>
        </w:rPr>
      </w:pPr>
      <w:r w:rsidRPr="008857F9">
        <w:rPr>
          <w:rFonts w:ascii="Arial" w:hAnsi="Arial" w:cs="Arial"/>
          <w:sz w:val="20"/>
          <w:szCs w:val="20"/>
          <w:lang w:val="es-ES"/>
        </w:rPr>
        <w:t xml:space="preserve">Para el sistema de la Haya, la fórmula de flexibilidad revisada se describe en el documento H/A/24/3 y fue aprobada por la Asamblea de la Haya, tal como consta en el documento H/A/24/4.  La nueva fórmula prevé efectuar ajustes en el presupuesto de la Unión de la Haya por un importe de 99.024 francos suizos por cada variación de 300 registros o renovaciones inscritos en el Registro de la Unión de la Haya, en comparación con las estimaciones iniciales aprobadas.  Los recursos pueden ser de personal o </w:t>
      </w:r>
      <w:r>
        <w:rPr>
          <w:rFonts w:ascii="Arial" w:hAnsi="Arial" w:cs="Arial"/>
          <w:sz w:val="20"/>
          <w:szCs w:val="20"/>
          <w:lang w:val="es-ES"/>
        </w:rPr>
        <w:t>no relativos a personal</w:t>
      </w:r>
      <w:r w:rsidRPr="008857F9">
        <w:rPr>
          <w:rFonts w:ascii="Arial" w:hAnsi="Arial" w:cs="Arial"/>
          <w:sz w:val="20"/>
          <w:szCs w:val="20"/>
          <w:lang w:val="es-ES"/>
        </w:rPr>
        <w:t xml:space="preserve"> y estos se asignan a la administración del Registro de la Unión de la Haya y a los servicios de apoyo en una proporción del 87,5% y del 12,5%, respectivamente.</w:t>
      </w:r>
    </w:p>
    <w:p w:rsidR="00236E18" w:rsidRPr="008857F9" w:rsidRDefault="00236E18" w:rsidP="00236E18">
      <w:pPr>
        <w:rPr>
          <w:sz w:val="20"/>
        </w:rPr>
      </w:pPr>
      <w:r w:rsidRPr="008857F9">
        <w:rPr>
          <w:sz w:val="20"/>
        </w:rPr>
        <w:br w:type="page"/>
      </w:r>
    </w:p>
    <w:p w:rsidR="00236E18" w:rsidRPr="008857F9" w:rsidRDefault="00236E18" w:rsidP="00236E18">
      <w:pPr>
        <w:pStyle w:val="StyleHeading3ComplexItalic"/>
        <w:keepNext w:val="0"/>
        <w:tabs>
          <w:tab w:val="clear" w:pos="1985"/>
          <w:tab w:val="left" w:pos="0"/>
        </w:tabs>
        <w:rPr>
          <w:bCs/>
          <w:caps w:val="0"/>
          <w:lang w:val="es-ES"/>
        </w:rPr>
      </w:pPr>
      <w:bookmarkStart w:id="203" w:name="_Toc431573597"/>
      <w:bookmarkStart w:id="204" w:name="_Toc431573997"/>
      <w:r w:rsidRPr="008857F9">
        <w:rPr>
          <w:bCs/>
          <w:caps w:val="0"/>
          <w:lang w:val="es-ES"/>
        </w:rPr>
        <w:lastRenderedPageBreak/>
        <w:t>APÉNDICE E</w:t>
      </w:r>
      <w:bookmarkEnd w:id="203"/>
      <w:r>
        <w:rPr>
          <w:bCs/>
          <w:caps w:val="0"/>
          <w:lang w:val="es-ES"/>
        </w:rPr>
        <w:br/>
      </w:r>
      <w:bookmarkStart w:id="205" w:name="_Toc431573598"/>
      <w:r w:rsidRPr="008857F9">
        <w:rPr>
          <w:bCs/>
          <w:caps w:val="0"/>
          <w:lang w:val="es-ES"/>
        </w:rPr>
        <w:t>SIGLAS Y ABREVIATURAS EMPLEADAS EN EL PRESENTE DOCUMENTO</w:t>
      </w:r>
      <w:bookmarkEnd w:id="204"/>
      <w:bookmarkEnd w:id="205"/>
    </w:p>
    <w:p w:rsidR="00236E18" w:rsidRDefault="00236E18" w:rsidP="00236E18">
      <w:pPr>
        <w:tabs>
          <w:tab w:val="left" w:pos="1980"/>
          <w:tab w:val="left" w:pos="3261"/>
        </w:tabs>
        <w:ind w:left="2268" w:hanging="2268"/>
        <w:jc w:val="both"/>
        <w:rPr>
          <w:sz w:val="20"/>
        </w:rPr>
      </w:pPr>
    </w:p>
    <w:p w:rsidR="00236E18" w:rsidRPr="008857F9" w:rsidRDefault="00236E18" w:rsidP="00236E18">
      <w:pPr>
        <w:tabs>
          <w:tab w:val="left" w:pos="3227"/>
        </w:tabs>
        <w:spacing w:after="40"/>
        <w:ind w:left="3227" w:hanging="2507"/>
        <w:rPr>
          <w:sz w:val="20"/>
        </w:rPr>
      </w:pPr>
      <w:r w:rsidRPr="008857F9">
        <w:rPr>
          <w:b/>
          <w:sz w:val="20"/>
        </w:rPr>
        <w:t>A</w:t>
      </w:r>
      <w:r w:rsidRPr="008857F9">
        <w:rPr>
          <w:sz w:val="20"/>
        </w:rPr>
        <w:t>BC</w:t>
      </w:r>
      <w:r w:rsidRPr="008857F9">
        <w:rPr>
          <w:sz w:val="20"/>
        </w:rPr>
        <w:tab/>
        <w:t>Consorcio de Libros Accesibles</w:t>
      </w:r>
    </w:p>
    <w:p w:rsidR="00236E18" w:rsidRPr="008857F9" w:rsidRDefault="00236E18" w:rsidP="00236E18">
      <w:pPr>
        <w:tabs>
          <w:tab w:val="left" w:pos="3227"/>
        </w:tabs>
        <w:spacing w:after="40"/>
        <w:ind w:left="3227" w:hanging="2507"/>
        <w:rPr>
          <w:sz w:val="20"/>
        </w:rPr>
      </w:pPr>
      <w:r w:rsidRPr="008857F9">
        <w:rPr>
          <w:bCs/>
          <w:sz w:val="20"/>
        </w:rPr>
        <w:t>A</w:t>
      </w:r>
      <w:r w:rsidRPr="008857F9">
        <w:rPr>
          <w:sz w:val="20"/>
        </w:rPr>
        <w:t>CE</w:t>
      </w:r>
      <w:r w:rsidRPr="008857F9">
        <w:rPr>
          <w:sz w:val="20"/>
        </w:rPr>
        <w:tab/>
        <w:t xml:space="preserve">Comité Asesor sobre Observancia </w:t>
      </w:r>
    </w:p>
    <w:p w:rsidR="00236E18" w:rsidRPr="008857F9" w:rsidRDefault="00236E18" w:rsidP="00236E18">
      <w:pPr>
        <w:tabs>
          <w:tab w:val="left" w:pos="3227"/>
        </w:tabs>
        <w:spacing w:after="40"/>
        <w:ind w:left="3227" w:hanging="2507"/>
        <w:rPr>
          <w:sz w:val="20"/>
        </w:rPr>
      </w:pPr>
      <w:r w:rsidRPr="008857F9">
        <w:rPr>
          <w:bCs/>
          <w:sz w:val="20"/>
        </w:rPr>
        <w:t>A.D.</w:t>
      </w:r>
      <w:r w:rsidRPr="008857F9">
        <w:rPr>
          <w:sz w:val="20"/>
        </w:rPr>
        <w:tab/>
        <w:t>Agenda para el Desarrollo</w:t>
      </w:r>
    </w:p>
    <w:p w:rsidR="00236E18" w:rsidRDefault="00236E18" w:rsidP="00236E18">
      <w:pPr>
        <w:tabs>
          <w:tab w:val="left" w:pos="3227"/>
        </w:tabs>
        <w:spacing w:after="40"/>
        <w:ind w:left="3227" w:hanging="2507"/>
        <w:rPr>
          <w:sz w:val="20"/>
        </w:rPr>
      </w:pPr>
      <w:r w:rsidRPr="008857F9">
        <w:rPr>
          <w:sz w:val="20"/>
        </w:rPr>
        <w:t>AGICOA</w:t>
      </w:r>
      <w:r w:rsidRPr="008857F9">
        <w:rPr>
          <w:sz w:val="20"/>
        </w:rPr>
        <w:tab/>
        <w:t>Asociación para la Gestión Internacional y Colectiva de Obras Audiovisuales</w:t>
      </w:r>
    </w:p>
    <w:p w:rsidR="00236E18" w:rsidRPr="008857F9" w:rsidRDefault="00236E18" w:rsidP="00236E18">
      <w:pPr>
        <w:tabs>
          <w:tab w:val="left" w:pos="3227"/>
        </w:tabs>
        <w:spacing w:after="40"/>
        <w:ind w:left="3227" w:hanging="2507"/>
        <w:rPr>
          <w:sz w:val="20"/>
        </w:rPr>
      </w:pPr>
      <w:r>
        <w:rPr>
          <w:sz w:val="20"/>
        </w:rPr>
        <w:t>AIMS</w:t>
      </w:r>
      <w:r>
        <w:rPr>
          <w:sz w:val="20"/>
        </w:rPr>
        <w:tab/>
      </w:r>
      <w:r w:rsidRPr="009D26E1">
        <w:rPr>
          <w:sz w:val="20"/>
        </w:rPr>
        <w:t>Sistema automatizado de gestión de la información</w:t>
      </w:r>
    </w:p>
    <w:p w:rsidR="00236E18" w:rsidRPr="008857F9" w:rsidRDefault="00236E18" w:rsidP="00236E18">
      <w:pPr>
        <w:tabs>
          <w:tab w:val="left" w:pos="3227"/>
        </w:tabs>
        <w:spacing w:after="40"/>
        <w:ind w:left="3227" w:hanging="2507"/>
        <w:rPr>
          <w:sz w:val="20"/>
        </w:rPr>
      </w:pPr>
      <w:r w:rsidRPr="008857F9">
        <w:rPr>
          <w:sz w:val="20"/>
        </w:rPr>
        <w:t>AIPMS</w:t>
      </w:r>
      <w:r w:rsidRPr="008857F9">
        <w:rPr>
          <w:sz w:val="20"/>
        </w:rPr>
        <w:tab/>
        <w:t>Sistema de Gestión de la Propiedad Intelectual en Árabe</w:t>
      </w:r>
    </w:p>
    <w:p w:rsidR="00236E18" w:rsidRPr="008857F9" w:rsidRDefault="00236E18" w:rsidP="00236E18">
      <w:pPr>
        <w:tabs>
          <w:tab w:val="left" w:pos="3227"/>
        </w:tabs>
        <w:spacing w:after="40"/>
        <w:ind w:left="3227" w:hanging="2507"/>
        <w:rPr>
          <w:sz w:val="20"/>
        </w:rPr>
      </w:pPr>
      <w:proofErr w:type="spellStart"/>
      <w:proofErr w:type="gramStart"/>
      <w:r w:rsidRPr="008857F9">
        <w:rPr>
          <w:sz w:val="20"/>
        </w:rPr>
        <w:t>aRDi</w:t>
      </w:r>
      <w:proofErr w:type="spellEnd"/>
      <w:proofErr w:type="gramEnd"/>
      <w:r w:rsidRPr="008857F9">
        <w:rPr>
          <w:sz w:val="20"/>
        </w:rPr>
        <w:tab/>
        <w:t>Acceso a la Investigación para el Desarrollo y la Innovación</w:t>
      </w:r>
    </w:p>
    <w:p w:rsidR="00236E18" w:rsidRPr="008857F9" w:rsidRDefault="00236E18" w:rsidP="00236E18">
      <w:pPr>
        <w:tabs>
          <w:tab w:val="left" w:pos="3227"/>
        </w:tabs>
        <w:spacing w:after="40"/>
        <w:ind w:left="3227" w:hanging="2507"/>
        <w:rPr>
          <w:sz w:val="20"/>
        </w:rPr>
      </w:pPr>
      <w:r w:rsidRPr="008857F9">
        <w:rPr>
          <w:sz w:val="20"/>
        </w:rPr>
        <w:t>ASE</w:t>
      </w:r>
      <w:r w:rsidRPr="008857F9">
        <w:rPr>
          <w:sz w:val="20"/>
        </w:rPr>
        <w:tab/>
        <w:t>Acuerdos de servicios especiales</w:t>
      </w:r>
    </w:p>
    <w:p w:rsidR="00236E18" w:rsidRPr="008857F9" w:rsidRDefault="00236E18" w:rsidP="00236E18">
      <w:pPr>
        <w:tabs>
          <w:tab w:val="left" w:pos="3227"/>
        </w:tabs>
        <w:spacing w:after="40"/>
        <w:ind w:left="3227" w:hanging="2507"/>
        <w:rPr>
          <w:sz w:val="20"/>
        </w:rPr>
      </w:pPr>
      <w:r w:rsidRPr="001A551C">
        <w:rPr>
          <w:bCs/>
          <w:sz w:val="20"/>
        </w:rPr>
        <w:t>A</w:t>
      </w:r>
      <w:r w:rsidRPr="001A551C">
        <w:rPr>
          <w:sz w:val="20"/>
        </w:rPr>
        <w:t>SEA</w:t>
      </w:r>
      <w:r w:rsidRPr="008857F9">
        <w:rPr>
          <w:sz w:val="20"/>
        </w:rPr>
        <w:t>N</w:t>
      </w:r>
      <w:r w:rsidRPr="008857F9">
        <w:rPr>
          <w:sz w:val="20"/>
        </w:rPr>
        <w:tab/>
        <w:t>Asociación de Naciones del Asia Sudoriental</w:t>
      </w:r>
    </w:p>
    <w:p w:rsidR="00236E18" w:rsidRPr="008857F9" w:rsidRDefault="00236E18" w:rsidP="00236E18">
      <w:pPr>
        <w:tabs>
          <w:tab w:val="left" w:pos="3227"/>
        </w:tabs>
        <w:spacing w:after="40"/>
        <w:ind w:left="3227" w:hanging="2507"/>
        <w:rPr>
          <w:sz w:val="20"/>
        </w:rPr>
      </w:pPr>
      <w:r w:rsidRPr="008857F9">
        <w:rPr>
          <w:sz w:val="20"/>
        </w:rPr>
        <w:t>ASPI</w:t>
      </w:r>
      <w:r w:rsidRPr="008857F9">
        <w:rPr>
          <w:sz w:val="20"/>
        </w:rPr>
        <w:tab/>
        <w:t>Acceso a la Información Especializada sobre Patentes</w:t>
      </w:r>
    </w:p>
    <w:p w:rsidR="00236E18" w:rsidRPr="006561C8" w:rsidRDefault="00236E18" w:rsidP="00236E18">
      <w:pPr>
        <w:tabs>
          <w:tab w:val="left" w:pos="3227"/>
        </w:tabs>
        <w:spacing w:after="40"/>
        <w:ind w:left="3227" w:hanging="2507"/>
        <w:rPr>
          <w:i/>
          <w:sz w:val="20"/>
          <w:lang w:val="en-US"/>
        </w:rPr>
      </w:pPr>
      <w:r w:rsidRPr="006561C8">
        <w:rPr>
          <w:sz w:val="20"/>
          <w:lang w:val="en-US"/>
        </w:rPr>
        <w:t>AUTM</w:t>
      </w:r>
      <w:r w:rsidRPr="006561C8">
        <w:rPr>
          <w:sz w:val="20"/>
          <w:lang w:val="en-US"/>
        </w:rPr>
        <w:tab/>
      </w:r>
      <w:r w:rsidRPr="006561C8">
        <w:rPr>
          <w:i/>
          <w:sz w:val="20"/>
          <w:lang w:val="en-US"/>
        </w:rPr>
        <w:t>Association of University Technology Managers</w:t>
      </w:r>
    </w:p>
    <w:p w:rsidR="00236E18" w:rsidRPr="00A27770" w:rsidRDefault="00236E18" w:rsidP="00236E18">
      <w:pPr>
        <w:tabs>
          <w:tab w:val="left" w:pos="3227"/>
        </w:tabs>
        <w:spacing w:after="40"/>
        <w:ind w:left="3227" w:hanging="2507"/>
        <w:rPr>
          <w:sz w:val="20"/>
          <w:lang w:val="en-US"/>
        </w:rPr>
      </w:pPr>
    </w:p>
    <w:p w:rsidR="00236E18" w:rsidRPr="008857F9" w:rsidRDefault="00236E18" w:rsidP="00236E18">
      <w:pPr>
        <w:tabs>
          <w:tab w:val="left" w:pos="3227"/>
        </w:tabs>
        <w:spacing w:after="40"/>
        <w:ind w:left="3227" w:hanging="2507"/>
        <w:rPr>
          <w:sz w:val="20"/>
        </w:rPr>
      </w:pPr>
      <w:r w:rsidRPr="008857F9">
        <w:rPr>
          <w:b/>
          <w:sz w:val="20"/>
        </w:rPr>
        <w:t>B</w:t>
      </w:r>
      <w:r w:rsidRPr="008857F9">
        <w:rPr>
          <w:sz w:val="20"/>
        </w:rPr>
        <w:t>OIP</w:t>
      </w:r>
      <w:r w:rsidRPr="008857F9">
        <w:rPr>
          <w:sz w:val="20"/>
        </w:rPr>
        <w:tab/>
        <w:t>Organización de Propiedad Intelectual del Benelux</w:t>
      </w:r>
    </w:p>
    <w:p w:rsidR="00236E18" w:rsidRDefault="00236E18" w:rsidP="00236E18">
      <w:pPr>
        <w:tabs>
          <w:tab w:val="left" w:pos="3227"/>
        </w:tabs>
        <w:ind w:left="3227" w:hanging="2507"/>
        <w:rPr>
          <w:sz w:val="20"/>
        </w:rPr>
      </w:pPr>
    </w:p>
    <w:p w:rsidR="00236E18" w:rsidRDefault="00236E18" w:rsidP="00236E18">
      <w:pPr>
        <w:tabs>
          <w:tab w:val="left" w:pos="3227"/>
        </w:tabs>
        <w:ind w:left="3227" w:hanging="2507"/>
        <w:rPr>
          <w:sz w:val="20"/>
        </w:rPr>
      </w:pPr>
      <w:r w:rsidRPr="00D12C13">
        <w:rPr>
          <w:b/>
          <w:sz w:val="20"/>
        </w:rPr>
        <w:t>C</w:t>
      </w:r>
      <w:r w:rsidRPr="008857F9">
        <w:rPr>
          <w:sz w:val="20"/>
        </w:rPr>
        <w:t>A</w:t>
      </w:r>
      <w:r>
        <w:rPr>
          <w:sz w:val="20"/>
        </w:rPr>
        <w:t>D</w:t>
      </w:r>
      <w:r>
        <w:rPr>
          <w:sz w:val="20"/>
        </w:rPr>
        <w:tab/>
        <w:t>Coordinación de la Agenda para el Desarrollo</w:t>
      </w:r>
    </w:p>
    <w:p w:rsidR="00236E18" w:rsidRPr="00CD5F30" w:rsidRDefault="00236E18" w:rsidP="00236E18">
      <w:pPr>
        <w:tabs>
          <w:tab w:val="left" w:pos="3227"/>
        </w:tabs>
        <w:ind w:left="3227" w:hanging="2507"/>
        <w:rPr>
          <w:sz w:val="20"/>
        </w:rPr>
      </w:pPr>
      <w:r w:rsidRPr="00CD5F30">
        <w:rPr>
          <w:sz w:val="20"/>
        </w:rPr>
        <w:t>CAM</w:t>
      </w:r>
      <w:r>
        <w:rPr>
          <w:sz w:val="20"/>
        </w:rPr>
        <w:tab/>
        <w:t>Centro de Arbitraje y Mediación de la OMPI</w:t>
      </w:r>
    </w:p>
    <w:p w:rsidR="00236E18" w:rsidRPr="008857F9" w:rsidRDefault="00236E18" w:rsidP="00236E18">
      <w:pPr>
        <w:tabs>
          <w:tab w:val="left" w:pos="3227"/>
        </w:tabs>
        <w:ind w:left="3227" w:hanging="2507"/>
        <w:rPr>
          <w:sz w:val="20"/>
        </w:rPr>
      </w:pPr>
      <w:r w:rsidRPr="00CD5F30">
        <w:rPr>
          <w:sz w:val="20"/>
        </w:rPr>
        <w:t>CA</w:t>
      </w:r>
      <w:r w:rsidRPr="008857F9">
        <w:rPr>
          <w:sz w:val="20"/>
        </w:rPr>
        <w:t>PI</w:t>
      </w:r>
      <w:r w:rsidRPr="008857F9">
        <w:rPr>
          <w:sz w:val="20"/>
        </w:rPr>
        <w:tab/>
        <w:t>Comisión de Administración Pública Internacional</w:t>
      </w:r>
    </w:p>
    <w:p w:rsidR="00236E18" w:rsidRPr="008857F9" w:rsidRDefault="00236E18" w:rsidP="00236E18">
      <w:pPr>
        <w:tabs>
          <w:tab w:val="left" w:pos="3227"/>
        </w:tabs>
        <w:spacing w:after="40"/>
        <w:ind w:left="3227" w:hanging="2507"/>
        <w:rPr>
          <w:sz w:val="20"/>
        </w:rPr>
      </w:pPr>
      <w:r w:rsidRPr="00D12C13">
        <w:rPr>
          <w:bCs/>
          <w:sz w:val="20"/>
        </w:rPr>
        <w:t>C</w:t>
      </w:r>
      <w:r w:rsidRPr="00D12C13">
        <w:rPr>
          <w:sz w:val="20"/>
        </w:rPr>
        <w:t>ASE</w:t>
      </w:r>
      <w:r w:rsidRPr="008857F9">
        <w:rPr>
          <w:sz w:val="20"/>
        </w:rPr>
        <w:tab/>
        <w:t>Acceso Centralizado a la Búsqueda y el Examen</w:t>
      </w:r>
    </w:p>
    <w:p w:rsidR="00236E18" w:rsidRPr="008857F9" w:rsidRDefault="00236E18" w:rsidP="00236E18">
      <w:pPr>
        <w:tabs>
          <w:tab w:val="left" w:pos="3227"/>
        </w:tabs>
        <w:spacing w:after="40"/>
        <w:ind w:left="3227" w:hanging="2507"/>
        <w:rPr>
          <w:sz w:val="20"/>
        </w:rPr>
      </w:pPr>
      <w:r w:rsidRPr="008857F9">
        <w:rPr>
          <w:sz w:val="20"/>
        </w:rPr>
        <w:t>CATI</w:t>
      </w:r>
      <w:r w:rsidRPr="008857F9">
        <w:rPr>
          <w:sz w:val="20"/>
        </w:rPr>
        <w:tab/>
        <w:t>Centros de apoyo a la tecnología y la innovación</w:t>
      </w:r>
    </w:p>
    <w:p w:rsidR="00236E18" w:rsidRPr="008857F9" w:rsidRDefault="00236E18" w:rsidP="00236E18">
      <w:pPr>
        <w:tabs>
          <w:tab w:val="left" w:pos="3227"/>
        </w:tabs>
        <w:spacing w:after="40"/>
        <w:ind w:left="3227" w:hanging="2507"/>
        <w:rPr>
          <w:sz w:val="20"/>
        </w:rPr>
      </w:pPr>
      <w:r w:rsidRPr="008857F9">
        <w:rPr>
          <w:sz w:val="20"/>
        </w:rPr>
        <w:t>CC.TT.</w:t>
      </w:r>
      <w:r w:rsidRPr="008857F9">
        <w:rPr>
          <w:sz w:val="20"/>
        </w:rPr>
        <w:tab/>
        <w:t>Conocimientos tradicionales</w:t>
      </w:r>
    </w:p>
    <w:p w:rsidR="00236E18" w:rsidRPr="008857F9" w:rsidRDefault="00236E18" w:rsidP="00236E18">
      <w:pPr>
        <w:tabs>
          <w:tab w:val="left" w:pos="3227"/>
        </w:tabs>
        <w:spacing w:after="40"/>
        <w:ind w:left="3227" w:hanging="2507"/>
        <w:rPr>
          <w:sz w:val="20"/>
        </w:rPr>
      </w:pPr>
      <w:r w:rsidRPr="00D12C13">
        <w:rPr>
          <w:bCs/>
          <w:sz w:val="20"/>
        </w:rPr>
        <w:t>CCIS</w:t>
      </w:r>
      <w:r w:rsidRPr="008857F9">
        <w:rPr>
          <w:sz w:val="20"/>
        </w:rPr>
        <w:tab/>
        <w:t>Comisión Consultiva Independiente de Supervisión</w:t>
      </w:r>
    </w:p>
    <w:p w:rsidR="00236E18" w:rsidRPr="008857F9" w:rsidRDefault="00236E18" w:rsidP="00236E18">
      <w:pPr>
        <w:tabs>
          <w:tab w:val="left" w:pos="3227"/>
        </w:tabs>
        <w:spacing w:after="40"/>
        <w:ind w:left="3227" w:hanging="2507"/>
        <w:rPr>
          <w:sz w:val="20"/>
        </w:rPr>
      </w:pPr>
      <w:proofErr w:type="spellStart"/>
      <w:proofErr w:type="gramStart"/>
      <w:r w:rsidRPr="008857F9">
        <w:rPr>
          <w:sz w:val="20"/>
        </w:rPr>
        <w:t>ccTLD</w:t>
      </w:r>
      <w:proofErr w:type="spellEnd"/>
      <w:proofErr w:type="gramEnd"/>
      <w:r w:rsidRPr="008857F9">
        <w:rPr>
          <w:sz w:val="20"/>
        </w:rPr>
        <w:tab/>
        <w:t>Dominios de nivel superior correspondientes a códigos de países</w:t>
      </w:r>
    </w:p>
    <w:p w:rsidR="00236E18" w:rsidRPr="008857F9" w:rsidRDefault="00236E18" w:rsidP="00236E18">
      <w:pPr>
        <w:pStyle w:val="BlockText"/>
        <w:tabs>
          <w:tab w:val="clear" w:pos="2127"/>
          <w:tab w:val="left" w:pos="3227"/>
        </w:tabs>
        <w:ind w:left="3227" w:right="0" w:hanging="2507"/>
        <w:rPr>
          <w:rFonts w:ascii="Arial" w:hAnsi="Arial" w:cs="Arial"/>
          <w:sz w:val="20"/>
          <w:lang w:val="es-ES"/>
        </w:rPr>
      </w:pPr>
      <w:r w:rsidRPr="008857F9">
        <w:rPr>
          <w:rFonts w:ascii="Arial" w:hAnsi="Arial" w:cs="Arial"/>
          <w:sz w:val="20"/>
          <w:lang w:val="es-ES"/>
        </w:rPr>
        <w:t>CDIP</w:t>
      </w:r>
      <w:r w:rsidRPr="008857F9">
        <w:rPr>
          <w:rFonts w:ascii="Arial" w:hAnsi="Arial" w:cs="Arial"/>
          <w:sz w:val="20"/>
          <w:lang w:val="es-ES"/>
        </w:rPr>
        <w:tab/>
        <w:t>Comité de Desarrollo y Propiedad Intelectual</w:t>
      </w:r>
    </w:p>
    <w:p w:rsidR="00236E18" w:rsidRPr="008857F9" w:rsidRDefault="00236E18" w:rsidP="00236E18">
      <w:pPr>
        <w:tabs>
          <w:tab w:val="left" w:pos="3227"/>
        </w:tabs>
        <w:spacing w:after="40"/>
        <w:ind w:left="3227" w:hanging="2507"/>
        <w:rPr>
          <w:iCs/>
          <w:sz w:val="20"/>
        </w:rPr>
      </w:pPr>
      <w:r w:rsidRPr="008857F9">
        <w:rPr>
          <w:iCs/>
          <w:sz w:val="20"/>
        </w:rPr>
        <w:t>CEE</w:t>
      </w:r>
      <w:r w:rsidRPr="008857F9">
        <w:rPr>
          <w:iCs/>
          <w:sz w:val="20"/>
        </w:rPr>
        <w:tab/>
        <w:t>Comisión Económica Eurasiática</w:t>
      </w:r>
    </w:p>
    <w:p w:rsidR="00236E18" w:rsidRPr="008857F9" w:rsidRDefault="00236E18" w:rsidP="00236E18">
      <w:pPr>
        <w:pStyle w:val="BlockText"/>
        <w:tabs>
          <w:tab w:val="clear" w:pos="2127"/>
          <w:tab w:val="left" w:pos="3227"/>
        </w:tabs>
        <w:ind w:left="3227" w:right="0" w:hanging="2507"/>
        <w:rPr>
          <w:rFonts w:ascii="Arial" w:hAnsi="Arial" w:cs="Arial"/>
          <w:sz w:val="20"/>
          <w:lang w:val="es-ES"/>
        </w:rPr>
      </w:pPr>
      <w:r w:rsidRPr="008857F9">
        <w:rPr>
          <w:rFonts w:ascii="Arial" w:hAnsi="Arial" w:cs="Arial"/>
          <w:sz w:val="20"/>
          <w:lang w:val="es-ES"/>
        </w:rPr>
        <w:t>CEI</w:t>
      </w:r>
      <w:r w:rsidRPr="008857F9">
        <w:rPr>
          <w:rFonts w:ascii="Arial" w:hAnsi="Arial" w:cs="Arial"/>
          <w:sz w:val="20"/>
          <w:lang w:val="es-ES"/>
        </w:rPr>
        <w:tab/>
        <w:t>Comunidad de Estados Independientes</w:t>
      </w:r>
    </w:p>
    <w:p w:rsidR="00236E18" w:rsidRPr="008857F9" w:rsidRDefault="00236E18" w:rsidP="00236E18">
      <w:pPr>
        <w:tabs>
          <w:tab w:val="left" w:pos="3227"/>
        </w:tabs>
        <w:spacing w:after="40"/>
        <w:ind w:left="3227" w:hanging="2507"/>
        <w:rPr>
          <w:sz w:val="20"/>
        </w:rPr>
      </w:pPr>
      <w:r w:rsidRPr="008857F9">
        <w:rPr>
          <w:sz w:val="20"/>
        </w:rPr>
        <w:t>CICE</w:t>
      </w:r>
      <w:r w:rsidRPr="008857F9">
        <w:rPr>
          <w:sz w:val="20"/>
        </w:rPr>
        <w:tab/>
        <w:t>Centro Internacional de Cálculos Electrónicos de las Naciones Unidas</w:t>
      </w:r>
    </w:p>
    <w:p w:rsidR="00236E18" w:rsidRPr="008857F9" w:rsidRDefault="00236E18" w:rsidP="00236E18">
      <w:pPr>
        <w:tabs>
          <w:tab w:val="left" w:pos="3227"/>
        </w:tabs>
        <w:spacing w:after="40"/>
        <w:ind w:left="3227" w:hanging="2507"/>
        <w:rPr>
          <w:sz w:val="20"/>
        </w:rPr>
      </w:pPr>
      <w:r w:rsidRPr="008857F9">
        <w:rPr>
          <w:sz w:val="20"/>
        </w:rPr>
        <w:t>CIG</w:t>
      </w:r>
      <w:r w:rsidRPr="008857F9">
        <w:rPr>
          <w:sz w:val="20"/>
        </w:rPr>
        <w:tab/>
        <w:t>Comité Intergubernamental sobre Propiedad Intelectual y Recursos Genéticos, Conocimientos Tradicionales y Folclore</w:t>
      </w:r>
    </w:p>
    <w:p w:rsidR="00236E18" w:rsidRPr="008857F9" w:rsidRDefault="00236E18" w:rsidP="00236E18">
      <w:pPr>
        <w:tabs>
          <w:tab w:val="left" w:pos="3227"/>
        </w:tabs>
        <w:spacing w:after="40"/>
        <w:ind w:left="3227" w:hanging="2507"/>
        <w:rPr>
          <w:sz w:val="20"/>
        </w:rPr>
      </w:pPr>
      <w:r w:rsidRPr="008857F9">
        <w:rPr>
          <w:sz w:val="20"/>
        </w:rPr>
        <w:t>CIP</w:t>
      </w:r>
      <w:r w:rsidRPr="008857F9">
        <w:rPr>
          <w:sz w:val="20"/>
        </w:rPr>
        <w:tab/>
        <w:t>Clasificación Internacional de Patentes</w:t>
      </w:r>
    </w:p>
    <w:p w:rsidR="00236E18" w:rsidRPr="008857F9" w:rsidRDefault="00236E18" w:rsidP="00236E18">
      <w:pPr>
        <w:tabs>
          <w:tab w:val="left" w:pos="3227"/>
        </w:tabs>
        <w:spacing w:after="40"/>
        <w:ind w:left="3227" w:hanging="2507"/>
        <w:rPr>
          <w:i/>
          <w:sz w:val="20"/>
        </w:rPr>
      </w:pPr>
      <w:r w:rsidRPr="008857F9">
        <w:rPr>
          <w:bCs/>
          <w:sz w:val="20"/>
        </w:rPr>
        <w:t>CLIR</w:t>
      </w:r>
      <w:r w:rsidRPr="008857F9">
        <w:rPr>
          <w:sz w:val="20"/>
        </w:rPr>
        <w:tab/>
      </w:r>
      <w:r w:rsidRPr="008857F9">
        <w:rPr>
          <w:bCs/>
          <w:i/>
          <w:sz w:val="20"/>
        </w:rPr>
        <w:t xml:space="preserve">Cross Lingual </w:t>
      </w:r>
      <w:proofErr w:type="spellStart"/>
      <w:r w:rsidRPr="008857F9">
        <w:rPr>
          <w:bCs/>
          <w:i/>
          <w:sz w:val="20"/>
        </w:rPr>
        <w:t>Information</w:t>
      </w:r>
      <w:proofErr w:type="spellEnd"/>
      <w:r w:rsidRPr="008857F9">
        <w:rPr>
          <w:bCs/>
          <w:i/>
          <w:sz w:val="20"/>
        </w:rPr>
        <w:t xml:space="preserve"> </w:t>
      </w:r>
      <w:proofErr w:type="spellStart"/>
      <w:r w:rsidRPr="008857F9">
        <w:rPr>
          <w:bCs/>
          <w:i/>
          <w:sz w:val="20"/>
        </w:rPr>
        <w:t>Retrieval</w:t>
      </w:r>
      <w:proofErr w:type="spellEnd"/>
    </w:p>
    <w:p w:rsidR="00236E18" w:rsidRPr="008857F9" w:rsidRDefault="00236E18" w:rsidP="00236E18">
      <w:pPr>
        <w:tabs>
          <w:tab w:val="left" w:pos="3227"/>
        </w:tabs>
        <w:spacing w:after="40"/>
        <w:ind w:left="3227" w:hanging="2507"/>
        <w:rPr>
          <w:sz w:val="20"/>
        </w:rPr>
      </w:pPr>
      <w:r w:rsidRPr="008857F9">
        <w:rPr>
          <w:sz w:val="20"/>
        </w:rPr>
        <w:t>CMG</w:t>
      </w:r>
      <w:r w:rsidRPr="008857F9">
        <w:rPr>
          <w:sz w:val="20"/>
        </w:rPr>
        <w:tab/>
        <w:t>Grupo de Gestión de Crisis</w:t>
      </w:r>
    </w:p>
    <w:p w:rsidR="00236E18" w:rsidRPr="008857F9" w:rsidRDefault="00236E18" w:rsidP="00236E18">
      <w:pPr>
        <w:tabs>
          <w:tab w:val="left" w:pos="3227"/>
        </w:tabs>
        <w:spacing w:after="40"/>
        <w:ind w:left="3227" w:hanging="2507"/>
        <w:rPr>
          <w:sz w:val="20"/>
        </w:rPr>
      </w:pPr>
      <w:r w:rsidRPr="008857F9">
        <w:rPr>
          <w:sz w:val="20"/>
        </w:rPr>
        <w:t>CMNUCC</w:t>
      </w:r>
      <w:r w:rsidRPr="008857F9">
        <w:rPr>
          <w:sz w:val="20"/>
        </w:rPr>
        <w:tab/>
        <w:t>Convención Marco de las Naciones Unidas sobre el Cambio Climático</w:t>
      </w:r>
    </w:p>
    <w:p w:rsidR="00236E18" w:rsidRDefault="00236E18" w:rsidP="00236E18">
      <w:pPr>
        <w:tabs>
          <w:tab w:val="left" w:pos="3227"/>
        </w:tabs>
        <w:spacing w:after="40"/>
        <w:ind w:left="3227" w:hanging="2507"/>
        <w:rPr>
          <w:sz w:val="20"/>
        </w:rPr>
      </w:pPr>
      <w:r w:rsidRPr="008857F9">
        <w:rPr>
          <w:sz w:val="20"/>
        </w:rPr>
        <w:t>CMSI</w:t>
      </w:r>
      <w:r w:rsidRPr="008857F9">
        <w:rPr>
          <w:sz w:val="20"/>
        </w:rPr>
        <w:tab/>
        <w:t>Cumbre Mundial sobre la Sociedad de la Información</w:t>
      </w:r>
    </w:p>
    <w:p w:rsidR="00236E18" w:rsidRPr="008857F9" w:rsidRDefault="00236E18" w:rsidP="00236E18">
      <w:pPr>
        <w:tabs>
          <w:tab w:val="left" w:pos="3227"/>
        </w:tabs>
        <w:spacing w:after="40"/>
        <w:ind w:left="3227" w:hanging="2507"/>
        <w:rPr>
          <w:sz w:val="20"/>
        </w:rPr>
      </w:pPr>
      <w:r>
        <w:rPr>
          <w:sz w:val="20"/>
        </w:rPr>
        <w:t>CRTC</w:t>
      </w:r>
      <w:r>
        <w:rPr>
          <w:sz w:val="20"/>
        </w:rPr>
        <w:tab/>
        <w:t>Centro y Red de Tecnología del Clima</w:t>
      </w:r>
    </w:p>
    <w:p w:rsidR="00236E18" w:rsidRDefault="00236E18" w:rsidP="00236E18">
      <w:pPr>
        <w:tabs>
          <w:tab w:val="left" w:pos="3227"/>
        </w:tabs>
        <w:spacing w:after="40"/>
        <w:ind w:left="3227" w:hanging="2507"/>
        <w:rPr>
          <w:sz w:val="20"/>
        </w:rPr>
      </w:pPr>
    </w:p>
    <w:p w:rsidR="00236E18" w:rsidRDefault="00236E18" w:rsidP="00236E18">
      <w:pPr>
        <w:tabs>
          <w:tab w:val="left" w:pos="3227"/>
        </w:tabs>
        <w:spacing w:after="40"/>
        <w:ind w:left="3227" w:hanging="2507"/>
        <w:rPr>
          <w:sz w:val="20"/>
        </w:rPr>
      </w:pPr>
      <w:r w:rsidRPr="00D12C13">
        <w:rPr>
          <w:b/>
          <w:sz w:val="20"/>
        </w:rPr>
        <w:t>D</w:t>
      </w:r>
      <w:r w:rsidRPr="008857F9">
        <w:rPr>
          <w:sz w:val="20"/>
        </w:rPr>
        <w:t>A</w:t>
      </w:r>
      <w:r>
        <w:rPr>
          <w:sz w:val="20"/>
        </w:rPr>
        <w:t>DC</w:t>
      </w:r>
      <w:r>
        <w:rPr>
          <w:sz w:val="20"/>
        </w:rPr>
        <w:tab/>
        <w:t>Derecho de autor y derechos conexos</w:t>
      </w:r>
      <w:r>
        <w:rPr>
          <w:sz w:val="20"/>
        </w:rPr>
        <w:tab/>
      </w:r>
    </w:p>
    <w:p w:rsidR="00236E18" w:rsidRPr="008857F9" w:rsidRDefault="00236E18" w:rsidP="00236E18">
      <w:pPr>
        <w:tabs>
          <w:tab w:val="left" w:pos="3227"/>
        </w:tabs>
        <w:spacing w:after="40"/>
        <w:ind w:left="3227" w:hanging="2507"/>
        <w:rPr>
          <w:sz w:val="20"/>
        </w:rPr>
      </w:pPr>
      <w:r>
        <w:rPr>
          <w:sz w:val="20"/>
        </w:rPr>
        <w:t>DA</w:t>
      </w:r>
      <w:r w:rsidRPr="008857F9">
        <w:rPr>
          <w:sz w:val="20"/>
        </w:rPr>
        <w:t>ES</w:t>
      </w:r>
      <w:r w:rsidRPr="008857F9">
        <w:rPr>
          <w:sz w:val="20"/>
        </w:rPr>
        <w:tab/>
        <w:t>Departamento de Asuntos Económicos y Sociales de las Naciones Unidas</w:t>
      </w:r>
    </w:p>
    <w:p w:rsidR="00236E18" w:rsidRPr="008857F9" w:rsidRDefault="00236E18" w:rsidP="00236E18">
      <w:pPr>
        <w:tabs>
          <w:tab w:val="left" w:pos="3227"/>
        </w:tabs>
        <w:spacing w:after="40"/>
        <w:ind w:left="3227" w:hanging="2507"/>
        <w:rPr>
          <w:sz w:val="20"/>
        </w:rPr>
      </w:pPr>
      <w:r w:rsidRPr="00D12C13">
        <w:rPr>
          <w:sz w:val="20"/>
        </w:rPr>
        <w:t>DAS</w:t>
      </w:r>
      <w:r w:rsidRPr="008857F9">
        <w:rPr>
          <w:sz w:val="20"/>
        </w:rPr>
        <w:tab/>
        <w:t>Servicios de Acceso Digital a los Documentos de Prioridad</w:t>
      </w:r>
    </w:p>
    <w:p w:rsidR="00236E18" w:rsidRPr="008857F9" w:rsidRDefault="00236E18" w:rsidP="00236E18">
      <w:pPr>
        <w:tabs>
          <w:tab w:val="left" w:pos="3227"/>
        </w:tabs>
        <w:spacing w:after="40"/>
        <w:ind w:left="3227" w:hanging="2507"/>
        <w:rPr>
          <w:sz w:val="20"/>
        </w:rPr>
      </w:pPr>
      <w:r w:rsidRPr="008857F9">
        <w:rPr>
          <w:sz w:val="20"/>
        </w:rPr>
        <w:t>DGIPR</w:t>
      </w:r>
      <w:r w:rsidRPr="008857F9">
        <w:rPr>
          <w:sz w:val="20"/>
        </w:rPr>
        <w:tab/>
        <w:t>Dirección General de Derechos de Propiedad Intelectual (Indonesia)</w:t>
      </w:r>
    </w:p>
    <w:p w:rsidR="00236E18" w:rsidRPr="008857F9" w:rsidRDefault="00236E18" w:rsidP="00236E18">
      <w:pPr>
        <w:tabs>
          <w:tab w:val="left" w:pos="3227"/>
        </w:tabs>
        <w:spacing w:after="40"/>
        <w:ind w:left="3227" w:hanging="2507"/>
        <w:rPr>
          <w:sz w:val="20"/>
        </w:rPr>
      </w:pPr>
      <w:r w:rsidRPr="008857F9">
        <w:rPr>
          <w:sz w:val="20"/>
        </w:rPr>
        <w:t>DGRRHH</w:t>
      </w:r>
      <w:r w:rsidRPr="008857F9">
        <w:rPr>
          <w:sz w:val="20"/>
        </w:rPr>
        <w:tab/>
        <w:t>Departamento de Gestión de los Recursos Humanos</w:t>
      </w:r>
    </w:p>
    <w:p w:rsidR="00236E18" w:rsidRPr="008857F9" w:rsidRDefault="00236E18" w:rsidP="00236E18">
      <w:pPr>
        <w:tabs>
          <w:tab w:val="left" w:pos="3227"/>
        </w:tabs>
        <w:spacing w:after="40"/>
        <w:ind w:left="3227" w:hanging="2507"/>
        <w:rPr>
          <w:sz w:val="20"/>
        </w:rPr>
      </w:pPr>
      <w:r w:rsidRPr="008857F9">
        <w:rPr>
          <w:sz w:val="20"/>
        </w:rPr>
        <w:t>DNS</w:t>
      </w:r>
      <w:r w:rsidRPr="008857F9">
        <w:rPr>
          <w:sz w:val="20"/>
        </w:rPr>
        <w:tab/>
        <w:t>Sistemas de Nombres de Dominio de Internet</w:t>
      </w:r>
    </w:p>
    <w:p w:rsidR="00236E18" w:rsidRPr="008857F9" w:rsidRDefault="00236E18" w:rsidP="00236E18">
      <w:pPr>
        <w:tabs>
          <w:tab w:val="left" w:pos="3227"/>
        </w:tabs>
        <w:spacing w:after="40"/>
        <w:ind w:left="3227" w:hanging="2507"/>
        <w:rPr>
          <w:sz w:val="20"/>
        </w:rPr>
      </w:pPr>
      <w:r w:rsidRPr="008857F9">
        <w:rPr>
          <w:sz w:val="20"/>
        </w:rPr>
        <w:t>DPI</w:t>
      </w:r>
      <w:r w:rsidRPr="008857F9">
        <w:rPr>
          <w:sz w:val="20"/>
        </w:rPr>
        <w:tab/>
        <w:t>Derechos de propiedad intelectual</w:t>
      </w:r>
    </w:p>
    <w:p w:rsidR="00236E18" w:rsidRPr="008857F9" w:rsidRDefault="00236E18" w:rsidP="00236E18">
      <w:pPr>
        <w:tabs>
          <w:tab w:val="left" w:pos="3227"/>
        </w:tabs>
        <w:spacing w:after="40"/>
        <w:ind w:left="3227" w:hanging="2507"/>
        <w:rPr>
          <w:sz w:val="20"/>
        </w:rPr>
      </w:pPr>
      <w:r w:rsidRPr="008857F9">
        <w:rPr>
          <w:sz w:val="20"/>
        </w:rPr>
        <w:t>DSI</w:t>
      </w:r>
      <w:r w:rsidRPr="008857F9">
        <w:rPr>
          <w:sz w:val="20"/>
        </w:rPr>
        <w:tab/>
        <w:t>División de Supervisión Interna</w:t>
      </w:r>
    </w:p>
    <w:p w:rsidR="00236E18" w:rsidRPr="00A27770" w:rsidRDefault="00236E18" w:rsidP="00236E18">
      <w:pPr>
        <w:tabs>
          <w:tab w:val="left" w:pos="3227"/>
        </w:tabs>
        <w:spacing w:after="40"/>
        <w:ind w:left="3227" w:hanging="2507"/>
        <w:rPr>
          <w:iCs/>
          <w:sz w:val="20"/>
          <w:lang w:val="es-ES_tradnl"/>
        </w:rPr>
      </w:pPr>
    </w:p>
    <w:p w:rsidR="00236E18" w:rsidRPr="006561C8" w:rsidRDefault="00236E18" w:rsidP="00236E18">
      <w:pPr>
        <w:tabs>
          <w:tab w:val="left" w:pos="3227"/>
        </w:tabs>
        <w:spacing w:after="40"/>
        <w:ind w:left="3227" w:hanging="2507"/>
        <w:rPr>
          <w:iCs/>
          <w:sz w:val="20"/>
          <w:lang w:val="en-US"/>
        </w:rPr>
      </w:pPr>
      <w:r w:rsidRPr="006561C8">
        <w:rPr>
          <w:b/>
          <w:iCs/>
          <w:sz w:val="20"/>
          <w:lang w:val="en-US"/>
        </w:rPr>
        <w:t>E</w:t>
      </w:r>
      <w:r w:rsidRPr="006561C8">
        <w:rPr>
          <w:iCs/>
          <w:sz w:val="20"/>
          <w:lang w:val="en-US"/>
        </w:rPr>
        <w:t>ACIN</w:t>
      </w:r>
      <w:r w:rsidRPr="006561C8">
        <w:rPr>
          <w:iCs/>
          <w:sz w:val="20"/>
          <w:lang w:val="en-US"/>
        </w:rPr>
        <w:tab/>
      </w:r>
      <w:r w:rsidRPr="006561C8">
        <w:rPr>
          <w:i/>
          <w:iCs/>
          <w:sz w:val="20"/>
          <w:lang w:val="en-US"/>
        </w:rPr>
        <w:t>East Africa Climate Innovation Network</w:t>
      </w:r>
    </w:p>
    <w:p w:rsidR="00236E18" w:rsidRPr="008857F9" w:rsidRDefault="00236E18" w:rsidP="00236E18">
      <w:pPr>
        <w:tabs>
          <w:tab w:val="left" w:pos="3227"/>
        </w:tabs>
        <w:spacing w:after="40"/>
        <w:ind w:left="3227" w:hanging="2507"/>
        <w:rPr>
          <w:sz w:val="20"/>
        </w:rPr>
      </w:pPr>
      <w:r w:rsidRPr="008857F9">
        <w:rPr>
          <w:sz w:val="20"/>
        </w:rPr>
        <w:t>ECT</w:t>
      </w:r>
      <w:r w:rsidRPr="008857F9">
        <w:rPr>
          <w:sz w:val="20"/>
        </w:rPr>
        <w:tab/>
        <w:t>Expresiones culturales tradicionales</w:t>
      </w:r>
    </w:p>
    <w:p w:rsidR="00236E18" w:rsidRPr="008857F9" w:rsidRDefault="00236E18" w:rsidP="00236E18">
      <w:pPr>
        <w:tabs>
          <w:tab w:val="left" w:pos="3227"/>
        </w:tabs>
        <w:spacing w:after="40"/>
        <w:ind w:left="3227" w:hanging="2507"/>
        <w:rPr>
          <w:iCs/>
          <w:sz w:val="20"/>
        </w:rPr>
      </w:pPr>
      <w:r w:rsidRPr="008857F9">
        <w:rPr>
          <w:iCs/>
          <w:sz w:val="20"/>
        </w:rPr>
        <w:t>EDMS</w:t>
      </w:r>
      <w:r w:rsidRPr="008857F9">
        <w:rPr>
          <w:iCs/>
          <w:sz w:val="20"/>
        </w:rPr>
        <w:tab/>
        <w:t>Sistema de Gestión Electrónica de Documentos</w:t>
      </w:r>
    </w:p>
    <w:p w:rsidR="00236E18" w:rsidRPr="008857F9" w:rsidRDefault="00236E18" w:rsidP="00236E18">
      <w:pPr>
        <w:tabs>
          <w:tab w:val="left" w:pos="3227"/>
        </w:tabs>
        <w:spacing w:after="40"/>
        <w:ind w:left="3227" w:hanging="2507"/>
        <w:rPr>
          <w:sz w:val="20"/>
        </w:rPr>
      </w:pPr>
      <w:r w:rsidRPr="008857F9">
        <w:rPr>
          <w:sz w:val="20"/>
        </w:rPr>
        <w:lastRenderedPageBreak/>
        <w:t>EGEDA</w:t>
      </w:r>
      <w:r w:rsidRPr="008857F9">
        <w:rPr>
          <w:sz w:val="20"/>
        </w:rPr>
        <w:tab/>
      </w:r>
      <w:r w:rsidRPr="008857F9">
        <w:rPr>
          <w:iCs/>
          <w:sz w:val="20"/>
        </w:rPr>
        <w:t>Entidad de Gestión de Derechos de los Productores Audiovisuales</w:t>
      </w:r>
    </w:p>
    <w:p w:rsidR="00236E18" w:rsidRPr="008857F9" w:rsidRDefault="00236E18" w:rsidP="00236E18">
      <w:pPr>
        <w:tabs>
          <w:tab w:val="left" w:pos="3227"/>
        </w:tabs>
        <w:ind w:left="3227" w:hanging="2507"/>
        <w:rPr>
          <w:sz w:val="20"/>
        </w:rPr>
      </w:pPr>
      <w:r w:rsidRPr="008857F9">
        <w:rPr>
          <w:sz w:val="20"/>
        </w:rPr>
        <w:t>ETSI</w:t>
      </w:r>
      <w:r w:rsidRPr="008857F9">
        <w:rPr>
          <w:sz w:val="20"/>
        </w:rPr>
        <w:tab/>
        <w:t>Instituto Europeo de Normas de Telecomunicación</w:t>
      </w:r>
    </w:p>
    <w:p w:rsidR="00236E18" w:rsidRPr="00D12C13" w:rsidRDefault="00236E18" w:rsidP="00236E18">
      <w:pPr>
        <w:tabs>
          <w:tab w:val="left" w:pos="3227"/>
        </w:tabs>
        <w:spacing w:after="40"/>
        <w:ind w:left="3227" w:hanging="2507"/>
        <w:rPr>
          <w:bCs/>
          <w:sz w:val="20"/>
        </w:rPr>
      </w:pPr>
    </w:p>
    <w:p w:rsidR="00236E18" w:rsidRDefault="00236E18" w:rsidP="00236E18">
      <w:pPr>
        <w:tabs>
          <w:tab w:val="left" w:pos="3227"/>
        </w:tabs>
        <w:spacing w:after="40"/>
        <w:ind w:left="3227" w:hanging="2507"/>
        <w:rPr>
          <w:sz w:val="20"/>
        </w:rPr>
      </w:pPr>
      <w:r w:rsidRPr="008857F9">
        <w:rPr>
          <w:b/>
          <w:bCs/>
          <w:sz w:val="20"/>
        </w:rPr>
        <w:t>F</w:t>
      </w:r>
      <w:r w:rsidRPr="008857F9">
        <w:rPr>
          <w:sz w:val="20"/>
        </w:rPr>
        <w:t>AO</w:t>
      </w:r>
      <w:r w:rsidRPr="008857F9">
        <w:rPr>
          <w:sz w:val="20"/>
        </w:rPr>
        <w:tab/>
        <w:t>Organización de las Naciones Unidas para la Alimentación y la Agricultura</w:t>
      </w:r>
    </w:p>
    <w:p w:rsidR="00236E18" w:rsidRPr="008857F9" w:rsidRDefault="00236E18" w:rsidP="00236E18">
      <w:pPr>
        <w:tabs>
          <w:tab w:val="left" w:pos="3227"/>
        </w:tabs>
        <w:spacing w:after="40"/>
        <w:ind w:left="3227" w:hanging="2507"/>
        <w:rPr>
          <w:sz w:val="20"/>
        </w:rPr>
      </w:pPr>
      <w:r w:rsidRPr="008857F9">
        <w:rPr>
          <w:sz w:val="20"/>
        </w:rPr>
        <w:t>FIT</w:t>
      </w:r>
      <w:r w:rsidRPr="008857F9">
        <w:rPr>
          <w:sz w:val="20"/>
        </w:rPr>
        <w:tab/>
        <w:t>fondos fiduciarios</w:t>
      </w:r>
    </w:p>
    <w:p w:rsidR="00236E18" w:rsidRPr="007C679A" w:rsidRDefault="00236E18" w:rsidP="00236E18">
      <w:pPr>
        <w:tabs>
          <w:tab w:val="left" w:pos="3227"/>
        </w:tabs>
        <w:spacing w:after="40"/>
        <w:ind w:left="3227" w:hanging="2507"/>
        <w:rPr>
          <w:sz w:val="20"/>
        </w:rPr>
      </w:pPr>
      <w:r w:rsidRPr="007C679A">
        <w:rPr>
          <w:bCs/>
          <w:sz w:val="20"/>
        </w:rPr>
        <w:t>FRPI</w:t>
      </w:r>
      <w:r w:rsidRPr="007C679A">
        <w:rPr>
          <w:bCs/>
          <w:sz w:val="20"/>
        </w:rPr>
        <w:tab/>
        <w:t>Fomentar el respeto por la propiedad intelectual</w:t>
      </w:r>
    </w:p>
    <w:p w:rsidR="00236E18" w:rsidRPr="00A27770" w:rsidRDefault="00236E18" w:rsidP="00236E18">
      <w:pPr>
        <w:tabs>
          <w:tab w:val="left" w:pos="3227"/>
        </w:tabs>
        <w:spacing w:after="40"/>
        <w:ind w:left="3227" w:hanging="2507"/>
        <w:rPr>
          <w:bCs/>
          <w:sz w:val="20"/>
          <w:lang w:val="es-ES_tradnl"/>
        </w:rPr>
      </w:pPr>
    </w:p>
    <w:p w:rsidR="00236E18" w:rsidRPr="00125CDD" w:rsidRDefault="00236E18" w:rsidP="00236E18">
      <w:pPr>
        <w:tabs>
          <w:tab w:val="left" w:pos="3227"/>
        </w:tabs>
        <w:spacing w:after="40"/>
        <w:ind w:left="3227" w:hanging="2507"/>
        <w:rPr>
          <w:bCs/>
          <w:sz w:val="20"/>
        </w:rPr>
      </w:pPr>
      <w:r w:rsidRPr="00125CDD">
        <w:rPr>
          <w:b/>
          <w:bCs/>
          <w:sz w:val="20"/>
        </w:rPr>
        <w:t>G</w:t>
      </w:r>
      <w:r w:rsidRPr="00125CDD">
        <w:rPr>
          <w:bCs/>
          <w:sz w:val="20"/>
        </w:rPr>
        <w:t>BD</w:t>
      </w:r>
      <w:r w:rsidRPr="00125CDD">
        <w:rPr>
          <w:bCs/>
          <w:sz w:val="20"/>
        </w:rPr>
        <w:tab/>
        <w:t>Base Mundial de Datos sobre Marcas</w:t>
      </w:r>
    </w:p>
    <w:p w:rsidR="00236E18" w:rsidRPr="00125CDD" w:rsidRDefault="00236E18" w:rsidP="00236E18">
      <w:pPr>
        <w:tabs>
          <w:tab w:val="left" w:pos="3227"/>
        </w:tabs>
        <w:spacing w:after="40"/>
        <w:ind w:left="3227" w:hanging="2507"/>
        <w:rPr>
          <w:bCs/>
          <w:sz w:val="20"/>
        </w:rPr>
      </w:pPr>
      <w:r w:rsidRPr="00125CDD">
        <w:rPr>
          <w:bCs/>
          <w:sz w:val="20"/>
        </w:rPr>
        <w:t>GDD</w:t>
      </w:r>
      <w:r w:rsidRPr="00125CDD">
        <w:rPr>
          <w:bCs/>
          <w:sz w:val="20"/>
        </w:rPr>
        <w:tab/>
        <w:t>Base Mundial de Datos sobre Diseños</w:t>
      </w:r>
    </w:p>
    <w:p w:rsidR="00236E18" w:rsidRPr="00D12C13" w:rsidRDefault="00236E18" w:rsidP="00236E18">
      <w:pPr>
        <w:tabs>
          <w:tab w:val="left" w:pos="3227"/>
        </w:tabs>
        <w:spacing w:after="40"/>
        <w:ind w:left="3227" w:hanging="2507"/>
        <w:rPr>
          <w:b/>
          <w:bCs/>
          <w:sz w:val="20"/>
          <w:lang w:val="en-US"/>
        </w:rPr>
      </w:pPr>
      <w:r w:rsidRPr="00125CDD">
        <w:rPr>
          <w:bCs/>
          <w:sz w:val="20"/>
          <w:lang w:val="en-US"/>
        </w:rPr>
        <w:t>G</w:t>
      </w:r>
      <w:r w:rsidRPr="00D12C13">
        <w:rPr>
          <w:sz w:val="20"/>
          <w:lang w:val="en-US"/>
        </w:rPr>
        <w:t>NIPA</w:t>
      </w:r>
      <w:r w:rsidRPr="00D12C13">
        <w:rPr>
          <w:b/>
          <w:bCs/>
          <w:sz w:val="20"/>
          <w:lang w:val="en-US"/>
        </w:rPr>
        <w:tab/>
      </w:r>
      <w:r w:rsidRPr="00D12C13">
        <w:rPr>
          <w:i/>
          <w:sz w:val="20"/>
          <w:lang w:val="en-US"/>
        </w:rPr>
        <w:t>Global Network of IP Academies</w:t>
      </w:r>
    </w:p>
    <w:p w:rsidR="00236E18" w:rsidRPr="008857F9" w:rsidRDefault="00236E18" w:rsidP="00236E18">
      <w:pPr>
        <w:tabs>
          <w:tab w:val="left" w:pos="3227"/>
        </w:tabs>
        <w:spacing w:after="40"/>
        <w:ind w:left="3227" w:hanging="2507"/>
        <w:rPr>
          <w:sz w:val="20"/>
        </w:rPr>
      </w:pPr>
      <w:proofErr w:type="spellStart"/>
      <w:proofErr w:type="gramStart"/>
      <w:r w:rsidRPr="008857F9">
        <w:rPr>
          <w:sz w:val="20"/>
        </w:rPr>
        <w:t>gTLD</w:t>
      </w:r>
      <w:proofErr w:type="spellEnd"/>
      <w:proofErr w:type="gramEnd"/>
      <w:r w:rsidRPr="008857F9">
        <w:rPr>
          <w:sz w:val="20"/>
        </w:rPr>
        <w:tab/>
        <w:t>Dominios genéricos de nivel superior</w:t>
      </w:r>
    </w:p>
    <w:p w:rsidR="00236E18" w:rsidRDefault="00236E18" w:rsidP="00236E18">
      <w:pPr>
        <w:tabs>
          <w:tab w:val="left" w:pos="3227"/>
        </w:tabs>
        <w:spacing w:after="40"/>
        <w:ind w:left="3227" w:hanging="2507"/>
        <w:rPr>
          <w:sz w:val="20"/>
        </w:rPr>
      </w:pPr>
    </w:p>
    <w:p w:rsidR="00236E18" w:rsidRPr="008857F9" w:rsidRDefault="00236E18" w:rsidP="00236E18">
      <w:pPr>
        <w:tabs>
          <w:tab w:val="left" w:pos="3227"/>
        </w:tabs>
        <w:ind w:left="3227" w:hanging="2507"/>
        <w:rPr>
          <w:sz w:val="20"/>
        </w:rPr>
      </w:pPr>
      <w:r w:rsidRPr="00D12C13">
        <w:rPr>
          <w:b/>
          <w:sz w:val="20"/>
        </w:rPr>
        <w:t>I</w:t>
      </w:r>
      <w:r w:rsidRPr="008857F9">
        <w:rPr>
          <w:sz w:val="20"/>
        </w:rPr>
        <w:t>CANN</w:t>
      </w:r>
      <w:r w:rsidRPr="008857F9">
        <w:rPr>
          <w:sz w:val="20"/>
        </w:rPr>
        <w:tab/>
        <w:t>Corporación para la Asignación de Nombres y Números en Internet</w:t>
      </w:r>
    </w:p>
    <w:p w:rsidR="00236E18" w:rsidRPr="008857F9" w:rsidRDefault="00236E18" w:rsidP="00236E18">
      <w:pPr>
        <w:tabs>
          <w:tab w:val="left" w:pos="3227"/>
        </w:tabs>
        <w:spacing w:after="40"/>
        <w:ind w:left="3227" w:hanging="2507"/>
        <w:rPr>
          <w:sz w:val="20"/>
        </w:rPr>
      </w:pPr>
      <w:r w:rsidRPr="008857F9">
        <w:rPr>
          <w:sz w:val="20"/>
        </w:rPr>
        <w:t>ICOM</w:t>
      </w:r>
      <w:r w:rsidRPr="008857F9">
        <w:rPr>
          <w:sz w:val="20"/>
        </w:rPr>
        <w:tab/>
        <w:t>Consejo Internacional de Museos</w:t>
      </w:r>
    </w:p>
    <w:p w:rsidR="00236E18" w:rsidRPr="008857F9" w:rsidRDefault="00236E18" w:rsidP="00236E18">
      <w:pPr>
        <w:tabs>
          <w:tab w:val="left" w:pos="3227"/>
        </w:tabs>
        <w:ind w:left="3227" w:hanging="2507"/>
        <w:rPr>
          <w:sz w:val="20"/>
        </w:rPr>
      </w:pPr>
      <w:r w:rsidRPr="008857F9">
        <w:rPr>
          <w:sz w:val="20"/>
        </w:rPr>
        <w:t>ICPIP</w:t>
      </w:r>
      <w:r w:rsidRPr="008857F9">
        <w:rPr>
          <w:sz w:val="20"/>
        </w:rPr>
        <w:tab/>
        <w:t xml:space="preserve">Consejo Interestatal </w:t>
      </w:r>
      <w:r>
        <w:rPr>
          <w:sz w:val="20"/>
        </w:rPr>
        <w:t>para</w:t>
      </w:r>
      <w:r w:rsidRPr="008857F9">
        <w:rPr>
          <w:sz w:val="20"/>
        </w:rPr>
        <w:t xml:space="preserve"> la Protección</w:t>
      </w:r>
      <w:r>
        <w:rPr>
          <w:sz w:val="20"/>
        </w:rPr>
        <w:t xml:space="preserve"> Jurídica y la Observancia </w:t>
      </w:r>
      <w:r w:rsidRPr="008857F9">
        <w:rPr>
          <w:sz w:val="20"/>
        </w:rPr>
        <w:t>de la Propiedad In</w:t>
      </w:r>
      <w:r>
        <w:rPr>
          <w:sz w:val="20"/>
        </w:rPr>
        <w:t>telectual</w:t>
      </w:r>
    </w:p>
    <w:p w:rsidR="00236E18" w:rsidRPr="008857F9" w:rsidRDefault="00236E18" w:rsidP="00236E18">
      <w:pPr>
        <w:tabs>
          <w:tab w:val="left" w:pos="3227"/>
        </w:tabs>
        <w:ind w:left="3227" w:hanging="2507"/>
        <w:rPr>
          <w:sz w:val="20"/>
        </w:rPr>
      </w:pPr>
      <w:r w:rsidRPr="008857F9">
        <w:rPr>
          <w:sz w:val="20"/>
        </w:rPr>
        <w:t>ICSEI</w:t>
      </w:r>
      <w:r w:rsidRPr="008857F9">
        <w:rPr>
          <w:sz w:val="20"/>
        </w:rPr>
        <w:tab/>
        <w:t>Cooperación Internacional para la Búsqueda y el Examen de Invenciones</w:t>
      </w:r>
    </w:p>
    <w:p w:rsidR="00236E18" w:rsidRPr="008857F9" w:rsidRDefault="00236E18" w:rsidP="00236E18">
      <w:pPr>
        <w:tabs>
          <w:tab w:val="left" w:pos="3227"/>
        </w:tabs>
        <w:spacing w:after="40"/>
        <w:ind w:left="3227" w:hanging="2507"/>
        <w:rPr>
          <w:sz w:val="20"/>
        </w:rPr>
      </w:pPr>
      <w:r w:rsidRPr="008857F9">
        <w:rPr>
          <w:sz w:val="20"/>
        </w:rPr>
        <w:t>I+D</w:t>
      </w:r>
      <w:r w:rsidRPr="008857F9">
        <w:rPr>
          <w:sz w:val="20"/>
        </w:rPr>
        <w:tab/>
        <w:t>Investigación y Desarrollo</w:t>
      </w:r>
    </w:p>
    <w:p w:rsidR="00236E18" w:rsidRPr="008857F9" w:rsidRDefault="00236E18" w:rsidP="00236E18">
      <w:pPr>
        <w:tabs>
          <w:tab w:val="left" w:pos="3227"/>
        </w:tabs>
        <w:spacing w:after="40"/>
        <w:ind w:left="3227" w:hanging="2507"/>
        <w:rPr>
          <w:sz w:val="20"/>
        </w:rPr>
      </w:pPr>
      <w:r w:rsidRPr="008857F9">
        <w:rPr>
          <w:sz w:val="20"/>
        </w:rPr>
        <w:t>IIA</w:t>
      </w:r>
      <w:r w:rsidRPr="008857F9">
        <w:rPr>
          <w:sz w:val="20"/>
        </w:rPr>
        <w:tab/>
        <w:t>Instituto de Auditores Internos</w:t>
      </w:r>
    </w:p>
    <w:p w:rsidR="00236E18" w:rsidRPr="008857F9" w:rsidRDefault="00236E18" w:rsidP="00236E18">
      <w:pPr>
        <w:tabs>
          <w:tab w:val="left" w:pos="3227"/>
        </w:tabs>
        <w:spacing w:after="40"/>
        <w:ind w:left="3227" w:hanging="2507"/>
        <w:rPr>
          <w:sz w:val="20"/>
        </w:rPr>
      </w:pPr>
      <w:r w:rsidRPr="008857F9">
        <w:rPr>
          <w:sz w:val="20"/>
        </w:rPr>
        <w:t>IMPI</w:t>
      </w:r>
      <w:r w:rsidRPr="008857F9">
        <w:rPr>
          <w:sz w:val="20"/>
        </w:rPr>
        <w:tab/>
        <w:t>Instituto Mexicano de la Propiedad Industrial</w:t>
      </w:r>
    </w:p>
    <w:p w:rsidR="00236E18" w:rsidRDefault="00236E18" w:rsidP="00236E18">
      <w:pPr>
        <w:tabs>
          <w:tab w:val="left" w:pos="3227"/>
        </w:tabs>
        <w:spacing w:after="40"/>
        <w:ind w:left="3227" w:hanging="2507"/>
        <w:rPr>
          <w:sz w:val="20"/>
        </w:rPr>
      </w:pPr>
      <w:r w:rsidRPr="008857F9">
        <w:rPr>
          <w:sz w:val="20"/>
        </w:rPr>
        <w:t>INPI</w:t>
      </w:r>
      <w:r w:rsidRPr="008857F9">
        <w:rPr>
          <w:sz w:val="20"/>
        </w:rPr>
        <w:tab/>
        <w:t>Instituto Nacional de la Propiedad Industrial (Brasil)</w:t>
      </w:r>
    </w:p>
    <w:p w:rsidR="00236E18" w:rsidRDefault="00236E18" w:rsidP="00236E18">
      <w:pPr>
        <w:tabs>
          <w:tab w:val="left" w:pos="3227"/>
        </w:tabs>
        <w:spacing w:after="40"/>
        <w:ind w:left="3227" w:hanging="2507"/>
        <w:rPr>
          <w:sz w:val="20"/>
        </w:rPr>
      </w:pPr>
      <w:r>
        <w:rPr>
          <w:sz w:val="20"/>
        </w:rPr>
        <w:t>IP-DMD</w:t>
      </w:r>
      <w:r>
        <w:rPr>
          <w:sz w:val="20"/>
        </w:rPr>
        <w:tab/>
      </w:r>
      <w:r w:rsidRPr="009309A0">
        <w:rPr>
          <w:sz w:val="20"/>
        </w:rPr>
        <w:t>Base de datos de vinculaci</w:t>
      </w:r>
      <w:r w:rsidRPr="009309A0">
        <w:rPr>
          <w:rFonts w:ascii="Tahoma" w:hAnsi="Tahoma" w:cs="Tahoma"/>
          <w:sz w:val="20"/>
        </w:rPr>
        <w:t>ó</w:t>
      </w:r>
      <w:r w:rsidRPr="009309A0">
        <w:rPr>
          <w:sz w:val="20"/>
        </w:rPr>
        <w:t>n para atender las necesidades de desarrollo en materia de P.I.</w:t>
      </w:r>
    </w:p>
    <w:p w:rsidR="00236E18" w:rsidRDefault="00236E18" w:rsidP="00236E18">
      <w:pPr>
        <w:tabs>
          <w:tab w:val="left" w:pos="3227"/>
        </w:tabs>
        <w:spacing w:after="40"/>
        <w:ind w:left="3227" w:hanging="2507"/>
        <w:rPr>
          <w:sz w:val="20"/>
        </w:rPr>
      </w:pPr>
      <w:r>
        <w:rPr>
          <w:sz w:val="20"/>
        </w:rPr>
        <w:t>IP-ROC</w:t>
      </w:r>
      <w:r>
        <w:rPr>
          <w:sz w:val="20"/>
        </w:rPr>
        <w:tab/>
        <w:t>Lista de consultores en propiedad intelectual</w:t>
      </w:r>
    </w:p>
    <w:p w:rsidR="00236E18" w:rsidRPr="008857F9" w:rsidRDefault="00236E18" w:rsidP="00236E18">
      <w:pPr>
        <w:tabs>
          <w:tab w:val="left" w:pos="3227"/>
        </w:tabs>
        <w:spacing w:after="40"/>
        <w:ind w:left="3227" w:hanging="2507"/>
        <w:rPr>
          <w:sz w:val="20"/>
        </w:rPr>
      </w:pPr>
      <w:r>
        <w:rPr>
          <w:sz w:val="20"/>
        </w:rPr>
        <w:t>IP-TAD</w:t>
      </w:r>
      <w:r>
        <w:rPr>
          <w:sz w:val="20"/>
        </w:rPr>
        <w:tab/>
      </w:r>
      <w:r w:rsidRPr="009309A0">
        <w:rPr>
          <w:sz w:val="20"/>
        </w:rPr>
        <w:t>Base de datos de asistencia técnica en materia de propiedad intelectual</w:t>
      </w:r>
    </w:p>
    <w:p w:rsidR="00236E18" w:rsidRPr="008857F9" w:rsidRDefault="00236E18" w:rsidP="00236E18">
      <w:pPr>
        <w:tabs>
          <w:tab w:val="left" w:pos="3227"/>
        </w:tabs>
        <w:ind w:left="3227" w:hanging="2507"/>
        <w:rPr>
          <w:sz w:val="20"/>
        </w:rPr>
      </w:pPr>
      <w:r w:rsidRPr="008857F9">
        <w:rPr>
          <w:sz w:val="20"/>
        </w:rPr>
        <w:t>IPACIS</w:t>
      </w:r>
      <w:r w:rsidRPr="008857F9">
        <w:rPr>
          <w:sz w:val="20"/>
        </w:rPr>
        <w:tab/>
        <w:t>Asamblea de los Estados miembros de la CEI</w:t>
      </w:r>
    </w:p>
    <w:p w:rsidR="00236E18" w:rsidRPr="00D12C13" w:rsidRDefault="00236E18" w:rsidP="00236E18">
      <w:pPr>
        <w:tabs>
          <w:tab w:val="left" w:pos="3227"/>
        </w:tabs>
        <w:spacing w:after="40"/>
        <w:ind w:left="3227" w:hanging="2507"/>
        <w:rPr>
          <w:sz w:val="20"/>
          <w:lang w:val="es-ES_tradnl"/>
        </w:rPr>
      </w:pPr>
      <w:r w:rsidRPr="00D12C13">
        <w:rPr>
          <w:sz w:val="20"/>
          <w:lang w:val="es-ES_tradnl"/>
        </w:rPr>
        <w:t>IPAG</w:t>
      </w:r>
      <w:r w:rsidRPr="00D12C13">
        <w:rPr>
          <w:sz w:val="20"/>
          <w:lang w:val="es-ES_tradnl"/>
        </w:rPr>
        <w:tab/>
      </w:r>
      <w:proofErr w:type="spellStart"/>
      <w:r w:rsidRPr="00D12C13">
        <w:rPr>
          <w:i/>
          <w:sz w:val="20"/>
          <w:lang w:val="es-ES_tradnl"/>
        </w:rPr>
        <w:t>Intellectual</w:t>
      </w:r>
      <w:proofErr w:type="spellEnd"/>
      <w:r w:rsidRPr="00D12C13">
        <w:rPr>
          <w:i/>
          <w:sz w:val="20"/>
          <w:lang w:val="es-ES_tradnl"/>
        </w:rPr>
        <w:t xml:space="preserve"> </w:t>
      </w:r>
      <w:proofErr w:type="spellStart"/>
      <w:r w:rsidRPr="00D12C13">
        <w:rPr>
          <w:i/>
          <w:sz w:val="20"/>
          <w:lang w:val="es-ES_tradnl"/>
        </w:rPr>
        <w:t>Property</w:t>
      </w:r>
      <w:proofErr w:type="spellEnd"/>
      <w:r w:rsidRPr="00D12C13">
        <w:rPr>
          <w:i/>
          <w:sz w:val="20"/>
          <w:lang w:val="es-ES_tradnl"/>
        </w:rPr>
        <w:t xml:space="preserve"> </w:t>
      </w:r>
      <w:proofErr w:type="spellStart"/>
      <w:r w:rsidRPr="00D12C13">
        <w:rPr>
          <w:i/>
          <w:sz w:val="20"/>
          <w:lang w:val="es-ES_tradnl"/>
        </w:rPr>
        <w:t>Agreement</w:t>
      </w:r>
      <w:proofErr w:type="spellEnd"/>
      <w:r w:rsidRPr="00D12C13">
        <w:rPr>
          <w:i/>
          <w:sz w:val="20"/>
          <w:lang w:val="es-ES_tradnl"/>
        </w:rPr>
        <w:t xml:space="preserve"> </w:t>
      </w:r>
      <w:proofErr w:type="spellStart"/>
      <w:r w:rsidRPr="00D12C13">
        <w:rPr>
          <w:i/>
          <w:sz w:val="20"/>
          <w:lang w:val="es-ES_tradnl"/>
        </w:rPr>
        <w:t>Guide</w:t>
      </w:r>
      <w:proofErr w:type="spellEnd"/>
    </w:p>
    <w:p w:rsidR="00236E18" w:rsidRPr="008857F9" w:rsidRDefault="00236E18" w:rsidP="00236E18">
      <w:pPr>
        <w:tabs>
          <w:tab w:val="left" w:pos="3227"/>
        </w:tabs>
        <w:spacing w:after="40"/>
        <w:ind w:left="3227" w:hanging="2507"/>
        <w:rPr>
          <w:sz w:val="20"/>
        </w:rPr>
      </w:pPr>
      <w:r w:rsidRPr="008857F9">
        <w:rPr>
          <w:sz w:val="20"/>
        </w:rPr>
        <w:t>IPAS</w:t>
      </w:r>
      <w:r w:rsidRPr="008857F9">
        <w:rPr>
          <w:sz w:val="20"/>
        </w:rPr>
        <w:tab/>
        <w:t>Sistema de Automatización de la Propiedad Industrial</w:t>
      </w:r>
    </w:p>
    <w:p w:rsidR="00236E18" w:rsidRDefault="00236E18" w:rsidP="00236E18">
      <w:pPr>
        <w:tabs>
          <w:tab w:val="left" w:pos="3227"/>
        </w:tabs>
        <w:spacing w:after="40"/>
        <w:ind w:left="3227" w:hanging="2507"/>
        <w:rPr>
          <w:sz w:val="20"/>
        </w:rPr>
      </w:pPr>
      <w:r w:rsidRPr="008857F9">
        <w:rPr>
          <w:sz w:val="20"/>
        </w:rPr>
        <w:t>IPSAS</w:t>
      </w:r>
      <w:r w:rsidRPr="008857F9">
        <w:rPr>
          <w:sz w:val="20"/>
        </w:rPr>
        <w:tab/>
        <w:t>Normas Internacionales de Contabilidad del Sector Público</w:t>
      </w:r>
    </w:p>
    <w:p w:rsidR="00236E18" w:rsidRPr="008857F9" w:rsidRDefault="00236E18" w:rsidP="00236E18">
      <w:pPr>
        <w:tabs>
          <w:tab w:val="left" w:pos="3227"/>
        </w:tabs>
        <w:spacing w:after="40"/>
        <w:ind w:left="3227" w:hanging="2507"/>
        <w:rPr>
          <w:sz w:val="20"/>
        </w:rPr>
      </w:pPr>
      <w:r>
        <w:rPr>
          <w:sz w:val="20"/>
        </w:rPr>
        <w:t>ISO</w:t>
      </w:r>
      <w:r>
        <w:rPr>
          <w:sz w:val="20"/>
        </w:rPr>
        <w:tab/>
        <w:t>Organización Internacional de Normalización</w:t>
      </w:r>
    </w:p>
    <w:p w:rsidR="00236E18" w:rsidRPr="008857F9" w:rsidRDefault="00236E18" w:rsidP="00236E18">
      <w:pPr>
        <w:tabs>
          <w:tab w:val="left" w:pos="3227"/>
        </w:tabs>
        <w:spacing w:after="40"/>
        <w:ind w:left="3227" w:hanging="2507"/>
        <w:rPr>
          <w:sz w:val="20"/>
        </w:rPr>
      </w:pPr>
      <w:r w:rsidRPr="008857F9">
        <w:rPr>
          <w:sz w:val="20"/>
        </w:rPr>
        <w:t>ITIL</w:t>
      </w:r>
      <w:r w:rsidRPr="008857F9">
        <w:rPr>
          <w:sz w:val="20"/>
        </w:rPr>
        <w:tab/>
        <w:t>Biblioteca de Infraestructura de T.I.</w:t>
      </w:r>
    </w:p>
    <w:p w:rsidR="00236E18" w:rsidRPr="008857F9" w:rsidRDefault="00236E18" w:rsidP="00236E18">
      <w:pPr>
        <w:tabs>
          <w:tab w:val="left" w:pos="3227"/>
        </w:tabs>
        <w:ind w:left="3227" w:hanging="2507"/>
        <w:rPr>
          <w:sz w:val="20"/>
        </w:rPr>
      </w:pPr>
      <w:r w:rsidRPr="008857F9">
        <w:rPr>
          <w:sz w:val="20"/>
        </w:rPr>
        <w:t>ITPGRFA</w:t>
      </w:r>
      <w:r w:rsidRPr="008857F9">
        <w:rPr>
          <w:sz w:val="20"/>
        </w:rPr>
        <w:tab/>
        <w:t xml:space="preserve">Tratado Internacional sobre los Recursos </w:t>
      </w:r>
      <w:proofErr w:type="spellStart"/>
      <w:r w:rsidRPr="008857F9">
        <w:rPr>
          <w:sz w:val="20"/>
        </w:rPr>
        <w:t>Fitogenéticos</w:t>
      </w:r>
      <w:proofErr w:type="spellEnd"/>
      <w:r w:rsidRPr="008857F9">
        <w:rPr>
          <w:sz w:val="20"/>
        </w:rPr>
        <w:t xml:space="preserve"> para la Alimentación y la Agricultura</w:t>
      </w:r>
    </w:p>
    <w:p w:rsidR="00236E18" w:rsidRDefault="00236E18" w:rsidP="00236E18">
      <w:pPr>
        <w:tabs>
          <w:tab w:val="left" w:pos="3227"/>
        </w:tabs>
        <w:spacing w:after="40"/>
        <w:ind w:left="3227" w:hanging="2507"/>
        <w:rPr>
          <w:sz w:val="20"/>
        </w:rPr>
      </w:pPr>
    </w:p>
    <w:p w:rsidR="00236E18" w:rsidRPr="008857F9" w:rsidRDefault="00236E18" w:rsidP="00236E18">
      <w:pPr>
        <w:tabs>
          <w:tab w:val="left" w:pos="3227"/>
        </w:tabs>
        <w:spacing w:after="40"/>
        <w:ind w:left="3227" w:hanging="2507"/>
        <w:rPr>
          <w:sz w:val="20"/>
        </w:rPr>
      </w:pPr>
      <w:r w:rsidRPr="00D12C13">
        <w:rPr>
          <w:b/>
          <w:sz w:val="20"/>
        </w:rPr>
        <w:t>K</w:t>
      </w:r>
      <w:r w:rsidRPr="008857F9">
        <w:rPr>
          <w:sz w:val="20"/>
        </w:rPr>
        <w:t>OTEC</w:t>
      </w:r>
      <w:r w:rsidRPr="008857F9">
        <w:rPr>
          <w:sz w:val="20"/>
        </w:rPr>
        <w:tab/>
      </w:r>
      <w:proofErr w:type="spellStart"/>
      <w:r w:rsidRPr="008857F9">
        <w:rPr>
          <w:i/>
          <w:sz w:val="20"/>
        </w:rPr>
        <w:t>Korea</w:t>
      </w:r>
      <w:proofErr w:type="spellEnd"/>
      <w:r w:rsidRPr="008857F9">
        <w:rPr>
          <w:i/>
          <w:sz w:val="20"/>
        </w:rPr>
        <w:t xml:space="preserve"> </w:t>
      </w:r>
      <w:proofErr w:type="spellStart"/>
      <w:r w:rsidRPr="008857F9">
        <w:rPr>
          <w:i/>
          <w:sz w:val="20"/>
        </w:rPr>
        <w:t>Technology</w:t>
      </w:r>
      <w:proofErr w:type="spellEnd"/>
      <w:r w:rsidRPr="008857F9">
        <w:rPr>
          <w:i/>
          <w:sz w:val="20"/>
        </w:rPr>
        <w:t xml:space="preserve"> </w:t>
      </w:r>
      <w:proofErr w:type="spellStart"/>
      <w:r w:rsidRPr="008857F9">
        <w:rPr>
          <w:i/>
          <w:sz w:val="20"/>
        </w:rPr>
        <w:t>Finance</w:t>
      </w:r>
      <w:proofErr w:type="spellEnd"/>
      <w:r w:rsidRPr="008857F9">
        <w:rPr>
          <w:i/>
          <w:sz w:val="20"/>
        </w:rPr>
        <w:t xml:space="preserve"> </w:t>
      </w:r>
      <w:proofErr w:type="spellStart"/>
      <w:r w:rsidRPr="008857F9">
        <w:rPr>
          <w:i/>
          <w:sz w:val="20"/>
        </w:rPr>
        <w:t>Corporation</w:t>
      </w:r>
      <w:proofErr w:type="spellEnd"/>
    </w:p>
    <w:p w:rsidR="00236E18" w:rsidRDefault="00236E18" w:rsidP="00236E18">
      <w:pPr>
        <w:tabs>
          <w:tab w:val="left" w:pos="3227"/>
        </w:tabs>
        <w:spacing w:after="40"/>
        <w:ind w:left="3227" w:hanging="2507"/>
        <w:rPr>
          <w:sz w:val="20"/>
        </w:rPr>
      </w:pPr>
    </w:p>
    <w:p w:rsidR="00236E18" w:rsidRPr="008857F9" w:rsidRDefault="00236E18" w:rsidP="00236E18">
      <w:pPr>
        <w:tabs>
          <w:tab w:val="left" w:pos="3227"/>
        </w:tabs>
        <w:spacing w:after="40"/>
        <w:ind w:left="3227" w:hanging="2507"/>
        <w:rPr>
          <w:sz w:val="20"/>
        </w:rPr>
      </w:pPr>
      <w:r w:rsidRPr="00D12C13">
        <w:rPr>
          <w:b/>
          <w:sz w:val="20"/>
        </w:rPr>
        <w:t>M</w:t>
      </w:r>
      <w:r w:rsidRPr="008857F9">
        <w:rPr>
          <w:sz w:val="20"/>
        </w:rPr>
        <w:t>GS</w:t>
      </w:r>
      <w:r w:rsidRPr="008857F9">
        <w:rPr>
          <w:sz w:val="20"/>
        </w:rPr>
        <w:tab/>
        <w:t>Gestor de Productos y Servicios de Madrid</w:t>
      </w:r>
    </w:p>
    <w:p w:rsidR="00236E18" w:rsidRDefault="00236E18" w:rsidP="00236E18">
      <w:pPr>
        <w:tabs>
          <w:tab w:val="left" w:pos="3227"/>
        </w:tabs>
        <w:spacing w:after="40"/>
        <w:ind w:left="3227" w:hanging="2507"/>
        <w:rPr>
          <w:sz w:val="20"/>
        </w:rPr>
      </w:pPr>
    </w:p>
    <w:p w:rsidR="00236E18" w:rsidRDefault="00236E18" w:rsidP="00236E18">
      <w:pPr>
        <w:tabs>
          <w:tab w:val="left" w:pos="3227"/>
        </w:tabs>
        <w:spacing w:after="40"/>
        <w:ind w:left="3227" w:hanging="2507"/>
        <w:rPr>
          <w:sz w:val="20"/>
        </w:rPr>
      </w:pPr>
      <w:r w:rsidRPr="00D12C13">
        <w:rPr>
          <w:b/>
          <w:sz w:val="20"/>
        </w:rPr>
        <w:t>N</w:t>
      </w:r>
      <w:r w:rsidRPr="008857F9">
        <w:rPr>
          <w:sz w:val="20"/>
        </w:rPr>
        <w:t>N.UU.</w:t>
      </w:r>
      <w:r w:rsidRPr="008857F9">
        <w:rPr>
          <w:sz w:val="20"/>
        </w:rPr>
        <w:tab/>
        <w:t>Naciones Unidas</w:t>
      </w:r>
    </w:p>
    <w:p w:rsidR="00236E18" w:rsidRPr="008857F9" w:rsidRDefault="00236E18" w:rsidP="00236E18">
      <w:pPr>
        <w:tabs>
          <w:tab w:val="left" w:pos="3227"/>
        </w:tabs>
        <w:spacing w:after="40"/>
        <w:ind w:left="3227" w:hanging="2507"/>
        <w:rPr>
          <w:sz w:val="20"/>
        </w:rPr>
      </w:pPr>
    </w:p>
    <w:p w:rsidR="00236E18" w:rsidRPr="00D12C13" w:rsidRDefault="00236E18" w:rsidP="00236E18">
      <w:pPr>
        <w:tabs>
          <w:tab w:val="left" w:pos="3227"/>
        </w:tabs>
        <w:spacing w:after="40"/>
        <w:ind w:left="3227" w:hanging="2507"/>
        <w:rPr>
          <w:sz w:val="20"/>
        </w:rPr>
      </w:pPr>
      <w:r w:rsidRPr="008857F9">
        <w:rPr>
          <w:b/>
          <w:sz w:val="20"/>
        </w:rPr>
        <w:t>O</w:t>
      </w:r>
      <w:r w:rsidRPr="00D12C13">
        <w:rPr>
          <w:sz w:val="20"/>
        </w:rPr>
        <w:t>AMI</w:t>
      </w:r>
      <w:r w:rsidRPr="00D12C13">
        <w:rPr>
          <w:sz w:val="20"/>
        </w:rPr>
        <w:tab/>
        <w:t>Oficina de Armonización del Mercado Interior</w:t>
      </w:r>
    </w:p>
    <w:p w:rsidR="00236E18" w:rsidRPr="008857F9" w:rsidRDefault="00236E18" w:rsidP="00236E18">
      <w:pPr>
        <w:tabs>
          <w:tab w:val="left" w:pos="3227"/>
        </w:tabs>
        <w:spacing w:after="40"/>
        <w:ind w:left="3227" w:hanging="2507"/>
        <w:rPr>
          <w:sz w:val="20"/>
        </w:rPr>
      </w:pPr>
      <w:r w:rsidRPr="00D12C13">
        <w:rPr>
          <w:bCs/>
          <w:sz w:val="20"/>
        </w:rPr>
        <w:t>ODM</w:t>
      </w:r>
      <w:r w:rsidRPr="008857F9">
        <w:rPr>
          <w:sz w:val="20"/>
        </w:rPr>
        <w:tab/>
        <w:t>Objetivos de Desarrollo del Milenio</w:t>
      </w:r>
    </w:p>
    <w:p w:rsidR="00236E18" w:rsidRDefault="00236E18" w:rsidP="00236E18">
      <w:pPr>
        <w:tabs>
          <w:tab w:val="left" w:pos="3227"/>
        </w:tabs>
        <w:spacing w:after="40"/>
        <w:ind w:left="3227" w:hanging="2507"/>
        <w:rPr>
          <w:sz w:val="20"/>
        </w:rPr>
      </w:pPr>
      <w:r>
        <w:rPr>
          <w:sz w:val="20"/>
        </w:rPr>
        <w:t>ODS</w:t>
      </w:r>
      <w:r>
        <w:rPr>
          <w:sz w:val="20"/>
        </w:rPr>
        <w:tab/>
        <w:t>Objetivos de desarrollo sostenible</w:t>
      </w:r>
    </w:p>
    <w:p w:rsidR="00236E18" w:rsidRPr="008857F9" w:rsidRDefault="00236E18" w:rsidP="00236E18">
      <w:pPr>
        <w:tabs>
          <w:tab w:val="left" w:pos="3227"/>
        </w:tabs>
        <w:spacing w:after="40"/>
        <w:ind w:left="3227" w:hanging="2507"/>
        <w:rPr>
          <w:sz w:val="20"/>
        </w:rPr>
      </w:pPr>
      <w:r w:rsidRPr="008857F9">
        <w:rPr>
          <w:sz w:val="20"/>
        </w:rPr>
        <w:t>OEP</w:t>
      </w:r>
      <w:r w:rsidRPr="008857F9">
        <w:rPr>
          <w:sz w:val="20"/>
        </w:rPr>
        <w:tab/>
        <w:t>Oficina Europea de Patentes</w:t>
      </w:r>
    </w:p>
    <w:p w:rsidR="00236E18" w:rsidRPr="008857F9" w:rsidRDefault="00236E18" w:rsidP="00236E18">
      <w:pPr>
        <w:tabs>
          <w:tab w:val="left" w:pos="3227"/>
        </w:tabs>
        <w:spacing w:after="40"/>
        <w:ind w:left="3227" w:hanging="2507"/>
        <w:rPr>
          <w:sz w:val="20"/>
        </w:rPr>
      </w:pPr>
      <w:r w:rsidRPr="008857F9">
        <w:rPr>
          <w:sz w:val="20"/>
        </w:rPr>
        <w:t>OGC</w:t>
      </w:r>
      <w:r w:rsidRPr="008857F9">
        <w:rPr>
          <w:sz w:val="20"/>
        </w:rPr>
        <w:tab/>
        <w:t>Organismos de gestión colectiva</w:t>
      </w:r>
    </w:p>
    <w:p w:rsidR="00236E18" w:rsidRPr="008857F9" w:rsidRDefault="00236E18" w:rsidP="00236E18">
      <w:pPr>
        <w:tabs>
          <w:tab w:val="left" w:pos="3227"/>
        </w:tabs>
        <w:spacing w:after="40"/>
        <w:ind w:left="3227" w:hanging="2507"/>
        <w:rPr>
          <w:sz w:val="20"/>
        </w:rPr>
      </w:pPr>
      <w:r w:rsidRPr="008857F9">
        <w:rPr>
          <w:sz w:val="20"/>
        </w:rPr>
        <w:t>OIG</w:t>
      </w:r>
      <w:r w:rsidRPr="008857F9">
        <w:rPr>
          <w:sz w:val="20"/>
        </w:rPr>
        <w:tab/>
        <w:t>Organizaciones intergubernamentales</w:t>
      </w:r>
    </w:p>
    <w:p w:rsidR="00236E18" w:rsidRPr="00D12C13" w:rsidRDefault="00236E18" w:rsidP="00236E18">
      <w:pPr>
        <w:tabs>
          <w:tab w:val="left" w:pos="3227"/>
        </w:tabs>
        <w:spacing w:after="40"/>
        <w:ind w:left="3227" w:hanging="2507"/>
        <w:rPr>
          <w:sz w:val="20"/>
        </w:rPr>
      </w:pPr>
      <w:r w:rsidRPr="00D12C13">
        <w:rPr>
          <w:bCs/>
          <w:sz w:val="20"/>
        </w:rPr>
        <w:t>OMA</w:t>
      </w:r>
      <w:r w:rsidRPr="00D12C13">
        <w:rPr>
          <w:sz w:val="20"/>
        </w:rPr>
        <w:tab/>
        <w:t>Organización Mundial de Aduanas</w:t>
      </w:r>
    </w:p>
    <w:p w:rsidR="00236E18" w:rsidRPr="00D12C13" w:rsidRDefault="00236E18" w:rsidP="00236E18">
      <w:pPr>
        <w:tabs>
          <w:tab w:val="left" w:pos="3227"/>
        </w:tabs>
        <w:spacing w:after="40"/>
        <w:ind w:left="3227" w:hanging="2507"/>
        <w:rPr>
          <w:sz w:val="20"/>
        </w:rPr>
      </w:pPr>
      <w:r w:rsidRPr="00D12C13">
        <w:rPr>
          <w:sz w:val="20"/>
        </w:rPr>
        <w:t>OMC</w:t>
      </w:r>
      <w:r w:rsidRPr="00D12C13">
        <w:rPr>
          <w:sz w:val="20"/>
        </w:rPr>
        <w:tab/>
        <w:t>Organización Mundial del Comercio</w:t>
      </w:r>
    </w:p>
    <w:p w:rsidR="00236E18" w:rsidRPr="00D12C13" w:rsidRDefault="00236E18" w:rsidP="00236E18">
      <w:pPr>
        <w:tabs>
          <w:tab w:val="left" w:pos="3227"/>
        </w:tabs>
        <w:spacing w:after="40"/>
        <w:ind w:left="3227" w:hanging="2507"/>
        <w:rPr>
          <w:sz w:val="20"/>
        </w:rPr>
      </w:pPr>
      <w:r w:rsidRPr="00D12C13">
        <w:rPr>
          <w:sz w:val="20"/>
        </w:rPr>
        <w:t>OMS</w:t>
      </w:r>
      <w:r w:rsidRPr="00D12C13">
        <w:rPr>
          <w:sz w:val="20"/>
        </w:rPr>
        <w:tab/>
        <w:t>Organización Mundial de la Salud</w:t>
      </w:r>
    </w:p>
    <w:p w:rsidR="00236E18" w:rsidRPr="008857F9" w:rsidRDefault="00236E18" w:rsidP="00236E18">
      <w:pPr>
        <w:tabs>
          <w:tab w:val="left" w:pos="3227"/>
        </w:tabs>
        <w:spacing w:after="40"/>
        <w:ind w:left="3227" w:hanging="2507"/>
        <w:rPr>
          <w:sz w:val="20"/>
        </w:rPr>
      </w:pPr>
      <w:r w:rsidRPr="00D12C13">
        <w:rPr>
          <w:bCs/>
          <w:sz w:val="20"/>
        </w:rPr>
        <w:lastRenderedPageBreak/>
        <w:t>ONG</w:t>
      </w:r>
      <w:r w:rsidRPr="008857F9">
        <w:rPr>
          <w:sz w:val="20"/>
        </w:rPr>
        <w:tab/>
        <w:t>Organizaci</w:t>
      </w:r>
      <w:r>
        <w:rPr>
          <w:sz w:val="20"/>
        </w:rPr>
        <w:t>ones</w:t>
      </w:r>
      <w:r w:rsidRPr="008857F9">
        <w:rPr>
          <w:sz w:val="20"/>
        </w:rPr>
        <w:t xml:space="preserve"> no gubernamental</w:t>
      </w:r>
      <w:r>
        <w:rPr>
          <w:sz w:val="20"/>
        </w:rPr>
        <w:t>es</w:t>
      </w:r>
    </w:p>
    <w:p w:rsidR="00236E18" w:rsidRPr="008857F9" w:rsidRDefault="00236E18" w:rsidP="00236E18">
      <w:pPr>
        <w:tabs>
          <w:tab w:val="left" w:pos="3227"/>
        </w:tabs>
        <w:spacing w:after="40"/>
        <w:ind w:left="3227" w:hanging="2507"/>
        <w:rPr>
          <w:sz w:val="20"/>
        </w:rPr>
      </w:pPr>
      <w:r w:rsidRPr="008857F9">
        <w:rPr>
          <w:sz w:val="20"/>
        </w:rPr>
        <w:t>ONUDI</w:t>
      </w:r>
      <w:r w:rsidRPr="008857F9">
        <w:rPr>
          <w:sz w:val="20"/>
        </w:rPr>
        <w:tab/>
        <w:t>Organización de las Naciones Unidas para el Desarrollo Industrial</w:t>
      </w:r>
    </w:p>
    <w:p w:rsidR="00236E18" w:rsidRPr="008857F9" w:rsidRDefault="00236E18" w:rsidP="00236E18">
      <w:pPr>
        <w:tabs>
          <w:tab w:val="left" w:pos="3227"/>
        </w:tabs>
        <w:spacing w:after="40"/>
        <w:ind w:left="3227" w:hanging="2507"/>
        <w:rPr>
          <w:sz w:val="20"/>
        </w:rPr>
      </w:pPr>
      <w:r>
        <w:rPr>
          <w:sz w:val="20"/>
        </w:rPr>
        <w:t>OOB</w:t>
      </w:r>
      <w:r w:rsidRPr="008857F9">
        <w:rPr>
          <w:sz w:val="20"/>
        </w:rPr>
        <w:tab/>
        <w:t xml:space="preserve">Oficina de la OMPI en </w:t>
      </w:r>
      <w:r>
        <w:rPr>
          <w:sz w:val="20"/>
        </w:rPr>
        <w:t>el Brasil</w:t>
      </w:r>
    </w:p>
    <w:p w:rsidR="00236E18" w:rsidRPr="008857F9" w:rsidRDefault="00236E18" w:rsidP="00236E18">
      <w:pPr>
        <w:tabs>
          <w:tab w:val="left" w:pos="3227"/>
        </w:tabs>
        <w:spacing w:after="40"/>
        <w:ind w:left="3227" w:hanging="2507"/>
        <w:rPr>
          <w:sz w:val="20"/>
        </w:rPr>
      </w:pPr>
      <w:r w:rsidRPr="008857F9">
        <w:rPr>
          <w:sz w:val="20"/>
        </w:rPr>
        <w:t>OO</w:t>
      </w:r>
      <w:r>
        <w:rPr>
          <w:sz w:val="20"/>
        </w:rPr>
        <w:t>C</w:t>
      </w:r>
      <w:r w:rsidRPr="008857F9">
        <w:rPr>
          <w:sz w:val="20"/>
        </w:rPr>
        <w:tab/>
        <w:t xml:space="preserve">Oficina de la OMPI en </w:t>
      </w:r>
      <w:r>
        <w:rPr>
          <w:sz w:val="20"/>
        </w:rPr>
        <w:t>China</w:t>
      </w:r>
    </w:p>
    <w:p w:rsidR="00236E18" w:rsidRPr="008857F9" w:rsidRDefault="00236E18" w:rsidP="00236E18">
      <w:pPr>
        <w:tabs>
          <w:tab w:val="left" w:pos="3227"/>
        </w:tabs>
        <w:spacing w:after="40"/>
        <w:ind w:left="3227" w:hanging="2507"/>
        <w:rPr>
          <w:sz w:val="20"/>
        </w:rPr>
      </w:pPr>
      <w:r>
        <w:rPr>
          <w:sz w:val="20"/>
        </w:rPr>
        <w:t>OOJ</w:t>
      </w:r>
      <w:r w:rsidRPr="008857F9">
        <w:rPr>
          <w:sz w:val="20"/>
        </w:rPr>
        <w:tab/>
        <w:t xml:space="preserve">Oficina de la OMPI en </w:t>
      </w:r>
      <w:r>
        <w:rPr>
          <w:sz w:val="20"/>
        </w:rPr>
        <w:t>el Japón</w:t>
      </w:r>
    </w:p>
    <w:p w:rsidR="00236E18" w:rsidRPr="008857F9" w:rsidRDefault="00236E18" w:rsidP="00236E18">
      <w:pPr>
        <w:tabs>
          <w:tab w:val="left" w:pos="3227"/>
        </w:tabs>
        <w:spacing w:after="40"/>
        <w:ind w:left="3227" w:hanging="2507"/>
        <w:rPr>
          <w:sz w:val="20"/>
        </w:rPr>
      </w:pPr>
      <w:r w:rsidRPr="008857F9">
        <w:rPr>
          <w:sz w:val="20"/>
        </w:rPr>
        <w:t>OO</w:t>
      </w:r>
      <w:r>
        <w:rPr>
          <w:sz w:val="20"/>
        </w:rPr>
        <w:t>R</w:t>
      </w:r>
      <w:r w:rsidRPr="008857F9">
        <w:rPr>
          <w:sz w:val="20"/>
        </w:rPr>
        <w:tab/>
        <w:t xml:space="preserve">Oficina de la OMPI en </w:t>
      </w:r>
      <w:r>
        <w:rPr>
          <w:sz w:val="20"/>
        </w:rPr>
        <w:t>la Federación de Rusia</w:t>
      </w:r>
    </w:p>
    <w:p w:rsidR="00236E18" w:rsidRPr="008857F9" w:rsidRDefault="00236E18" w:rsidP="00236E18">
      <w:pPr>
        <w:tabs>
          <w:tab w:val="left" w:pos="3227"/>
        </w:tabs>
        <w:spacing w:after="40"/>
        <w:ind w:left="3227" w:hanging="2507"/>
        <w:rPr>
          <w:sz w:val="20"/>
        </w:rPr>
      </w:pPr>
      <w:r w:rsidRPr="008857F9">
        <w:rPr>
          <w:sz w:val="20"/>
        </w:rPr>
        <w:t>OOS</w:t>
      </w:r>
      <w:r w:rsidRPr="008857F9">
        <w:rPr>
          <w:sz w:val="20"/>
        </w:rPr>
        <w:tab/>
        <w:t>Oficina de la OMPI en Singapur</w:t>
      </w:r>
    </w:p>
    <w:p w:rsidR="00236E18" w:rsidRPr="008857F9" w:rsidRDefault="00236E18" w:rsidP="00236E18">
      <w:pPr>
        <w:tabs>
          <w:tab w:val="left" w:pos="3227"/>
        </w:tabs>
        <w:spacing w:after="40"/>
        <w:ind w:left="3227" w:hanging="2507"/>
        <w:rPr>
          <w:sz w:val="20"/>
        </w:rPr>
      </w:pPr>
      <w:r w:rsidRPr="008857F9">
        <w:rPr>
          <w:sz w:val="20"/>
        </w:rPr>
        <w:t>OPI</w:t>
      </w:r>
      <w:r w:rsidRPr="008857F9">
        <w:rPr>
          <w:sz w:val="20"/>
        </w:rPr>
        <w:tab/>
        <w:t>Oficina</w:t>
      </w:r>
      <w:r>
        <w:rPr>
          <w:sz w:val="20"/>
        </w:rPr>
        <w:t>(s)</w:t>
      </w:r>
      <w:r w:rsidRPr="008857F9">
        <w:rPr>
          <w:sz w:val="20"/>
        </w:rPr>
        <w:t xml:space="preserve"> de propiedad intelectual</w:t>
      </w:r>
    </w:p>
    <w:p w:rsidR="00236E18" w:rsidRPr="008857F9" w:rsidRDefault="00236E18" w:rsidP="00236E18">
      <w:pPr>
        <w:tabs>
          <w:tab w:val="left" w:pos="3227"/>
        </w:tabs>
        <w:spacing w:after="40"/>
        <w:ind w:left="3227" w:hanging="2507"/>
        <w:rPr>
          <w:sz w:val="20"/>
        </w:rPr>
      </w:pPr>
      <w:r w:rsidRPr="008857F9">
        <w:rPr>
          <w:sz w:val="20"/>
        </w:rPr>
        <w:t>OPOPHL</w:t>
      </w:r>
      <w:r w:rsidRPr="008857F9">
        <w:rPr>
          <w:sz w:val="20"/>
        </w:rPr>
        <w:tab/>
        <w:t>Oficina de Propiedad Intelectual de Filipinas</w:t>
      </w:r>
    </w:p>
    <w:p w:rsidR="00236E18" w:rsidRPr="008857F9" w:rsidRDefault="00236E18" w:rsidP="00236E18">
      <w:pPr>
        <w:tabs>
          <w:tab w:val="left" w:pos="3227"/>
        </w:tabs>
        <w:spacing w:after="40"/>
        <w:ind w:left="3227" w:hanging="2507"/>
        <w:rPr>
          <w:sz w:val="20"/>
        </w:rPr>
      </w:pPr>
      <w:r w:rsidRPr="008857F9">
        <w:rPr>
          <w:sz w:val="20"/>
        </w:rPr>
        <w:t>OTT</w:t>
      </w:r>
      <w:r w:rsidRPr="008857F9">
        <w:rPr>
          <w:sz w:val="20"/>
        </w:rPr>
        <w:tab/>
        <w:t>Oficina de transferencia de tecnología</w:t>
      </w:r>
    </w:p>
    <w:p w:rsidR="00236E18" w:rsidRDefault="00236E18" w:rsidP="00236E18">
      <w:pPr>
        <w:keepNext/>
        <w:keepLines/>
        <w:tabs>
          <w:tab w:val="left" w:pos="3227"/>
        </w:tabs>
        <w:spacing w:after="40"/>
        <w:ind w:left="3227" w:hanging="2507"/>
        <w:rPr>
          <w:sz w:val="20"/>
          <w:lang w:val="es-ES_tradnl"/>
        </w:rPr>
      </w:pPr>
    </w:p>
    <w:p w:rsidR="00236E18" w:rsidRDefault="00236E18" w:rsidP="00236E18">
      <w:pPr>
        <w:keepNext/>
        <w:keepLines/>
        <w:tabs>
          <w:tab w:val="left" w:pos="3227"/>
        </w:tabs>
        <w:spacing w:after="40"/>
        <w:ind w:left="3227" w:hanging="2507"/>
        <w:rPr>
          <w:b/>
          <w:sz w:val="20"/>
        </w:rPr>
      </w:pPr>
      <w:r w:rsidRPr="00D12C13">
        <w:rPr>
          <w:b/>
          <w:sz w:val="20"/>
        </w:rPr>
        <w:t>P</w:t>
      </w:r>
      <w:r w:rsidRPr="00CD5F30">
        <w:rPr>
          <w:sz w:val="20"/>
        </w:rPr>
        <w:t>AI</w:t>
      </w:r>
      <w:r>
        <w:rPr>
          <w:b/>
          <w:sz w:val="20"/>
        </w:rPr>
        <w:tab/>
      </w:r>
      <w:r w:rsidRPr="00CD5F30">
        <w:rPr>
          <w:sz w:val="20"/>
        </w:rPr>
        <w:t>Programa de asistencia a inventores</w:t>
      </w:r>
      <w:r>
        <w:rPr>
          <w:b/>
          <w:sz w:val="20"/>
        </w:rPr>
        <w:tab/>
      </w:r>
    </w:p>
    <w:p w:rsidR="00236E18" w:rsidRPr="008857F9" w:rsidRDefault="00236E18" w:rsidP="00236E18">
      <w:pPr>
        <w:keepNext/>
        <w:keepLines/>
        <w:tabs>
          <w:tab w:val="left" w:pos="3227"/>
        </w:tabs>
        <w:spacing w:after="40"/>
        <w:ind w:left="3227" w:hanging="2507"/>
        <w:rPr>
          <w:sz w:val="20"/>
        </w:rPr>
      </w:pPr>
      <w:r w:rsidRPr="00CD5F30">
        <w:rPr>
          <w:sz w:val="20"/>
        </w:rPr>
        <w:t>P</w:t>
      </w:r>
      <w:r w:rsidRPr="008857F9">
        <w:rPr>
          <w:sz w:val="20"/>
        </w:rPr>
        <w:t>aíses T/D</w:t>
      </w:r>
      <w:r w:rsidRPr="008857F9">
        <w:rPr>
          <w:sz w:val="20"/>
        </w:rPr>
        <w:tab/>
        <w:t>Países con economías en transición</w:t>
      </w:r>
      <w:r>
        <w:rPr>
          <w:sz w:val="20"/>
        </w:rPr>
        <w:t xml:space="preserve"> y países </w:t>
      </w:r>
      <w:r w:rsidRPr="008857F9">
        <w:rPr>
          <w:sz w:val="20"/>
        </w:rPr>
        <w:t>desarrollados</w:t>
      </w:r>
    </w:p>
    <w:p w:rsidR="00236E18" w:rsidRPr="008857F9" w:rsidRDefault="00236E18" w:rsidP="00236E18">
      <w:pPr>
        <w:tabs>
          <w:tab w:val="left" w:pos="3227"/>
        </w:tabs>
        <w:spacing w:after="40"/>
        <w:ind w:left="3227" w:hanging="2507"/>
        <w:rPr>
          <w:sz w:val="20"/>
        </w:rPr>
      </w:pPr>
      <w:r w:rsidRPr="008857F9">
        <w:rPr>
          <w:sz w:val="20"/>
        </w:rPr>
        <w:t>PCT</w:t>
      </w:r>
      <w:r w:rsidRPr="008857F9">
        <w:rPr>
          <w:sz w:val="20"/>
        </w:rPr>
        <w:tab/>
        <w:t>Tratado de Cooperación en materia de Patentes</w:t>
      </w:r>
    </w:p>
    <w:p w:rsidR="00236E18" w:rsidRPr="008857F9" w:rsidRDefault="00236E18" w:rsidP="00236E18">
      <w:pPr>
        <w:tabs>
          <w:tab w:val="left" w:pos="3227"/>
        </w:tabs>
        <w:spacing w:after="40"/>
        <w:ind w:left="3227" w:hanging="2507"/>
        <w:rPr>
          <w:sz w:val="20"/>
        </w:rPr>
      </w:pPr>
      <w:r w:rsidRPr="008857F9">
        <w:rPr>
          <w:sz w:val="20"/>
        </w:rPr>
        <w:t>PEMP</w:t>
      </w:r>
      <w:r w:rsidRPr="008857F9">
        <w:rPr>
          <w:sz w:val="20"/>
        </w:rPr>
        <w:tab/>
        <w:t>Plan Estratégico a Mediano Plazo</w:t>
      </w:r>
    </w:p>
    <w:p w:rsidR="00236E18" w:rsidRPr="00D12C13" w:rsidRDefault="00236E18" w:rsidP="00236E18">
      <w:pPr>
        <w:tabs>
          <w:tab w:val="left" w:pos="3227"/>
        </w:tabs>
        <w:spacing w:after="40"/>
        <w:ind w:left="3227" w:hanging="2507"/>
        <w:rPr>
          <w:sz w:val="20"/>
          <w:lang w:val="es-ES_tradnl"/>
        </w:rPr>
      </w:pPr>
      <w:r w:rsidRPr="00D12C13">
        <w:rPr>
          <w:sz w:val="20"/>
          <w:lang w:val="es-ES_tradnl"/>
        </w:rPr>
        <w:t>P.I.</w:t>
      </w:r>
      <w:r w:rsidRPr="00D12C13">
        <w:rPr>
          <w:sz w:val="20"/>
          <w:lang w:val="es-ES_tradnl"/>
        </w:rPr>
        <w:tab/>
        <w:t>Propiedad intelectual</w:t>
      </w:r>
    </w:p>
    <w:p w:rsidR="00236E18" w:rsidRPr="00D12C13" w:rsidRDefault="00236E18" w:rsidP="00236E18">
      <w:pPr>
        <w:tabs>
          <w:tab w:val="left" w:pos="3227"/>
        </w:tabs>
        <w:spacing w:after="40"/>
        <w:ind w:left="3227" w:hanging="2507"/>
        <w:rPr>
          <w:sz w:val="20"/>
        </w:rPr>
      </w:pPr>
      <w:r w:rsidRPr="00D12C13">
        <w:rPr>
          <w:sz w:val="20"/>
        </w:rPr>
        <w:t>PLT</w:t>
      </w:r>
      <w:r w:rsidRPr="00D12C13">
        <w:rPr>
          <w:sz w:val="20"/>
        </w:rPr>
        <w:tab/>
        <w:t>Tratado sobre el Derecho de Patentes</w:t>
      </w:r>
    </w:p>
    <w:p w:rsidR="00236E18" w:rsidRPr="00D12C13" w:rsidRDefault="00236E18" w:rsidP="00236E18">
      <w:pPr>
        <w:tabs>
          <w:tab w:val="left" w:pos="3227"/>
        </w:tabs>
        <w:spacing w:after="40"/>
        <w:ind w:left="3227" w:hanging="2507"/>
        <w:rPr>
          <w:sz w:val="20"/>
        </w:rPr>
      </w:pPr>
      <w:r w:rsidRPr="00D12C13">
        <w:rPr>
          <w:bCs/>
          <w:sz w:val="20"/>
        </w:rPr>
        <w:t>PMA</w:t>
      </w:r>
      <w:r w:rsidRPr="00D12C13">
        <w:rPr>
          <w:sz w:val="20"/>
        </w:rPr>
        <w:tab/>
        <w:t>Países menos adelantados</w:t>
      </w:r>
    </w:p>
    <w:p w:rsidR="00236E18" w:rsidRPr="008857F9" w:rsidRDefault="00236E18" w:rsidP="00236E18">
      <w:pPr>
        <w:tabs>
          <w:tab w:val="left" w:pos="3227"/>
        </w:tabs>
        <w:spacing w:after="40"/>
        <w:ind w:left="3227" w:hanging="2507"/>
        <w:rPr>
          <w:sz w:val="20"/>
        </w:rPr>
      </w:pPr>
      <w:r w:rsidRPr="00D12C13">
        <w:rPr>
          <w:sz w:val="20"/>
        </w:rPr>
        <w:t>PMSDS</w:t>
      </w:r>
      <w:r w:rsidRPr="008857F9">
        <w:rPr>
          <w:sz w:val="20"/>
        </w:rPr>
        <w:tab/>
      </w:r>
      <w:r w:rsidRPr="008857F9">
        <w:rPr>
          <w:snapToGrid w:val="0"/>
          <w:sz w:val="20"/>
        </w:rPr>
        <w:t>Sistema de Gestión del Desempeño y el Perfeccionamiento del Personal</w:t>
      </w:r>
    </w:p>
    <w:p w:rsidR="00236E18" w:rsidRPr="008857F9" w:rsidRDefault="00236E18" w:rsidP="00236E18">
      <w:pPr>
        <w:tabs>
          <w:tab w:val="left" w:pos="3227"/>
        </w:tabs>
        <w:spacing w:after="40"/>
        <w:ind w:left="3227" w:hanging="2507"/>
        <w:rPr>
          <w:sz w:val="20"/>
        </w:rPr>
      </w:pPr>
      <w:r w:rsidRPr="008857F9">
        <w:rPr>
          <w:noProof/>
          <w:sz w:val="20"/>
          <w:lang w:val="en-US" w:eastAsia="en-US"/>
        </w:rPr>
        <mc:AlternateContent>
          <mc:Choice Requires="wps">
            <w:drawing>
              <wp:anchor distT="0" distB="0" distL="114300" distR="114300" simplePos="0" relativeHeight="251664384" behindDoc="0" locked="0" layoutInCell="0" allowOverlap="1" wp14:anchorId="0E674E50" wp14:editId="2C340CE9">
                <wp:simplePos x="0" y="0"/>
                <wp:positionH relativeFrom="column">
                  <wp:posOffset>-2118995</wp:posOffset>
                </wp:positionH>
                <wp:positionV relativeFrom="paragraph">
                  <wp:posOffset>83185</wp:posOffset>
                </wp:positionV>
                <wp:extent cx="731520" cy="1097280"/>
                <wp:effectExtent l="10160" t="10795" r="10795" b="6350"/>
                <wp:wrapNone/>
                <wp:docPr id="983" name="Text Box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097280"/>
                        </a:xfrm>
                        <a:prstGeom prst="rect">
                          <a:avLst/>
                        </a:prstGeom>
                        <a:solidFill>
                          <a:srgbClr val="FFFFFF"/>
                        </a:solidFill>
                        <a:ln w="9525">
                          <a:solidFill>
                            <a:srgbClr val="000000"/>
                          </a:solidFill>
                          <a:miter lim="800000"/>
                          <a:headEnd/>
                          <a:tailEnd/>
                        </a:ln>
                      </wps:spPr>
                      <wps:txbx>
                        <w:txbxContent>
                          <w:p w:rsidR="00236E18" w:rsidRDefault="00236E18" w:rsidP="00236E18">
                            <w:pPr>
                              <w:pStyle w:val="BodyTex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3" o:spid="_x0000_s1118" type="#_x0000_t202" style="position:absolute;left:0;text-align:left;margin-left:-166.85pt;margin-top:6.55pt;width:57.6pt;height:86.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" o:allowincell="f">
                <v:textbox>
                  <w:txbxContent>
                    <w:p w:rsidR="00236E18" w:rsidRDefault="00236E18" w:rsidP="00236E18">
                      <w:pPr>
                        <w:pStyle w:val="BodyText2"/>
                      </w:pPr>
                    </w:p>
                  </w:txbxContent>
                </v:textbox>
              </v:shape>
            </w:pict>
          </mc:Fallback>
        </mc:AlternateContent>
      </w:r>
      <w:r w:rsidRPr="008857F9">
        <w:rPr>
          <w:sz w:val="20"/>
        </w:rPr>
        <w:t>PNUMA</w:t>
      </w:r>
      <w:r w:rsidRPr="008857F9">
        <w:rPr>
          <w:sz w:val="20"/>
        </w:rPr>
        <w:tab/>
        <w:t>Programa de las Naciones Unidas para el Medio Ambiente</w:t>
      </w:r>
    </w:p>
    <w:p w:rsidR="00236E18" w:rsidRPr="008857F9" w:rsidRDefault="00236E18" w:rsidP="00236E18">
      <w:pPr>
        <w:tabs>
          <w:tab w:val="left" w:pos="3227"/>
        </w:tabs>
        <w:spacing w:after="40"/>
        <w:ind w:left="3227" w:hanging="2507"/>
        <w:rPr>
          <w:sz w:val="20"/>
        </w:rPr>
      </w:pPr>
      <w:r w:rsidRPr="00D12C13">
        <w:rPr>
          <w:bCs/>
          <w:sz w:val="20"/>
        </w:rPr>
        <w:t>Política Uniforme</w:t>
      </w:r>
      <w:r w:rsidRPr="00D12C13">
        <w:rPr>
          <w:sz w:val="20"/>
        </w:rPr>
        <w:tab/>
        <w:t xml:space="preserve">Política Uniforme de Solución de Controversias en materia de </w:t>
      </w:r>
      <w:r w:rsidRPr="008857F9">
        <w:rPr>
          <w:sz w:val="20"/>
        </w:rPr>
        <w:t>Nombres de Dominio</w:t>
      </w:r>
    </w:p>
    <w:p w:rsidR="00236E18" w:rsidRPr="008857F9" w:rsidRDefault="00236E18" w:rsidP="00236E18">
      <w:pPr>
        <w:tabs>
          <w:tab w:val="left" w:pos="3227"/>
        </w:tabs>
        <w:spacing w:after="180"/>
        <w:ind w:left="3227" w:hanging="2507"/>
        <w:rPr>
          <w:sz w:val="20"/>
        </w:rPr>
      </w:pPr>
      <w:r w:rsidRPr="008857F9">
        <w:rPr>
          <w:sz w:val="20"/>
        </w:rPr>
        <w:t>PPR</w:t>
      </w:r>
      <w:r w:rsidRPr="008857F9">
        <w:rPr>
          <w:sz w:val="20"/>
        </w:rPr>
        <w:tab/>
        <w:t>Informe sobre el rendimiento de los programas</w:t>
      </w:r>
    </w:p>
    <w:p w:rsidR="00236E18" w:rsidRPr="008857F9" w:rsidRDefault="00236E18" w:rsidP="00236E18">
      <w:pPr>
        <w:tabs>
          <w:tab w:val="left" w:pos="3227"/>
        </w:tabs>
        <w:ind w:left="3227" w:hanging="2507"/>
        <w:rPr>
          <w:sz w:val="20"/>
        </w:rPr>
      </w:pPr>
      <w:r w:rsidRPr="008857F9">
        <w:rPr>
          <w:sz w:val="20"/>
        </w:rPr>
        <w:t>PRI</w:t>
      </w:r>
      <w:r w:rsidRPr="008857F9">
        <w:rPr>
          <w:sz w:val="20"/>
        </w:rPr>
        <w:tab/>
        <w:t>Planificación de los recursos institucionales</w:t>
      </w:r>
    </w:p>
    <w:p w:rsidR="00236E18" w:rsidRPr="008857F9" w:rsidRDefault="00236E18" w:rsidP="00236E18">
      <w:pPr>
        <w:tabs>
          <w:tab w:val="left" w:pos="3227"/>
        </w:tabs>
        <w:spacing w:after="40"/>
        <w:ind w:left="3227" w:hanging="2507"/>
        <w:rPr>
          <w:sz w:val="20"/>
        </w:rPr>
      </w:pPr>
      <w:r w:rsidRPr="008857F9">
        <w:rPr>
          <w:sz w:val="20"/>
        </w:rPr>
        <w:t>Pyme</w:t>
      </w:r>
      <w:r>
        <w:rPr>
          <w:sz w:val="20"/>
        </w:rPr>
        <w:t>s</w:t>
      </w:r>
      <w:r w:rsidRPr="008857F9">
        <w:rPr>
          <w:sz w:val="20"/>
        </w:rPr>
        <w:tab/>
        <w:t>Pequeñas y medianas empresas</w:t>
      </w:r>
    </w:p>
    <w:p w:rsidR="00236E18" w:rsidRDefault="00236E18" w:rsidP="00236E18">
      <w:pPr>
        <w:tabs>
          <w:tab w:val="left" w:pos="3227"/>
        </w:tabs>
        <w:spacing w:after="40"/>
        <w:ind w:left="3227" w:hanging="2507"/>
        <w:rPr>
          <w:sz w:val="20"/>
        </w:rPr>
      </w:pPr>
    </w:p>
    <w:p w:rsidR="00236E18" w:rsidRDefault="00236E18" w:rsidP="00236E18">
      <w:pPr>
        <w:tabs>
          <w:tab w:val="left" w:pos="3227"/>
        </w:tabs>
        <w:spacing w:after="40"/>
        <w:ind w:left="3227" w:hanging="2507"/>
        <w:rPr>
          <w:sz w:val="20"/>
        </w:rPr>
      </w:pPr>
      <w:r w:rsidRPr="00D12C13">
        <w:rPr>
          <w:b/>
          <w:sz w:val="20"/>
        </w:rPr>
        <w:t>R</w:t>
      </w:r>
      <w:r w:rsidRPr="008857F9">
        <w:rPr>
          <w:sz w:val="20"/>
        </w:rPr>
        <w:t>O</w:t>
      </w:r>
      <w:r w:rsidRPr="008857F9">
        <w:rPr>
          <w:sz w:val="20"/>
        </w:rPr>
        <w:tab/>
        <w:t>Oficina receptora</w:t>
      </w:r>
    </w:p>
    <w:p w:rsidR="00236E18" w:rsidRPr="009309A0" w:rsidRDefault="00236E18" w:rsidP="00236E18">
      <w:pPr>
        <w:tabs>
          <w:tab w:val="left" w:pos="3227"/>
        </w:tabs>
        <w:spacing w:after="40"/>
        <w:ind w:left="3227" w:hanging="2507"/>
        <w:rPr>
          <w:sz w:val="20"/>
        </w:rPr>
      </w:pPr>
      <w:r w:rsidRPr="009309A0">
        <w:rPr>
          <w:sz w:val="20"/>
        </w:rPr>
        <w:t>ROC</w:t>
      </w:r>
      <w:r>
        <w:rPr>
          <w:sz w:val="20"/>
        </w:rPr>
        <w:tab/>
        <w:t>Reconocimiento óptico de caracteres</w:t>
      </w:r>
    </w:p>
    <w:p w:rsidR="00236E18" w:rsidRPr="008857F9" w:rsidRDefault="00236E18" w:rsidP="00236E18">
      <w:pPr>
        <w:tabs>
          <w:tab w:val="left" w:pos="3227"/>
        </w:tabs>
        <w:spacing w:after="40"/>
        <w:ind w:left="3227" w:hanging="2507"/>
        <w:rPr>
          <w:sz w:val="20"/>
        </w:rPr>
      </w:pPr>
      <w:r w:rsidRPr="008857F9">
        <w:rPr>
          <w:sz w:val="20"/>
        </w:rPr>
        <w:t>RR.GG.</w:t>
      </w:r>
      <w:r w:rsidRPr="008857F9">
        <w:rPr>
          <w:sz w:val="20"/>
        </w:rPr>
        <w:tab/>
        <w:t>Recursos genéticos</w:t>
      </w:r>
    </w:p>
    <w:p w:rsidR="00236E18" w:rsidRDefault="00236E18" w:rsidP="00236E18">
      <w:pPr>
        <w:tabs>
          <w:tab w:val="left" w:pos="3227"/>
        </w:tabs>
        <w:spacing w:after="40"/>
        <w:ind w:left="3227" w:hanging="2507"/>
        <w:rPr>
          <w:sz w:val="20"/>
        </w:rPr>
      </w:pPr>
      <w:r w:rsidRPr="00D12C13">
        <w:rPr>
          <w:sz w:val="20"/>
        </w:rPr>
        <w:t>RR.HH.</w:t>
      </w:r>
      <w:r w:rsidRPr="008857F9">
        <w:rPr>
          <w:sz w:val="20"/>
        </w:rPr>
        <w:tab/>
        <w:t>Recursos humanos</w:t>
      </w:r>
    </w:p>
    <w:p w:rsidR="00236E18" w:rsidRPr="008857F9" w:rsidRDefault="00236E18" w:rsidP="00236E18">
      <w:pPr>
        <w:tabs>
          <w:tab w:val="left" w:pos="3227"/>
        </w:tabs>
        <w:spacing w:after="40"/>
        <w:ind w:left="3227" w:hanging="2507"/>
        <w:rPr>
          <w:sz w:val="20"/>
        </w:rPr>
      </w:pPr>
    </w:p>
    <w:p w:rsidR="00236E18" w:rsidRPr="008857F9" w:rsidRDefault="00236E18" w:rsidP="00236E18">
      <w:pPr>
        <w:tabs>
          <w:tab w:val="left" w:pos="3227"/>
        </w:tabs>
        <w:spacing w:after="40"/>
        <w:ind w:left="3227" w:hanging="2507"/>
        <w:rPr>
          <w:sz w:val="20"/>
        </w:rPr>
      </w:pPr>
      <w:r w:rsidRPr="008857F9">
        <w:rPr>
          <w:b/>
          <w:bCs/>
          <w:sz w:val="20"/>
        </w:rPr>
        <w:t>S</w:t>
      </w:r>
      <w:r w:rsidRPr="008857F9">
        <w:rPr>
          <w:sz w:val="20"/>
        </w:rPr>
        <w:t>CCR</w:t>
      </w:r>
      <w:r w:rsidRPr="008857F9">
        <w:rPr>
          <w:sz w:val="20"/>
        </w:rPr>
        <w:tab/>
        <w:t>Comité Permanente de Derecho de Autor y Derechos Conexos</w:t>
      </w:r>
    </w:p>
    <w:p w:rsidR="00236E18" w:rsidRPr="008857F9" w:rsidRDefault="00236E18" w:rsidP="00236E18">
      <w:pPr>
        <w:tabs>
          <w:tab w:val="left" w:pos="3227"/>
        </w:tabs>
        <w:spacing w:after="40"/>
        <w:ind w:left="3227" w:hanging="2507"/>
        <w:rPr>
          <w:sz w:val="20"/>
        </w:rPr>
      </w:pPr>
      <w:r w:rsidRPr="008857F9">
        <w:rPr>
          <w:sz w:val="20"/>
        </w:rPr>
        <w:t>SCP</w:t>
      </w:r>
      <w:r w:rsidRPr="008857F9">
        <w:rPr>
          <w:sz w:val="20"/>
        </w:rPr>
        <w:tab/>
        <w:t>Comité Permanente sobre el Derecho de Patentes</w:t>
      </w:r>
    </w:p>
    <w:p w:rsidR="00236E18" w:rsidRPr="008857F9" w:rsidRDefault="00236E18" w:rsidP="00236E18">
      <w:pPr>
        <w:tabs>
          <w:tab w:val="left" w:pos="3227"/>
        </w:tabs>
        <w:spacing w:after="40"/>
        <w:ind w:left="3227" w:hanging="2507"/>
        <w:rPr>
          <w:sz w:val="20"/>
        </w:rPr>
      </w:pPr>
      <w:r w:rsidRPr="008857F9">
        <w:rPr>
          <w:sz w:val="20"/>
        </w:rPr>
        <w:t>SCT</w:t>
      </w:r>
      <w:r w:rsidRPr="008857F9">
        <w:rPr>
          <w:sz w:val="20"/>
        </w:rPr>
        <w:tab/>
        <w:t>Comité Permanente sobre el Derecho de Marcas, Diseños Industriales e Indicaciones Geográficas</w:t>
      </w:r>
    </w:p>
    <w:p w:rsidR="00236E18" w:rsidRDefault="00236E18" w:rsidP="00236E18">
      <w:pPr>
        <w:tabs>
          <w:tab w:val="left" w:pos="3227"/>
        </w:tabs>
        <w:spacing w:after="40"/>
        <w:ind w:left="3227" w:hanging="2507"/>
        <w:rPr>
          <w:sz w:val="20"/>
        </w:rPr>
      </w:pPr>
    </w:p>
    <w:p w:rsidR="00236E18" w:rsidRPr="008857F9" w:rsidRDefault="00236E18" w:rsidP="00236E18">
      <w:pPr>
        <w:tabs>
          <w:tab w:val="left" w:pos="3227"/>
        </w:tabs>
        <w:spacing w:after="40"/>
        <w:ind w:left="3227" w:hanging="2507"/>
        <w:rPr>
          <w:b/>
          <w:bCs/>
          <w:sz w:val="20"/>
        </w:rPr>
      </w:pPr>
      <w:r w:rsidRPr="008857F9">
        <w:rPr>
          <w:b/>
          <w:bCs/>
          <w:sz w:val="20"/>
        </w:rPr>
        <w:t>T</w:t>
      </w:r>
      <w:r w:rsidRPr="008857F9">
        <w:rPr>
          <w:sz w:val="20"/>
        </w:rPr>
        <w:t>A</w:t>
      </w:r>
      <w:r w:rsidRPr="008857F9">
        <w:rPr>
          <w:b/>
          <w:bCs/>
          <w:sz w:val="20"/>
        </w:rPr>
        <w:tab/>
      </w:r>
      <w:r w:rsidRPr="008857F9">
        <w:rPr>
          <w:sz w:val="20"/>
        </w:rPr>
        <w:t>Autorización de viaje (formulario)</w:t>
      </w:r>
    </w:p>
    <w:p w:rsidR="00236E18" w:rsidRPr="008857F9" w:rsidRDefault="00236E18" w:rsidP="00236E18">
      <w:pPr>
        <w:tabs>
          <w:tab w:val="left" w:pos="3227"/>
        </w:tabs>
        <w:spacing w:after="40"/>
        <w:ind w:left="3227" w:hanging="2507"/>
        <w:rPr>
          <w:sz w:val="20"/>
        </w:rPr>
      </w:pPr>
      <w:r w:rsidRPr="008857F9">
        <w:rPr>
          <w:sz w:val="20"/>
        </w:rPr>
        <w:t>T.I.</w:t>
      </w:r>
      <w:r w:rsidRPr="008857F9">
        <w:rPr>
          <w:sz w:val="20"/>
        </w:rPr>
        <w:tab/>
        <w:t>Tecnologías de la Información</w:t>
      </w:r>
    </w:p>
    <w:p w:rsidR="00236E18" w:rsidRPr="008857F9" w:rsidRDefault="00236E18" w:rsidP="00236E18">
      <w:pPr>
        <w:tabs>
          <w:tab w:val="left" w:pos="3227"/>
        </w:tabs>
        <w:ind w:left="3227" w:hanging="2507"/>
        <w:rPr>
          <w:sz w:val="20"/>
        </w:rPr>
      </w:pPr>
      <w:r w:rsidRPr="008857F9">
        <w:rPr>
          <w:sz w:val="20"/>
        </w:rPr>
        <w:t>TIC</w:t>
      </w:r>
      <w:r w:rsidRPr="008857F9">
        <w:rPr>
          <w:sz w:val="20"/>
        </w:rPr>
        <w:tab/>
        <w:t xml:space="preserve">Tecnologías de la información y de las comunicaciones </w:t>
      </w:r>
    </w:p>
    <w:p w:rsidR="00236E18" w:rsidRPr="006561C8" w:rsidRDefault="00236E18" w:rsidP="00236E18">
      <w:pPr>
        <w:tabs>
          <w:tab w:val="left" w:pos="3227"/>
        </w:tabs>
        <w:spacing w:after="40"/>
        <w:ind w:left="3227" w:hanging="2507"/>
        <w:rPr>
          <w:i/>
          <w:sz w:val="20"/>
          <w:lang w:val="en-US"/>
        </w:rPr>
      </w:pPr>
      <w:r w:rsidRPr="006561C8">
        <w:rPr>
          <w:sz w:val="20"/>
          <w:lang w:val="en-US"/>
        </w:rPr>
        <w:t>TIGAR</w:t>
      </w:r>
      <w:r w:rsidRPr="006561C8">
        <w:rPr>
          <w:sz w:val="20"/>
          <w:lang w:val="en-US"/>
        </w:rPr>
        <w:tab/>
      </w:r>
      <w:r w:rsidRPr="006561C8">
        <w:rPr>
          <w:i/>
          <w:sz w:val="20"/>
          <w:lang w:val="en-US"/>
        </w:rPr>
        <w:t>Trusted Intermediary Global Accessible Resources</w:t>
      </w:r>
    </w:p>
    <w:p w:rsidR="00236E18" w:rsidRPr="00A27770" w:rsidRDefault="00236E18" w:rsidP="00236E18">
      <w:pPr>
        <w:tabs>
          <w:tab w:val="left" w:pos="3227"/>
        </w:tabs>
        <w:spacing w:after="40"/>
        <w:ind w:left="3227" w:hanging="2507"/>
        <w:rPr>
          <w:sz w:val="20"/>
          <w:lang w:val="en-US"/>
        </w:rPr>
      </w:pPr>
    </w:p>
    <w:p w:rsidR="00236E18" w:rsidRPr="008857F9" w:rsidRDefault="00236E18" w:rsidP="00236E18">
      <w:pPr>
        <w:tabs>
          <w:tab w:val="left" w:pos="3227"/>
        </w:tabs>
        <w:spacing w:after="40"/>
        <w:ind w:left="3227" w:hanging="2507"/>
        <w:rPr>
          <w:sz w:val="20"/>
        </w:rPr>
      </w:pPr>
      <w:r w:rsidRPr="00D12C13">
        <w:rPr>
          <w:b/>
          <w:sz w:val="20"/>
        </w:rPr>
        <w:t>U</w:t>
      </w:r>
      <w:r w:rsidRPr="008857F9">
        <w:rPr>
          <w:sz w:val="20"/>
        </w:rPr>
        <w:t>E</w:t>
      </w:r>
      <w:r w:rsidRPr="008857F9">
        <w:rPr>
          <w:sz w:val="20"/>
        </w:rPr>
        <w:tab/>
        <w:t>Unión Europea</w:t>
      </w:r>
    </w:p>
    <w:p w:rsidR="00236E18" w:rsidRPr="008857F9" w:rsidRDefault="00236E18" w:rsidP="00236E18">
      <w:pPr>
        <w:tabs>
          <w:tab w:val="left" w:pos="3227"/>
        </w:tabs>
        <w:spacing w:after="40"/>
        <w:ind w:left="3227" w:hanging="2507"/>
        <w:rPr>
          <w:sz w:val="20"/>
        </w:rPr>
      </w:pPr>
      <w:r w:rsidRPr="008857F9">
        <w:rPr>
          <w:sz w:val="20"/>
        </w:rPr>
        <w:t>UIT</w:t>
      </w:r>
      <w:r w:rsidRPr="008857F9">
        <w:rPr>
          <w:sz w:val="20"/>
        </w:rPr>
        <w:tab/>
        <w:t>Unión Internacional de Telecomunicaciones</w:t>
      </w:r>
    </w:p>
    <w:p w:rsidR="00236E18" w:rsidRPr="008857F9" w:rsidRDefault="00236E18" w:rsidP="00236E18">
      <w:pPr>
        <w:tabs>
          <w:tab w:val="left" w:pos="3227"/>
        </w:tabs>
        <w:spacing w:after="40"/>
        <w:ind w:left="3227" w:hanging="2507"/>
        <w:rPr>
          <w:sz w:val="20"/>
        </w:rPr>
      </w:pPr>
      <w:r w:rsidRPr="008857F9">
        <w:rPr>
          <w:sz w:val="20"/>
        </w:rPr>
        <w:t>UNCTAD</w:t>
      </w:r>
      <w:r w:rsidRPr="008857F9">
        <w:rPr>
          <w:sz w:val="20"/>
        </w:rPr>
        <w:tab/>
        <w:t>Conferencia de las Naciones Unidas sobre Comercio y Desarrollo</w:t>
      </w:r>
    </w:p>
    <w:p w:rsidR="00236E18" w:rsidRPr="008857F9" w:rsidRDefault="00236E18" w:rsidP="00236E18">
      <w:pPr>
        <w:tabs>
          <w:tab w:val="left" w:pos="3227"/>
        </w:tabs>
        <w:spacing w:after="40"/>
        <w:ind w:left="3227" w:hanging="2507"/>
        <w:rPr>
          <w:sz w:val="20"/>
        </w:rPr>
      </w:pPr>
      <w:r w:rsidRPr="008857F9">
        <w:rPr>
          <w:sz w:val="20"/>
        </w:rPr>
        <w:t>UNESCO</w:t>
      </w:r>
      <w:r w:rsidRPr="008857F9">
        <w:rPr>
          <w:sz w:val="20"/>
        </w:rPr>
        <w:tab/>
        <w:t>Organización de las Naciones Unidas para la Educación, la Ciencia y la Cultura</w:t>
      </w:r>
    </w:p>
    <w:p w:rsidR="00236E18" w:rsidRPr="008857F9" w:rsidRDefault="00236E18" w:rsidP="00236E18">
      <w:pPr>
        <w:tabs>
          <w:tab w:val="left" w:pos="3227"/>
        </w:tabs>
        <w:spacing w:after="40"/>
        <w:ind w:left="3227" w:hanging="2507"/>
        <w:rPr>
          <w:sz w:val="20"/>
        </w:rPr>
      </w:pPr>
      <w:r w:rsidRPr="008857F9">
        <w:rPr>
          <w:sz w:val="20"/>
        </w:rPr>
        <w:t>UN-H-MOSS</w:t>
      </w:r>
      <w:r w:rsidRPr="008857F9">
        <w:rPr>
          <w:sz w:val="20"/>
        </w:rPr>
        <w:tab/>
        <w:t>Normas Mínimas de Seguridad Operacional de las Naciones Unidas</w:t>
      </w:r>
    </w:p>
    <w:p w:rsidR="00236E18" w:rsidRPr="008857F9" w:rsidRDefault="00236E18" w:rsidP="00236E18">
      <w:pPr>
        <w:tabs>
          <w:tab w:val="left" w:pos="3227"/>
        </w:tabs>
        <w:spacing w:after="40"/>
        <w:ind w:left="3227" w:hanging="2507"/>
        <w:rPr>
          <w:sz w:val="20"/>
        </w:rPr>
      </w:pPr>
      <w:r w:rsidRPr="008857F9">
        <w:rPr>
          <w:sz w:val="20"/>
        </w:rPr>
        <w:t>UNOSSC</w:t>
      </w:r>
      <w:r w:rsidRPr="008857F9">
        <w:rPr>
          <w:sz w:val="20"/>
        </w:rPr>
        <w:tab/>
        <w:t>Oficina de las Naciones Unidas para la Cooperación Sur-Sur</w:t>
      </w:r>
    </w:p>
    <w:p w:rsidR="00236E18" w:rsidRPr="008857F9" w:rsidRDefault="00236E18" w:rsidP="00236E18">
      <w:pPr>
        <w:tabs>
          <w:tab w:val="left" w:pos="3227"/>
        </w:tabs>
        <w:spacing w:after="40"/>
        <w:ind w:left="3227" w:hanging="2507"/>
        <w:rPr>
          <w:sz w:val="20"/>
        </w:rPr>
      </w:pPr>
      <w:r w:rsidRPr="008857F9">
        <w:rPr>
          <w:sz w:val="20"/>
        </w:rPr>
        <w:t>UNSAS</w:t>
      </w:r>
      <w:r w:rsidRPr="008857F9">
        <w:rPr>
          <w:sz w:val="20"/>
        </w:rPr>
        <w:tab/>
        <w:t>Normas de contabilidad del sistema de Naciones Unidas</w:t>
      </w:r>
    </w:p>
    <w:p w:rsidR="00236E18" w:rsidRPr="008857F9" w:rsidRDefault="00236E18" w:rsidP="00236E18">
      <w:pPr>
        <w:tabs>
          <w:tab w:val="left" w:pos="3227"/>
        </w:tabs>
        <w:spacing w:after="40"/>
        <w:ind w:left="3227" w:hanging="2507"/>
        <w:rPr>
          <w:sz w:val="20"/>
        </w:rPr>
      </w:pPr>
      <w:r w:rsidRPr="008857F9">
        <w:rPr>
          <w:sz w:val="20"/>
        </w:rPr>
        <w:t>UPOV</w:t>
      </w:r>
      <w:r w:rsidRPr="008857F9">
        <w:rPr>
          <w:sz w:val="20"/>
        </w:rPr>
        <w:tab/>
        <w:t>Unión Internacional para la Protección de las Obtenciones Vegetales</w:t>
      </w:r>
    </w:p>
    <w:p w:rsidR="00236E18" w:rsidRPr="008857F9" w:rsidRDefault="00236E18" w:rsidP="00236E18">
      <w:pPr>
        <w:tabs>
          <w:tab w:val="left" w:pos="3227"/>
        </w:tabs>
        <w:spacing w:after="40"/>
        <w:ind w:left="3227" w:hanging="2507"/>
        <w:rPr>
          <w:sz w:val="20"/>
        </w:rPr>
      </w:pPr>
      <w:r w:rsidRPr="008857F9">
        <w:rPr>
          <w:sz w:val="20"/>
        </w:rPr>
        <w:t>USPTO</w:t>
      </w:r>
      <w:r w:rsidRPr="008857F9">
        <w:rPr>
          <w:sz w:val="20"/>
        </w:rPr>
        <w:tab/>
        <w:t>Oficina de Patentes y Marcas de los Estados Unidos de América</w:t>
      </w:r>
    </w:p>
    <w:p w:rsidR="00236E18" w:rsidRDefault="00236E18" w:rsidP="00236E18">
      <w:pPr>
        <w:tabs>
          <w:tab w:val="left" w:pos="3227"/>
        </w:tabs>
        <w:spacing w:after="40"/>
        <w:ind w:left="3227" w:hanging="2507"/>
        <w:rPr>
          <w:sz w:val="20"/>
        </w:rPr>
      </w:pPr>
    </w:p>
    <w:p w:rsidR="00236E18" w:rsidRDefault="00236E18" w:rsidP="00236E18">
      <w:pPr>
        <w:tabs>
          <w:tab w:val="left" w:pos="3227"/>
        </w:tabs>
        <w:spacing w:after="40"/>
        <w:ind w:left="3227" w:hanging="2507"/>
        <w:rPr>
          <w:sz w:val="20"/>
        </w:rPr>
      </w:pPr>
      <w:r w:rsidRPr="00D12C13">
        <w:rPr>
          <w:b/>
          <w:sz w:val="20"/>
        </w:rPr>
        <w:t>W</w:t>
      </w:r>
      <w:r>
        <w:rPr>
          <w:sz w:val="20"/>
        </w:rPr>
        <w:t>CC</w:t>
      </w:r>
      <w:r>
        <w:rPr>
          <w:sz w:val="20"/>
        </w:rPr>
        <w:tab/>
      </w:r>
      <w:r w:rsidRPr="009E58E8">
        <w:rPr>
          <w:i/>
          <w:sz w:val="20"/>
        </w:rPr>
        <w:t xml:space="preserve">WIPO Copyright </w:t>
      </w:r>
      <w:proofErr w:type="spellStart"/>
      <w:r w:rsidRPr="009E58E8">
        <w:rPr>
          <w:i/>
          <w:sz w:val="20"/>
        </w:rPr>
        <w:t>Connection</w:t>
      </w:r>
      <w:proofErr w:type="spellEnd"/>
    </w:p>
    <w:p w:rsidR="00236E18" w:rsidRDefault="00236E18" w:rsidP="00236E18">
      <w:pPr>
        <w:tabs>
          <w:tab w:val="left" w:pos="3227"/>
        </w:tabs>
        <w:spacing w:after="40"/>
        <w:ind w:left="3227" w:hanging="2507"/>
        <w:rPr>
          <w:sz w:val="20"/>
        </w:rPr>
      </w:pPr>
      <w:r w:rsidRPr="008857F9">
        <w:rPr>
          <w:sz w:val="20"/>
        </w:rPr>
        <w:t>WCT</w:t>
      </w:r>
      <w:r w:rsidRPr="008857F9">
        <w:rPr>
          <w:sz w:val="20"/>
        </w:rPr>
        <w:tab/>
        <w:t>Tratado de la OMPI sobre Derecho de Autor</w:t>
      </w:r>
    </w:p>
    <w:p w:rsidR="00236E18" w:rsidRPr="008857F9" w:rsidRDefault="00236E18" w:rsidP="00236E18">
      <w:pPr>
        <w:tabs>
          <w:tab w:val="left" w:pos="3227"/>
        </w:tabs>
        <w:spacing w:after="40"/>
        <w:ind w:left="3227" w:hanging="2507"/>
        <w:rPr>
          <w:sz w:val="20"/>
        </w:rPr>
      </w:pPr>
      <w:r>
        <w:rPr>
          <w:sz w:val="20"/>
        </w:rPr>
        <w:t>WIPO CASE</w:t>
      </w:r>
      <w:r>
        <w:rPr>
          <w:sz w:val="20"/>
        </w:rPr>
        <w:tab/>
        <w:t>Acceso centralizado a los resultados de la búsqueda y el examen</w:t>
      </w:r>
    </w:p>
    <w:p w:rsidR="00236E18" w:rsidRPr="008857F9" w:rsidRDefault="00236E18" w:rsidP="00236E18">
      <w:pPr>
        <w:tabs>
          <w:tab w:val="left" w:pos="3227"/>
        </w:tabs>
        <w:spacing w:after="40"/>
        <w:ind w:left="3227" w:hanging="2507"/>
        <w:rPr>
          <w:sz w:val="20"/>
        </w:rPr>
      </w:pPr>
      <w:r w:rsidRPr="008857F9">
        <w:rPr>
          <w:sz w:val="20"/>
        </w:rPr>
        <w:t>WIPOCOS</w:t>
      </w:r>
      <w:r w:rsidRPr="008857F9">
        <w:rPr>
          <w:sz w:val="20"/>
        </w:rPr>
        <w:tab/>
        <w:t>Programa informático de la OMPI para la gestión colectiva del derecho de autor y los derechos conexos</w:t>
      </w:r>
    </w:p>
    <w:p w:rsidR="00236E18" w:rsidRPr="008857F9" w:rsidRDefault="00236E18" w:rsidP="00236E18">
      <w:pPr>
        <w:tabs>
          <w:tab w:val="left" w:pos="3227"/>
        </w:tabs>
        <w:spacing w:after="40"/>
        <w:ind w:left="3227" w:right="-285" w:hanging="2507"/>
        <w:rPr>
          <w:sz w:val="20"/>
        </w:rPr>
      </w:pPr>
      <w:r w:rsidRPr="008857F9">
        <w:rPr>
          <w:sz w:val="20"/>
        </w:rPr>
        <w:t>WPPT</w:t>
      </w:r>
      <w:r w:rsidRPr="008857F9">
        <w:rPr>
          <w:sz w:val="20"/>
        </w:rPr>
        <w:tab/>
        <w:t>Tratado de la OMPI sobre Interpretación o Ejecución y Fonogramas</w:t>
      </w:r>
    </w:p>
    <w:p w:rsidR="00236E18" w:rsidRDefault="00236E18" w:rsidP="00236E18">
      <w:pPr>
        <w:tabs>
          <w:tab w:val="left" w:pos="1980"/>
          <w:tab w:val="left" w:pos="3261"/>
        </w:tabs>
        <w:ind w:left="2268" w:hanging="2268"/>
        <w:jc w:val="both"/>
        <w:rPr>
          <w:sz w:val="20"/>
        </w:rPr>
      </w:pPr>
    </w:p>
    <w:p w:rsidR="00236E18" w:rsidRDefault="00236E18" w:rsidP="00236E18">
      <w:pPr>
        <w:tabs>
          <w:tab w:val="left" w:pos="1980"/>
          <w:tab w:val="left" w:pos="3261"/>
        </w:tabs>
        <w:ind w:left="2268" w:hanging="2268"/>
        <w:jc w:val="both"/>
        <w:rPr>
          <w:sz w:val="20"/>
        </w:rPr>
      </w:pPr>
    </w:p>
    <w:p w:rsidR="00236E18" w:rsidRPr="002E578C" w:rsidRDefault="00236E18" w:rsidP="00236E18">
      <w:pPr>
        <w:pStyle w:val="Endofdocument"/>
        <w:spacing w:before="360"/>
        <w:rPr>
          <w:rFonts w:ascii="Arial" w:hAnsi="Arial" w:cs="Arial"/>
          <w:sz w:val="20"/>
          <w:lang w:val="es-ES"/>
        </w:rPr>
      </w:pPr>
      <w:r>
        <w:rPr>
          <w:rFonts w:ascii="Arial" w:hAnsi="Arial" w:cs="Arial"/>
          <w:sz w:val="20"/>
          <w:lang w:val="es-ES"/>
        </w:rPr>
        <w:t>[</w:t>
      </w:r>
      <w:r w:rsidRPr="008857F9">
        <w:rPr>
          <w:rFonts w:ascii="Arial" w:hAnsi="Arial" w:cs="Arial"/>
          <w:sz w:val="20"/>
          <w:lang w:val="es-ES"/>
        </w:rPr>
        <w:t>Fin del documento]</w:t>
      </w:r>
    </w:p>
    <w:p w:rsidR="00236E18" w:rsidRPr="00080272" w:rsidRDefault="00236E18" w:rsidP="00236E18">
      <w:pPr>
        <w:rPr>
          <w:lang w:val="es-ES_tradnl"/>
        </w:rPr>
      </w:pPr>
    </w:p>
    <w:p w:rsidR="004901E0" w:rsidRPr="004E38D6" w:rsidRDefault="004901E0" w:rsidP="004E38D6">
      <w:pPr>
        <w:rPr>
          <w:sz w:val="20"/>
        </w:rPr>
      </w:pPr>
    </w:p>
    <w:sectPr w:rsidR="004901E0" w:rsidRPr="004E38D6" w:rsidSect="00080272">
      <w:pgSz w:w="11907" w:h="16839" w:code="9"/>
      <w:pgMar w:top="624" w:right="1418" w:bottom="1361" w:left="1418" w:header="624" w:footer="9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1E0" w:rsidRDefault="004901E0">
      <w:r>
        <w:separator/>
      </w:r>
    </w:p>
  </w:endnote>
  <w:endnote w:type="continuationSeparator" w:id="0">
    <w:p w:rsidR="004901E0" w:rsidRPr="009D30E6" w:rsidRDefault="004901E0" w:rsidP="007E663E">
      <w:pPr>
        <w:rPr>
          <w:sz w:val="17"/>
          <w:szCs w:val="17"/>
        </w:rPr>
      </w:pPr>
      <w:r w:rsidRPr="009D30E6">
        <w:rPr>
          <w:sz w:val="17"/>
          <w:szCs w:val="17"/>
        </w:rPr>
        <w:separator/>
      </w:r>
    </w:p>
    <w:p w:rsidR="004901E0" w:rsidRPr="007E663E" w:rsidRDefault="004901E0" w:rsidP="007E663E">
      <w:pPr>
        <w:spacing w:after="60"/>
        <w:rPr>
          <w:sz w:val="17"/>
          <w:szCs w:val="17"/>
        </w:rPr>
      </w:pPr>
      <w:r>
        <w:rPr>
          <w:sz w:val="17"/>
        </w:rPr>
        <w:t>[Continuación de la nota de la página anterior]</w:t>
      </w:r>
    </w:p>
  </w:endnote>
  <w:endnote w:type="continuationNotice" w:id="1">
    <w:p w:rsidR="004901E0" w:rsidRPr="007E663E" w:rsidRDefault="004901E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altName w:val="MS Mincho"/>
    <w:charset w:val="80"/>
    <w:family w:val="auto"/>
    <w:pitch w:val="variable"/>
    <w:sig w:usb0="00000001" w:usb1="00000000" w:usb2="01000407" w:usb3="00000000" w:csb0="00020000" w:csb1="00000000"/>
  </w:font>
  <w:font w:name="Angsana New">
    <w:panose1 w:val="02020603050405020304"/>
    <w:charset w:val="00"/>
    <w:family w:val="roman"/>
    <w:pitch w:val="variable"/>
    <w:sig w:usb0="81000003" w:usb1="00000000" w:usb2="00000000" w:usb3="00000000" w:csb0="00010001" w:csb1="00000000"/>
  </w:font>
  <w:font w:name="Arial Bold">
    <w:panose1 w:val="020B07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Default="00236E18" w:rsidP="00080272">
    <w:pPr>
      <w:pStyle w:val="Footer"/>
      <w:jc w:val="center"/>
    </w:pPr>
    <w:r w:rsidRPr="00464CE1">
      <w:t>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457778"/>
      <w:docPartObj>
        <w:docPartGallery w:val="Page Numbers (Bottom of Page)"/>
        <w:docPartUnique/>
      </w:docPartObj>
    </w:sdtPr>
    <w:sdtEndPr>
      <w:rPr>
        <w:noProof/>
        <w:sz w:val="20"/>
      </w:rPr>
    </w:sdtEndPr>
    <w:sdtContent>
      <w:p w:rsidR="00236E18" w:rsidRPr="006A0DF9" w:rsidRDefault="00236E18" w:rsidP="00080272">
        <w:pPr>
          <w:pStyle w:val="Footer"/>
          <w:jc w:val="center"/>
          <w:rPr>
            <w:sz w:val="20"/>
          </w:rPr>
        </w:pPr>
        <w:r w:rsidRPr="00BF43CC">
          <w:rPr>
            <w:sz w:val="20"/>
          </w:rPr>
          <w:fldChar w:fldCharType="begin"/>
        </w:r>
        <w:r w:rsidRPr="00BF43CC">
          <w:rPr>
            <w:sz w:val="20"/>
          </w:rPr>
          <w:instrText xml:space="preserve"> PAGE   \* MERGEFORMAT </w:instrText>
        </w:r>
        <w:r w:rsidRPr="00BF43CC">
          <w:rPr>
            <w:sz w:val="20"/>
          </w:rPr>
          <w:fldChar w:fldCharType="separate"/>
        </w:r>
        <w:r w:rsidR="001F0B8C">
          <w:rPr>
            <w:noProof/>
            <w:sz w:val="20"/>
          </w:rPr>
          <w:t>271</w:t>
        </w:r>
        <w:r w:rsidRPr="00BF43CC">
          <w:rPr>
            <w:noProof/>
            <w:sz w:val="20"/>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7851976"/>
      <w:docPartObj>
        <w:docPartGallery w:val="Page Numbers (Bottom of Page)"/>
        <w:docPartUnique/>
      </w:docPartObj>
    </w:sdtPr>
    <w:sdtEndPr>
      <w:rPr>
        <w:noProof/>
        <w:sz w:val="20"/>
      </w:rPr>
    </w:sdtEndPr>
    <w:sdtContent>
      <w:p w:rsidR="00236E18" w:rsidRPr="006A0DF9" w:rsidRDefault="00236E18" w:rsidP="00080272">
        <w:pPr>
          <w:pStyle w:val="Footer"/>
          <w:jc w:val="center"/>
          <w:rPr>
            <w:sz w:val="20"/>
          </w:rPr>
        </w:pPr>
        <w:r w:rsidRPr="00BF43CC">
          <w:rPr>
            <w:sz w:val="20"/>
          </w:rPr>
          <w:fldChar w:fldCharType="begin"/>
        </w:r>
        <w:r w:rsidRPr="00BF43CC">
          <w:rPr>
            <w:sz w:val="20"/>
          </w:rPr>
          <w:instrText xml:space="preserve"> PAGE   \* MERGEFORMAT </w:instrText>
        </w:r>
        <w:r w:rsidRPr="00BF43CC">
          <w:rPr>
            <w:sz w:val="20"/>
          </w:rPr>
          <w:fldChar w:fldCharType="separate"/>
        </w:r>
        <w:r w:rsidR="001F0B8C">
          <w:rPr>
            <w:noProof/>
            <w:sz w:val="20"/>
          </w:rPr>
          <w:t>283</w:t>
        </w:r>
        <w:r w:rsidRPr="00BF43CC">
          <w:rPr>
            <w:noProof/>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1C3A1C" w:rsidRDefault="00236E18" w:rsidP="00F74E12">
    <w:pPr>
      <w:pStyle w:val="Footer"/>
      <w:jc w:val="center"/>
    </w:pPr>
    <w:r w:rsidRPr="00EA2603">
      <w:rPr>
        <w:sz w:val="20"/>
      </w:rPr>
      <w:fldChar w:fldCharType="begin"/>
    </w:r>
    <w:r w:rsidRPr="00EA2603">
      <w:rPr>
        <w:sz w:val="20"/>
      </w:rPr>
      <w:instrText xml:space="preserve"> PAGE   \* MERGEFORMAT </w:instrText>
    </w:r>
    <w:r w:rsidRPr="00EA2603">
      <w:rPr>
        <w:sz w:val="20"/>
      </w:rPr>
      <w:fldChar w:fldCharType="separate"/>
    </w:r>
    <w:r w:rsidR="001F0B8C">
      <w:rPr>
        <w:noProof/>
        <w:sz w:val="20"/>
      </w:rPr>
      <w:t>5</w:t>
    </w:r>
    <w:r w:rsidRPr="00EA2603">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AA2152" w:rsidRDefault="00236E18" w:rsidP="00080272">
    <w:pPr>
      <w:pStyle w:val="Footer"/>
      <w:jc w:val="center"/>
      <w:rPr>
        <w:sz w:val="20"/>
      </w:rPr>
    </w:pPr>
    <w:r w:rsidRPr="00EA2603">
      <w:rPr>
        <w:sz w:val="20"/>
      </w:rPr>
      <w:fldChar w:fldCharType="begin"/>
    </w:r>
    <w:r w:rsidRPr="00EA2603">
      <w:rPr>
        <w:sz w:val="20"/>
      </w:rPr>
      <w:instrText xml:space="preserve"> PAGE   \* MERGEFORMAT </w:instrText>
    </w:r>
    <w:r w:rsidRPr="00EA2603">
      <w:rPr>
        <w:sz w:val="20"/>
      </w:rPr>
      <w:fldChar w:fldCharType="separate"/>
    </w:r>
    <w:r w:rsidR="001F0B8C">
      <w:rPr>
        <w:noProof/>
        <w:sz w:val="20"/>
      </w:rPr>
      <w:t>4</w:t>
    </w:r>
    <w:r w:rsidRPr="00EA2603">
      <w:rPr>
        <w:noProof/>
        <w:sz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B91526" w:rsidRDefault="00236E18" w:rsidP="00080272">
    <w:pPr>
      <w:pStyle w:val="Footer"/>
      <w:jc w:val="center"/>
      <w:rPr>
        <w:sz w:val="20"/>
      </w:rPr>
    </w:pPr>
    <w:r w:rsidRPr="00B91526">
      <w:rPr>
        <w:sz w:val="20"/>
      </w:rPr>
      <w:fldChar w:fldCharType="begin"/>
    </w:r>
    <w:r w:rsidRPr="00B91526">
      <w:rPr>
        <w:sz w:val="20"/>
      </w:rPr>
      <w:instrText xml:space="preserve"> PAGE   \* MERGEFORMAT </w:instrText>
    </w:r>
    <w:r w:rsidRPr="00B91526">
      <w:rPr>
        <w:sz w:val="20"/>
      </w:rPr>
      <w:fldChar w:fldCharType="separate"/>
    </w:r>
    <w:r w:rsidR="001F0B8C">
      <w:rPr>
        <w:noProof/>
        <w:sz w:val="20"/>
      </w:rPr>
      <w:t>3</w:t>
    </w:r>
    <w:r w:rsidRPr="00B91526">
      <w:rPr>
        <w:noProof/>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8161638"/>
      <w:docPartObj>
        <w:docPartGallery w:val="Page Numbers (Bottom of Page)"/>
        <w:docPartUnique/>
      </w:docPartObj>
    </w:sdtPr>
    <w:sdtEndPr>
      <w:rPr>
        <w:noProof/>
        <w:sz w:val="20"/>
      </w:rPr>
    </w:sdtEndPr>
    <w:sdtContent>
      <w:p w:rsidR="00236E18" w:rsidRPr="00ED73D1" w:rsidRDefault="00236E18" w:rsidP="00080272">
        <w:pPr>
          <w:pStyle w:val="Footer"/>
          <w:jc w:val="center"/>
          <w:rPr>
            <w:sz w:val="20"/>
          </w:rPr>
        </w:pPr>
        <w:r w:rsidRPr="00BF43CC">
          <w:rPr>
            <w:sz w:val="20"/>
          </w:rPr>
          <w:fldChar w:fldCharType="begin"/>
        </w:r>
        <w:r w:rsidRPr="00BF43CC">
          <w:rPr>
            <w:sz w:val="20"/>
          </w:rPr>
          <w:instrText xml:space="preserve"> PAGE   \* MERGEFORMAT </w:instrText>
        </w:r>
        <w:r w:rsidRPr="00BF43CC">
          <w:rPr>
            <w:sz w:val="20"/>
          </w:rPr>
          <w:fldChar w:fldCharType="separate"/>
        </w:r>
        <w:r w:rsidR="001F0B8C">
          <w:rPr>
            <w:noProof/>
            <w:sz w:val="20"/>
          </w:rPr>
          <w:t>214</w:t>
        </w:r>
        <w:r w:rsidRPr="00BF43CC">
          <w:rPr>
            <w:noProof/>
            <w:sz w:val="20"/>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762720"/>
      <w:docPartObj>
        <w:docPartGallery w:val="Page Numbers (Bottom of Page)"/>
        <w:docPartUnique/>
      </w:docPartObj>
    </w:sdtPr>
    <w:sdtEndPr>
      <w:rPr>
        <w:noProof/>
        <w:sz w:val="20"/>
      </w:rPr>
    </w:sdtEndPr>
    <w:sdtContent>
      <w:p w:rsidR="00236E18" w:rsidRPr="00ED73D1" w:rsidRDefault="00236E18" w:rsidP="00080272">
        <w:pPr>
          <w:pStyle w:val="Footer"/>
          <w:jc w:val="center"/>
          <w:rPr>
            <w:sz w:val="20"/>
          </w:rPr>
        </w:pPr>
        <w:r w:rsidRPr="00BF43CC">
          <w:rPr>
            <w:sz w:val="20"/>
          </w:rPr>
          <w:fldChar w:fldCharType="begin"/>
        </w:r>
        <w:r w:rsidRPr="00BF43CC">
          <w:rPr>
            <w:sz w:val="20"/>
          </w:rPr>
          <w:instrText xml:space="preserve"> PAGE   \* MERGEFORMAT </w:instrText>
        </w:r>
        <w:r w:rsidRPr="00BF43CC">
          <w:rPr>
            <w:sz w:val="20"/>
          </w:rPr>
          <w:fldChar w:fldCharType="separate"/>
        </w:r>
        <w:r w:rsidR="001F0B8C">
          <w:rPr>
            <w:noProof/>
            <w:sz w:val="20"/>
          </w:rPr>
          <w:t>213</w:t>
        </w:r>
        <w:r w:rsidRPr="00BF43CC">
          <w:rPr>
            <w:noProof/>
            <w:sz w:val="20"/>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C32732" w:rsidRDefault="00236E18" w:rsidP="00080272">
    <w:pPr>
      <w:pStyle w:val="Footer"/>
      <w:jc w:val="center"/>
      <w:rPr>
        <w:sz w:val="20"/>
      </w:rPr>
    </w:pPr>
    <w:r w:rsidRPr="00C32732">
      <w:rPr>
        <w:rStyle w:val="PageNumber"/>
        <w:sz w:val="20"/>
      </w:rPr>
      <w:fldChar w:fldCharType="begin"/>
    </w:r>
    <w:r w:rsidRPr="00C32732">
      <w:rPr>
        <w:rStyle w:val="PageNumber"/>
        <w:sz w:val="20"/>
      </w:rPr>
      <w:instrText xml:space="preserve"> PAGE </w:instrText>
    </w:r>
    <w:r w:rsidRPr="00C32732">
      <w:rPr>
        <w:rStyle w:val="PageNumber"/>
        <w:sz w:val="20"/>
      </w:rPr>
      <w:fldChar w:fldCharType="separate"/>
    </w:r>
    <w:r w:rsidR="001F0B8C">
      <w:rPr>
        <w:rStyle w:val="PageNumber"/>
        <w:noProof/>
        <w:sz w:val="20"/>
      </w:rPr>
      <w:t>254</w:t>
    </w:r>
    <w:r w:rsidRPr="00C32732">
      <w:rPr>
        <w:rStyle w:val="PageNumber"/>
        <w:sz w:val="2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792502" w:rsidRDefault="00236E18" w:rsidP="00080272">
    <w:pPr>
      <w:pStyle w:val="Footer"/>
      <w:jc w:val="center"/>
      <w:rPr>
        <w:sz w:val="20"/>
      </w:rPr>
    </w:pPr>
    <w:r w:rsidRPr="00792502">
      <w:rPr>
        <w:rStyle w:val="PageNumber"/>
        <w:sz w:val="20"/>
      </w:rPr>
      <w:fldChar w:fldCharType="begin"/>
    </w:r>
    <w:r w:rsidRPr="00792502">
      <w:rPr>
        <w:rStyle w:val="PageNumber"/>
        <w:sz w:val="20"/>
      </w:rPr>
      <w:instrText xml:space="preserve"> PAGE </w:instrText>
    </w:r>
    <w:r w:rsidRPr="00792502">
      <w:rPr>
        <w:rStyle w:val="PageNumber"/>
        <w:sz w:val="20"/>
      </w:rPr>
      <w:fldChar w:fldCharType="separate"/>
    </w:r>
    <w:r w:rsidR="001F0B8C">
      <w:rPr>
        <w:rStyle w:val="PageNumber"/>
        <w:noProof/>
        <w:sz w:val="20"/>
      </w:rPr>
      <w:t>235</w:t>
    </w:r>
    <w:r w:rsidRPr="00792502">
      <w:rPr>
        <w:rStyle w:val="PageNumber"/>
        <w:sz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509580"/>
      <w:docPartObj>
        <w:docPartGallery w:val="Page Numbers (Bottom of Page)"/>
        <w:docPartUnique/>
      </w:docPartObj>
    </w:sdtPr>
    <w:sdtEndPr>
      <w:rPr>
        <w:noProof/>
        <w:sz w:val="20"/>
      </w:rPr>
    </w:sdtEndPr>
    <w:sdtContent>
      <w:p w:rsidR="00236E18" w:rsidRPr="006A0DF9" w:rsidRDefault="00236E18" w:rsidP="00080272">
        <w:pPr>
          <w:pStyle w:val="Footer"/>
          <w:jc w:val="center"/>
          <w:rPr>
            <w:sz w:val="20"/>
          </w:rPr>
        </w:pPr>
        <w:r w:rsidRPr="00BF43CC">
          <w:rPr>
            <w:sz w:val="20"/>
          </w:rPr>
          <w:fldChar w:fldCharType="begin"/>
        </w:r>
        <w:r w:rsidRPr="00BF43CC">
          <w:rPr>
            <w:sz w:val="20"/>
          </w:rPr>
          <w:instrText xml:space="preserve"> PAGE   \* MERGEFORMAT </w:instrText>
        </w:r>
        <w:r w:rsidRPr="00BF43CC">
          <w:rPr>
            <w:sz w:val="20"/>
          </w:rPr>
          <w:fldChar w:fldCharType="separate"/>
        </w:r>
        <w:r w:rsidR="001F0B8C">
          <w:rPr>
            <w:noProof/>
            <w:sz w:val="20"/>
          </w:rPr>
          <w:t>284</w:t>
        </w:r>
        <w:r w:rsidRPr="00BF43CC">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1E0" w:rsidRDefault="004901E0">
      <w:r>
        <w:separator/>
      </w:r>
    </w:p>
  </w:footnote>
  <w:footnote w:type="continuationSeparator" w:id="0">
    <w:p w:rsidR="004901E0" w:rsidRPr="009D30E6" w:rsidRDefault="004901E0" w:rsidP="007E663E">
      <w:pPr>
        <w:rPr>
          <w:sz w:val="17"/>
          <w:szCs w:val="17"/>
        </w:rPr>
      </w:pPr>
      <w:r w:rsidRPr="009D30E6">
        <w:rPr>
          <w:sz w:val="17"/>
          <w:szCs w:val="17"/>
        </w:rPr>
        <w:separator/>
      </w:r>
    </w:p>
    <w:p w:rsidR="004901E0" w:rsidRPr="007E663E" w:rsidRDefault="004901E0" w:rsidP="007E663E">
      <w:pPr>
        <w:spacing w:after="60"/>
        <w:rPr>
          <w:sz w:val="17"/>
          <w:szCs w:val="17"/>
        </w:rPr>
      </w:pPr>
      <w:r>
        <w:rPr>
          <w:sz w:val="17"/>
        </w:rPr>
        <w:t>[Continuación de la nota de la página anterior]</w:t>
      </w:r>
    </w:p>
  </w:footnote>
  <w:footnote w:type="continuationNotice" w:id="1">
    <w:p w:rsidR="004901E0" w:rsidRPr="007E663E" w:rsidRDefault="004901E0" w:rsidP="007E663E">
      <w:pPr>
        <w:spacing w:before="60"/>
        <w:jc w:val="right"/>
        <w:rPr>
          <w:sz w:val="17"/>
          <w:szCs w:val="17"/>
        </w:rPr>
      </w:pPr>
      <w:r w:rsidRPr="007E663E">
        <w:rPr>
          <w:sz w:val="17"/>
          <w:szCs w:val="17"/>
        </w:rPr>
        <w:t>[Sigue la nota en la página siguiente]</w:t>
      </w:r>
    </w:p>
  </w:footnote>
  <w:footnote w:id="2">
    <w:p w:rsidR="00236E18" w:rsidRPr="00433F95" w:rsidRDefault="00236E18" w:rsidP="00236E18">
      <w:pPr>
        <w:pStyle w:val="FootnoteText"/>
        <w:rPr>
          <w:sz w:val="16"/>
          <w:szCs w:val="16"/>
        </w:rPr>
      </w:pPr>
      <w:r w:rsidRPr="00433F95">
        <w:rPr>
          <w:rStyle w:val="FootnoteReference"/>
          <w:sz w:val="16"/>
          <w:szCs w:val="16"/>
        </w:rPr>
        <w:footnoteRef/>
      </w:r>
      <w:r w:rsidRPr="00433F95">
        <w:rPr>
          <w:sz w:val="16"/>
          <w:szCs w:val="16"/>
          <w:vertAlign w:val="superscript"/>
        </w:rPr>
        <w:t xml:space="preserve"> </w:t>
      </w:r>
      <w:r w:rsidRPr="00433F95">
        <w:rPr>
          <w:sz w:val="16"/>
          <w:szCs w:val="16"/>
        </w:rPr>
        <w:t>Las previsiones detalladas figuran en el Anexo IV.</w:t>
      </w:r>
    </w:p>
  </w:footnote>
  <w:footnote w:id="3">
    <w:p w:rsidR="00236E18" w:rsidRPr="00433F95" w:rsidRDefault="00236E18" w:rsidP="00236E18">
      <w:pPr>
        <w:pStyle w:val="FootnoteText"/>
        <w:rPr>
          <w:sz w:val="16"/>
          <w:szCs w:val="16"/>
        </w:rPr>
      </w:pPr>
      <w:r w:rsidRPr="00433F95">
        <w:rPr>
          <w:sz w:val="16"/>
          <w:szCs w:val="16"/>
          <w:vertAlign w:val="superscript"/>
        </w:rPr>
        <w:footnoteRef/>
      </w:r>
      <w:r w:rsidRPr="00433F95">
        <w:rPr>
          <w:sz w:val="16"/>
          <w:szCs w:val="16"/>
          <w:vertAlign w:val="superscript"/>
        </w:rPr>
        <w:t xml:space="preserve"> </w:t>
      </w:r>
      <w:r>
        <w:rPr>
          <w:sz w:val="16"/>
          <w:szCs w:val="16"/>
        </w:rPr>
        <w:t>En</w:t>
      </w:r>
      <w:r w:rsidRPr="00433F95">
        <w:rPr>
          <w:sz w:val="16"/>
          <w:szCs w:val="16"/>
        </w:rPr>
        <w:t xml:space="preserve"> </w:t>
      </w:r>
      <w:r>
        <w:rPr>
          <w:sz w:val="16"/>
          <w:szCs w:val="16"/>
        </w:rPr>
        <w:t xml:space="preserve">abril de </w:t>
      </w:r>
      <w:r w:rsidRPr="00433F95">
        <w:rPr>
          <w:sz w:val="16"/>
          <w:szCs w:val="16"/>
        </w:rPr>
        <w:t>2015.</w:t>
      </w:r>
    </w:p>
  </w:footnote>
  <w:footnote w:id="4">
    <w:p w:rsidR="00236E18" w:rsidRPr="00433F95" w:rsidRDefault="00236E18" w:rsidP="00236E18">
      <w:pPr>
        <w:pStyle w:val="FootnoteText"/>
        <w:rPr>
          <w:sz w:val="16"/>
          <w:szCs w:val="16"/>
        </w:rPr>
      </w:pPr>
      <w:r w:rsidRPr="00433F95">
        <w:rPr>
          <w:rStyle w:val="FootnoteReference"/>
          <w:sz w:val="16"/>
          <w:szCs w:val="16"/>
        </w:rPr>
        <w:footnoteRef/>
      </w:r>
      <w:r>
        <w:rPr>
          <w:sz w:val="16"/>
          <w:szCs w:val="16"/>
        </w:rPr>
        <w:t xml:space="preserve"> Cabe remitirse al Apéndice A para obtener informaciones detalladas sobre las contribuciones de los Estados miembros</w:t>
      </w:r>
      <w:r w:rsidRPr="00433F95">
        <w:rPr>
          <w:sz w:val="16"/>
          <w:szCs w:val="16"/>
        </w:rPr>
        <w:t xml:space="preserve">. </w:t>
      </w:r>
    </w:p>
  </w:footnote>
  <w:footnote w:id="5">
    <w:p w:rsidR="00236E18" w:rsidRPr="00433F95" w:rsidRDefault="00236E18" w:rsidP="00236E18">
      <w:pPr>
        <w:pStyle w:val="FootnoteText"/>
        <w:rPr>
          <w:sz w:val="16"/>
          <w:szCs w:val="16"/>
        </w:rPr>
      </w:pPr>
      <w:r w:rsidRPr="00433F95">
        <w:rPr>
          <w:rStyle w:val="FootnoteReference"/>
          <w:sz w:val="16"/>
          <w:szCs w:val="16"/>
        </w:rPr>
        <w:footnoteRef/>
      </w:r>
      <w:r w:rsidRPr="00433F95">
        <w:rPr>
          <w:sz w:val="16"/>
          <w:szCs w:val="16"/>
          <w:vertAlign w:val="superscript"/>
        </w:rPr>
        <w:t xml:space="preserve"> </w:t>
      </w:r>
      <w:r>
        <w:rPr>
          <w:sz w:val="16"/>
          <w:szCs w:val="16"/>
        </w:rPr>
        <w:t>Cabe remitirse al Apéndice B para las definiciones de las fuentes de ingresos</w:t>
      </w:r>
      <w:r w:rsidRPr="00433F95">
        <w:rPr>
          <w:sz w:val="16"/>
          <w:szCs w:val="16"/>
        </w:rPr>
        <w:t>.</w:t>
      </w:r>
    </w:p>
  </w:footnote>
  <w:footnote w:id="6">
    <w:p w:rsidR="00236E18" w:rsidRPr="00250BC6" w:rsidRDefault="00236E18" w:rsidP="00236E18">
      <w:pPr>
        <w:pStyle w:val="FootnoteText"/>
        <w:rPr>
          <w:sz w:val="16"/>
          <w:szCs w:val="16"/>
        </w:rPr>
      </w:pPr>
      <w:r w:rsidRPr="00250BC6">
        <w:rPr>
          <w:rStyle w:val="FootnoteReference"/>
          <w:sz w:val="16"/>
          <w:szCs w:val="16"/>
        </w:rPr>
        <w:footnoteRef/>
      </w:r>
      <w:r w:rsidRPr="00250BC6">
        <w:rPr>
          <w:sz w:val="16"/>
          <w:szCs w:val="16"/>
        </w:rPr>
        <w:t xml:space="preserve"> Desde 2010, los estados financieros de la OMPI se preparan de conformidad con las IPSAS, sobre la base contable int</w:t>
      </w:r>
      <w:r>
        <w:rPr>
          <w:sz w:val="16"/>
          <w:szCs w:val="16"/>
        </w:rPr>
        <w:t>egral de acumulación (o deveng</w:t>
      </w:r>
      <w:r w:rsidRPr="00250BC6">
        <w:rPr>
          <w:sz w:val="16"/>
          <w:szCs w:val="16"/>
        </w:rPr>
        <w:t xml:space="preserve">o).  </w:t>
      </w:r>
    </w:p>
  </w:footnote>
  <w:footnote w:id="7">
    <w:p w:rsidR="00236E18" w:rsidRPr="00433F95" w:rsidRDefault="00236E18" w:rsidP="00236E18">
      <w:pPr>
        <w:pStyle w:val="FootnoteText"/>
      </w:pPr>
      <w:r w:rsidRPr="00433F95">
        <w:rPr>
          <w:rStyle w:val="FootnoteReference"/>
        </w:rPr>
        <w:footnoteRef/>
      </w:r>
      <w:r w:rsidRPr="00433F95">
        <w:t xml:space="preserve"> </w:t>
      </w:r>
      <w:r>
        <w:rPr>
          <w:sz w:val="16"/>
          <w:szCs w:val="16"/>
        </w:rPr>
        <w:t>Véase el cuadro</w:t>
      </w:r>
      <w:r w:rsidRPr="00433F95">
        <w:rPr>
          <w:sz w:val="16"/>
          <w:szCs w:val="16"/>
        </w:rPr>
        <w:t xml:space="preserve"> 6</w:t>
      </w:r>
      <w:r>
        <w:rPr>
          <w:sz w:val="16"/>
          <w:szCs w:val="16"/>
        </w:rPr>
        <w:t>.</w:t>
      </w:r>
    </w:p>
  </w:footnote>
  <w:footnote w:id="8">
    <w:p w:rsidR="00236E18" w:rsidRPr="00C47CC3" w:rsidRDefault="00236E18" w:rsidP="00236E18">
      <w:pPr>
        <w:pStyle w:val="FootnoteText"/>
        <w:rPr>
          <w:sz w:val="16"/>
          <w:szCs w:val="16"/>
        </w:rPr>
      </w:pPr>
      <w:r w:rsidRPr="00C47CC3">
        <w:rPr>
          <w:rStyle w:val="FootnoteReference"/>
          <w:sz w:val="16"/>
          <w:szCs w:val="16"/>
        </w:rPr>
        <w:footnoteRef/>
      </w:r>
      <w:r w:rsidRPr="00C47CC3">
        <w:rPr>
          <w:sz w:val="16"/>
          <w:szCs w:val="16"/>
        </w:rPr>
        <w:t xml:space="preserve"> Examen del proceso presupuestario aplicado a los proyectos propuestos por el Comité de Desarrollo y Propiedad Intelectual (CDIP) para dar aplicación a las recomendaciones de la Agenda para el Desarrollo (A/48/5 Rev.).</w:t>
      </w:r>
    </w:p>
  </w:footnote>
  <w:footnote w:id="9">
    <w:p w:rsidR="00236E18" w:rsidRPr="00C47CC3" w:rsidRDefault="00236E18" w:rsidP="00236E18">
      <w:pPr>
        <w:pStyle w:val="FootnoteText"/>
        <w:rPr>
          <w:sz w:val="16"/>
          <w:szCs w:val="16"/>
        </w:rPr>
      </w:pPr>
      <w:r w:rsidRPr="00C47CC3">
        <w:rPr>
          <w:szCs w:val="16"/>
          <w:vertAlign w:val="superscript"/>
        </w:rPr>
        <w:footnoteRef/>
      </w:r>
      <w:r w:rsidRPr="00C47CC3">
        <w:rPr>
          <w:szCs w:val="16"/>
        </w:rPr>
        <w:t xml:space="preserve"> </w:t>
      </w:r>
      <w:r w:rsidRPr="00C47CC3">
        <w:rPr>
          <w:sz w:val="16"/>
          <w:szCs w:val="16"/>
        </w:rPr>
        <w:t>Sujeto a la aprobación del Comité de Desarrollo y Propiedad Intelectual (CDIP).</w:t>
      </w:r>
    </w:p>
  </w:footnote>
  <w:footnote w:id="10">
    <w:p w:rsidR="00236E18" w:rsidRPr="00C47CC3" w:rsidRDefault="00236E18" w:rsidP="00236E18">
      <w:pPr>
        <w:pStyle w:val="FootnoteText"/>
        <w:rPr>
          <w:sz w:val="16"/>
          <w:szCs w:val="16"/>
        </w:rPr>
      </w:pPr>
      <w:r w:rsidRPr="002F7400">
        <w:rPr>
          <w:szCs w:val="16"/>
          <w:vertAlign w:val="superscript"/>
        </w:rPr>
        <w:footnoteRef/>
      </w:r>
      <w:r w:rsidRPr="00C47CC3">
        <w:rPr>
          <w:sz w:val="16"/>
          <w:szCs w:val="16"/>
        </w:rPr>
        <w:t xml:space="preserve"> Véase el cuadro 7.</w:t>
      </w:r>
    </w:p>
  </w:footnote>
  <w:footnote w:id="11">
    <w:p w:rsidR="00236E18" w:rsidRPr="00433F95" w:rsidRDefault="00236E18" w:rsidP="00236E18">
      <w:pPr>
        <w:pStyle w:val="FootnoteText"/>
        <w:rPr>
          <w:sz w:val="16"/>
          <w:szCs w:val="16"/>
        </w:rPr>
      </w:pPr>
      <w:r w:rsidRPr="00433F95">
        <w:rPr>
          <w:rStyle w:val="FootnoteReference"/>
          <w:szCs w:val="16"/>
        </w:rPr>
        <w:footnoteRef/>
      </w:r>
      <w:r w:rsidRPr="00433F95">
        <w:rPr>
          <w:szCs w:val="16"/>
        </w:rPr>
        <w:t xml:space="preserve"> </w:t>
      </w:r>
      <w:r>
        <w:rPr>
          <w:sz w:val="16"/>
          <w:szCs w:val="16"/>
        </w:rPr>
        <w:t>Debido al hecho de que el presupuesto por programas y el PPR de 2014 se elaboran paralelamente, las discrepancias entre los dos documentos se ajustarán al actualizar las referencias.</w:t>
      </w:r>
    </w:p>
  </w:footnote>
  <w:footnote w:id="12">
    <w:p w:rsidR="00236E18" w:rsidRPr="00433F95" w:rsidRDefault="00236E18" w:rsidP="00236E18">
      <w:pPr>
        <w:pStyle w:val="FootnoteText"/>
        <w:rPr>
          <w:sz w:val="16"/>
          <w:szCs w:val="16"/>
        </w:rPr>
      </w:pPr>
      <w:r w:rsidRPr="00433F95">
        <w:rPr>
          <w:rStyle w:val="FootnoteReference"/>
          <w:sz w:val="16"/>
          <w:szCs w:val="16"/>
        </w:rPr>
        <w:footnoteRef/>
      </w:r>
      <w:r w:rsidRPr="00433F95">
        <w:rPr>
          <w:sz w:val="16"/>
          <w:szCs w:val="16"/>
        </w:rPr>
        <w:t xml:space="preserve"> </w:t>
      </w:r>
      <w:r>
        <w:rPr>
          <w:sz w:val="16"/>
          <w:szCs w:val="16"/>
        </w:rPr>
        <w:t>El total correspondiente a recursos no relativos a personal del presupuesto aprobado de</w:t>
      </w:r>
      <w:r w:rsidRPr="00433F95">
        <w:rPr>
          <w:sz w:val="16"/>
          <w:szCs w:val="16"/>
        </w:rPr>
        <w:t xml:space="preserve"> 2012/13 </w:t>
      </w:r>
      <w:r>
        <w:rPr>
          <w:sz w:val="16"/>
          <w:szCs w:val="16"/>
        </w:rPr>
        <w:t xml:space="preserve">ascendía a </w:t>
      </w:r>
      <w:r w:rsidRPr="00433F95">
        <w:rPr>
          <w:sz w:val="16"/>
          <w:szCs w:val="16"/>
        </w:rPr>
        <w:t>238</w:t>
      </w:r>
      <w:r>
        <w:rPr>
          <w:sz w:val="16"/>
          <w:szCs w:val="16"/>
        </w:rPr>
        <w:t>,</w:t>
      </w:r>
      <w:r w:rsidRPr="00433F95">
        <w:rPr>
          <w:sz w:val="16"/>
          <w:szCs w:val="16"/>
        </w:rPr>
        <w:t xml:space="preserve">8 </w:t>
      </w:r>
      <w:r>
        <w:rPr>
          <w:sz w:val="16"/>
          <w:szCs w:val="16"/>
        </w:rPr>
        <w:t>millones de francos suizos.</w:t>
      </w:r>
    </w:p>
  </w:footnote>
  <w:footnote w:id="13">
    <w:p w:rsidR="00236E18" w:rsidRPr="007F229B" w:rsidRDefault="00236E18" w:rsidP="00236E18">
      <w:pPr>
        <w:pStyle w:val="FootnoteText"/>
        <w:rPr>
          <w:sz w:val="16"/>
          <w:szCs w:val="16"/>
        </w:rPr>
      </w:pPr>
      <w:r w:rsidRPr="007F229B">
        <w:rPr>
          <w:rStyle w:val="FootnoteReference"/>
        </w:rPr>
        <w:footnoteRef/>
      </w:r>
      <w:r w:rsidRPr="007F229B">
        <w:t xml:space="preserve"> </w:t>
      </w:r>
      <w:r w:rsidRPr="007F229B">
        <w:rPr>
          <w:sz w:val="16"/>
          <w:szCs w:val="16"/>
        </w:rPr>
        <w:t>Se ofrece una descripción detallada de las categorías de costos en el Apéndice B.</w:t>
      </w:r>
    </w:p>
  </w:footnote>
  <w:footnote w:id="14">
    <w:p w:rsidR="00236E18" w:rsidRPr="007F229B" w:rsidRDefault="00236E18" w:rsidP="00236E18">
      <w:pPr>
        <w:jc w:val="both"/>
        <w:rPr>
          <w:color w:val="000000"/>
          <w:sz w:val="16"/>
          <w:szCs w:val="16"/>
        </w:rPr>
      </w:pPr>
      <w:r w:rsidRPr="007F229B">
        <w:rPr>
          <w:rStyle w:val="FootnoteReference"/>
          <w:sz w:val="16"/>
          <w:szCs w:val="16"/>
        </w:rPr>
        <w:footnoteRef/>
      </w:r>
      <w:r w:rsidRPr="007F229B">
        <w:rPr>
          <w:sz w:val="16"/>
          <w:szCs w:val="16"/>
        </w:rPr>
        <w:t xml:space="preserve"> </w:t>
      </w:r>
      <w:r w:rsidRPr="007F229B">
        <w:rPr>
          <w:b/>
          <w:sz w:val="16"/>
          <w:szCs w:val="16"/>
        </w:rPr>
        <w:t>Puestos</w:t>
      </w:r>
      <w:r w:rsidRPr="007F229B">
        <w:rPr>
          <w:sz w:val="16"/>
          <w:szCs w:val="16"/>
        </w:rPr>
        <w:t>: Esta categoría abarca el personal con contratos de plazo fijo, continuos o permanentes, en relación con los</w:t>
      </w:r>
      <w:r>
        <w:rPr>
          <w:sz w:val="16"/>
          <w:szCs w:val="16"/>
        </w:rPr>
        <w:t xml:space="preserve"> </w:t>
      </w:r>
      <w:r w:rsidRPr="007F229B">
        <w:rPr>
          <w:sz w:val="16"/>
          <w:szCs w:val="16"/>
        </w:rPr>
        <w:t>puestos aprobados en las categorías profesional y de servicios generales</w:t>
      </w:r>
      <w:r w:rsidRPr="007F229B">
        <w:rPr>
          <w:color w:val="000000"/>
          <w:sz w:val="16"/>
          <w:szCs w:val="16"/>
        </w:rPr>
        <w:t>.</w:t>
      </w:r>
    </w:p>
    <w:p w:rsidR="00236E18" w:rsidRPr="007F229B" w:rsidRDefault="00236E18" w:rsidP="00236E18">
      <w:pPr>
        <w:pStyle w:val="FootnoteText"/>
        <w:rPr>
          <w:sz w:val="2"/>
          <w:szCs w:val="2"/>
        </w:rPr>
      </w:pPr>
    </w:p>
  </w:footnote>
  <w:footnote w:id="15">
    <w:p w:rsidR="00236E18" w:rsidRPr="007F229B" w:rsidRDefault="00236E18" w:rsidP="00236E18">
      <w:pPr>
        <w:pStyle w:val="FootnoteText"/>
        <w:rPr>
          <w:sz w:val="16"/>
          <w:szCs w:val="16"/>
        </w:rPr>
      </w:pPr>
      <w:r w:rsidRPr="007F229B">
        <w:rPr>
          <w:rStyle w:val="FootnoteReference"/>
          <w:sz w:val="16"/>
          <w:szCs w:val="16"/>
        </w:rPr>
        <w:footnoteRef/>
      </w:r>
      <w:r w:rsidRPr="007F229B">
        <w:rPr>
          <w:sz w:val="16"/>
          <w:szCs w:val="16"/>
        </w:rPr>
        <w:t xml:space="preserve"> </w:t>
      </w:r>
      <w:r w:rsidRPr="007F229B">
        <w:rPr>
          <w:b/>
          <w:bCs/>
          <w:color w:val="000000"/>
          <w:sz w:val="16"/>
          <w:szCs w:val="16"/>
        </w:rPr>
        <w:t>Personal temporal:</w:t>
      </w:r>
      <w:r w:rsidRPr="007F229B">
        <w:rPr>
          <w:color w:val="000000"/>
          <w:sz w:val="16"/>
          <w:szCs w:val="16"/>
        </w:rPr>
        <w:t xml:space="preserve"> Esta categoría abarca el personal con contratos temporales.</w:t>
      </w:r>
    </w:p>
  </w:footnote>
  <w:footnote w:id="16">
    <w:p w:rsidR="00236E18" w:rsidRPr="007A557B" w:rsidRDefault="00236E18" w:rsidP="00236E18">
      <w:pPr>
        <w:autoSpaceDE w:val="0"/>
        <w:autoSpaceDN w:val="0"/>
        <w:adjustRightInd w:val="0"/>
        <w:rPr>
          <w:sz w:val="16"/>
          <w:szCs w:val="16"/>
        </w:rPr>
      </w:pPr>
      <w:r w:rsidRPr="007F229B">
        <w:rPr>
          <w:rStyle w:val="FootnoteReference"/>
          <w:sz w:val="16"/>
          <w:szCs w:val="16"/>
        </w:rPr>
        <w:footnoteRef/>
      </w:r>
      <w:r w:rsidRPr="007F229B">
        <w:rPr>
          <w:sz w:val="16"/>
          <w:szCs w:val="16"/>
        </w:rPr>
        <w:t xml:space="preserve"> </w:t>
      </w:r>
      <w:r w:rsidRPr="007F229B">
        <w:rPr>
          <w:rFonts w:eastAsia="Times New Roman"/>
          <w:sz w:val="16"/>
          <w:szCs w:val="16"/>
          <w:lang w:eastAsia="en-US"/>
        </w:rPr>
        <w:t>Conforme a lo que se viene haciendo hasta la fecha, a los fines del presupuesto por programas se incluye a los países con</w:t>
      </w:r>
      <w:r>
        <w:rPr>
          <w:rFonts w:eastAsia="Times New Roman"/>
          <w:sz w:val="16"/>
          <w:szCs w:val="16"/>
          <w:lang w:eastAsia="en-US"/>
        </w:rPr>
        <w:t xml:space="preserve"> </w:t>
      </w:r>
      <w:r w:rsidRPr="007F229B">
        <w:rPr>
          <w:rFonts w:eastAsia="Times New Roman"/>
          <w:sz w:val="16"/>
          <w:szCs w:val="16"/>
          <w:lang w:eastAsia="en-US"/>
        </w:rPr>
        <w:t>economías en transición</w:t>
      </w:r>
      <w:r w:rsidRPr="007F229B">
        <w:rPr>
          <w:sz w:val="16"/>
          <w:szCs w:val="16"/>
        </w:rPr>
        <w:t>.</w:t>
      </w:r>
    </w:p>
  </w:footnote>
  <w:footnote w:id="17">
    <w:p w:rsidR="00236E18" w:rsidRPr="00D4179C" w:rsidRDefault="00236E18" w:rsidP="00236E18">
      <w:pPr>
        <w:pStyle w:val="FootnoteText"/>
        <w:rPr>
          <w:sz w:val="16"/>
          <w:szCs w:val="16"/>
        </w:rPr>
      </w:pPr>
      <w:r w:rsidRPr="00D4179C">
        <w:rPr>
          <w:rStyle w:val="FootnoteReference"/>
          <w:sz w:val="16"/>
          <w:szCs w:val="16"/>
        </w:rPr>
        <w:footnoteRef/>
      </w:r>
      <w:r w:rsidRPr="00D4179C">
        <w:rPr>
          <w:sz w:val="16"/>
          <w:szCs w:val="16"/>
        </w:rPr>
        <w:t xml:space="preserve"> Queda entendido que </w:t>
      </w:r>
      <w:r>
        <w:rPr>
          <w:sz w:val="16"/>
          <w:szCs w:val="16"/>
        </w:rPr>
        <w:t xml:space="preserve">muy probablemente </w:t>
      </w:r>
      <w:r w:rsidRPr="00D4179C">
        <w:rPr>
          <w:sz w:val="16"/>
          <w:szCs w:val="16"/>
        </w:rPr>
        <w:t>la acreditación de</w:t>
      </w:r>
      <w:r>
        <w:rPr>
          <w:sz w:val="16"/>
          <w:szCs w:val="16"/>
        </w:rPr>
        <w:t xml:space="preserve"> los OGC no comenzará</w:t>
      </w:r>
      <w:r w:rsidRPr="00D4179C">
        <w:rPr>
          <w:sz w:val="16"/>
          <w:szCs w:val="16"/>
        </w:rPr>
        <w:t xml:space="preserve"> antes del segundo semestre de 2017.</w:t>
      </w:r>
    </w:p>
  </w:footnote>
  <w:footnote w:id="18">
    <w:p w:rsidR="00236E18" w:rsidRDefault="00236E18" w:rsidP="00236E18">
      <w:pPr>
        <w:pStyle w:val="FootnoteText"/>
      </w:pPr>
      <w:r>
        <w:rPr>
          <w:rStyle w:val="FootnoteReference"/>
        </w:rPr>
        <w:footnoteRef/>
      </w:r>
      <w:r>
        <w:t xml:space="preserve"> Por “academias nacionales sostenibles” se entiende instituciones que son autónomas desde el punto de vista financiero y técnico y a las que la OMPI presta asesoramiento cuando lo solicitan</w:t>
      </w:r>
    </w:p>
  </w:footnote>
  <w:footnote w:id="19">
    <w:p w:rsidR="00236E18" w:rsidRPr="00563FDE" w:rsidRDefault="00236E18" w:rsidP="00236E18">
      <w:pPr>
        <w:pStyle w:val="FootnoteText"/>
        <w:rPr>
          <w:sz w:val="16"/>
          <w:szCs w:val="16"/>
        </w:rPr>
      </w:pPr>
      <w:r>
        <w:rPr>
          <w:rStyle w:val="FootnoteReference"/>
        </w:rPr>
        <w:footnoteRef/>
      </w:r>
      <w:r>
        <w:t xml:space="preserve"> </w:t>
      </w:r>
      <w:r w:rsidRPr="00563FDE">
        <w:rPr>
          <w:sz w:val="16"/>
          <w:szCs w:val="16"/>
        </w:rPr>
        <w:t>Por “CATI sostenibles” se entiende instituciones autónomas desde el punto de vista financiero y técnico a las que la OMPI presta asesoramiento cuando lo solicitan.</w:t>
      </w:r>
    </w:p>
  </w:footnote>
  <w:footnote w:id="20">
    <w:p w:rsidR="00236E18" w:rsidRPr="00563FDE" w:rsidRDefault="00236E18" w:rsidP="00236E18">
      <w:pPr>
        <w:pStyle w:val="FootnoteText"/>
        <w:rPr>
          <w:sz w:val="16"/>
          <w:szCs w:val="16"/>
        </w:rPr>
      </w:pPr>
      <w:r>
        <w:rPr>
          <w:rStyle w:val="FootnoteReference"/>
        </w:rPr>
        <w:footnoteRef/>
      </w:r>
      <w:r>
        <w:t xml:space="preserve"> </w:t>
      </w:r>
      <w:r w:rsidRPr="00563FDE">
        <w:rPr>
          <w:sz w:val="16"/>
          <w:szCs w:val="16"/>
        </w:rPr>
        <w:t>Por “academias nacionales sostenibles” se entiende instituciones que son autónomas desde el punto de vista financiero y técnico y a las que la OMPI presta asesoramiento cuando lo solicitan</w:t>
      </w:r>
    </w:p>
  </w:footnote>
  <w:footnote w:id="21">
    <w:p w:rsidR="00236E18" w:rsidRPr="00563FDE" w:rsidRDefault="00236E18" w:rsidP="00236E18">
      <w:pPr>
        <w:pStyle w:val="FootnoteText"/>
        <w:rPr>
          <w:sz w:val="16"/>
          <w:szCs w:val="16"/>
        </w:rPr>
      </w:pPr>
      <w:r>
        <w:rPr>
          <w:rStyle w:val="FootnoteReference"/>
        </w:rPr>
        <w:footnoteRef/>
      </w:r>
      <w:r>
        <w:t xml:space="preserve"> </w:t>
      </w:r>
      <w:r w:rsidRPr="00563FDE">
        <w:rPr>
          <w:sz w:val="16"/>
          <w:szCs w:val="16"/>
        </w:rPr>
        <w:t>Por “CATI sostenibles” se entiende instituciones autónomas desde el punto de vista financiero y técnico a las que la OMPI presta asesoramiento cuando lo solicitan.</w:t>
      </w:r>
    </w:p>
  </w:footnote>
  <w:footnote w:id="22">
    <w:p w:rsidR="00236E18" w:rsidRPr="00563FDE" w:rsidRDefault="00236E18" w:rsidP="00236E18">
      <w:pPr>
        <w:pStyle w:val="FootnoteText"/>
        <w:rPr>
          <w:rFonts w:eastAsia="Times New Roman"/>
          <w:sz w:val="16"/>
          <w:szCs w:val="16"/>
          <w:lang w:val="es-ES_tradnl"/>
        </w:rPr>
      </w:pPr>
      <w:r>
        <w:rPr>
          <w:rStyle w:val="FootnoteReference"/>
        </w:rPr>
        <w:footnoteRef/>
      </w:r>
      <w:r>
        <w:t xml:space="preserve"> </w:t>
      </w:r>
      <w:r w:rsidRPr="00563FDE">
        <w:rPr>
          <w:sz w:val="16"/>
          <w:szCs w:val="16"/>
        </w:rPr>
        <w:t>Por “CATI sostenibles” se entiende instituciones autónomas desde el punto de vista financiero y técnico a las que la OMPI presta asesoramiento cuando lo solicitan.</w:t>
      </w:r>
    </w:p>
  </w:footnote>
  <w:footnote w:id="23">
    <w:p w:rsidR="00236E18" w:rsidRPr="00E0093C" w:rsidRDefault="00236E18" w:rsidP="00236E18">
      <w:pPr>
        <w:pStyle w:val="FootnoteText"/>
        <w:rPr>
          <w:sz w:val="16"/>
          <w:szCs w:val="16"/>
        </w:rPr>
      </w:pPr>
      <w:r w:rsidRPr="00E0093C">
        <w:rPr>
          <w:rStyle w:val="FootnoteReference"/>
          <w:sz w:val="16"/>
          <w:szCs w:val="16"/>
        </w:rPr>
        <w:footnoteRef/>
      </w:r>
      <w:r w:rsidRPr="006A3CA4">
        <w:rPr>
          <w:sz w:val="16"/>
          <w:szCs w:val="16"/>
          <w:lang w:val="es-ES_tradnl"/>
        </w:rPr>
        <w:t xml:space="preserve">  </w:t>
      </w:r>
      <w:r w:rsidRPr="00E0093C">
        <w:rPr>
          <w:sz w:val="16"/>
          <w:szCs w:val="16"/>
        </w:rPr>
        <w:t xml:space="preserve">Se determinarán los valores de referencia y los objetivos a fines de 2015, una vez que se hayan comprobado y confirmado las nuevas herramientas y metodologías </w:t>
      </w:r>
      <w:r>
        <w:rPr>
          <w:sz w:val="16"/>
          <w:szCs w:val="16"/>
        </w:rPr>
        <w:t>en línea</w:t>
      </w:r>
      <w:r w:rsidRPr="00E0093C">
        <w:rPr>
          <w:sz w:val="16"/>
          <w:szCs w:val="16"/>
        </w:rPr>
        <w:t>.</w:t>
      </w:r>
    </w:p>
  </w:footnote>
  <w:footnote w:id="24">
    <w:p w:rsidR="00236E18" w:rsidRDefault="00236E18" w:rsidP="00236E18">
      <w:pPr>
        <w:pStyle w:val="FootnoteText"/>
      </w:pPr>
      <w:r>
        <w:rPr>
          <w:rStyle w:val="FootnoteReference"/>
        </w:rPr>
        <w:footnoteRef/>
      </w:r>
      <w:r>
        <w:t xml:space="preserve">  </w:t>
      </w:r>
      <w:r w:rsidRPr="006E13F6">
        <w:rPr>
          <w:sz w:val="16"/>
          <w:szCs w:val="16"/>
        </w:rPr>
        <w:t>En relación con la propuesta de presupuesto de 2016/17 para el programa 20, véase la explicación que consta en el párrafo</w:t>
      </w:r>
      <w:r>
        <w:rPr>
          <w:sz w:val="16"/>
          <w:szCs w:val="16"/>
        </w:rPr>
        <w:t> </w:t>
      </w:r>
      <w:r w:rsidRPr="006E13F6">
        <w:rPr>
          <w:sz w:val="16"/>
          <w:szCs w:val="16"/>
        </w:rPr>
        <w:t>20.22.</w:t>
      </w:r>
    </w:p>
  </w:footnote>
  <w:footnote w:id="25">
    <w:p w:rsidR="00236E18" w:rsidRPr="009A0BB4" w:rsidRDefault="00236E18" w:rsidP="00236E18">
      <w:pPr>
        <w:pStyle w:val="FootnoteText"/>
        <w:tabs>
          <w:tab w:val="left" w:pos="567"/>
        </w:tabs>
        <w:rPr>
          <w:lang w:val="es-ES_tradnl"/>
        </w:rPr>
      </w:pPr>
      <w:r>
        <w:rPr>
          <w:rStyle w:val="FootnoteReference"/>
        </w:rPr>
        <w:footnoteRef/>
      </w:r>
      <w:r w:rsidRPr="009A0BB4">
        <w:rPr>
          <w:lang w:val="es-ES_tradnl"/>
        </w:rPr>
        <w:t xml:space="preserve"> </w:t>
      </w:r>
      <w:r>
        <w:rPr>
          <w:lang w:val="es-ES_tradnl"/>
        </w:rPr>
        <w:tab/>
      </w:r>
      <w:r w:rsidRPr="009A0BB4">
        <w:rPr>
          <w:sz w:val="16"/>
          <w:szCs w:val="16"/>
          <w:lang w:val="es-ES_tradnl"/>
        </w:rPr>
        <w:t>Todas las estadísticas se basan en la fecha de presentación de las solicitudes PCT o de las solicitudes según el procedimiento previsto en el Capítulo II.</w:t>
      </w:r>
    </w:p>
  </w:footnote>
  <w:footnote w:id="26">
    <w:p w:rsidR="00236E18" w:rsidRPr="00943EE4" w:rsidRDefault="00236E18" w:rsidP="00236E18">
      <w:pPr>
        <w:tabs>
          <w:tab w:val="left" w:pos="330"/>
        </w:tabs>
        <w:spacing w:after="120"/>
        <w:rPr>
          <w:sz w:val="16"/>
          <w:szCs w:val="16"/>
          <w:lang w:val="es-ES_tradnl"/>
        </w:rPr>
      </w:pPr>
      <w:r>
        <w:rPr>
          <w:rStyle w:val="FootnoteReference"/>
          <w:sz w:val="20"/>
        </w:rPr>
        <w:footnoteRef/>
      </w:r>
      <w:r w:rsidRPr="00943EE4">
        <w:rPr>
          <w:sz w:val="18"/>
          <w:lang w:val="es-ES_tradnl"/>
        </w:rPr>
        <w:t xml:space="preserve"> </w:t>
      </w:r>
      <w:r w:rsidRPr="00943EE4">
        <w:rPr>
          <w:sz w:val="18"/>
          <w:lang w:val="es-ES_tradnl"/>
        </w:rPr>
        <w:tab/>
      </w:r>
      <w:r w:rsidRPr="00943EE4">
        <w:rPr>
          <w:sz w:val="16"/>
          <w:szCs w:val="16"/>
          <w:lang w:val="es-ES_tradnl"/>
        </w:rPr>
        <w:t>Se entiende por ejemplar original una solicitud PCT que, una vez presentada ante una Oficina receptora, es tramitada y remitida por ésta a la Oficina Internacional.  Puesto que los ejemplares originales son remitidos a la Oficina Internacional una vez que fueron tramitados por una Oficina receptora, los plazos de tramitación aplicados por dichas oficinas tendrán una marcada incidencia en las estadísticas.  Por ello, si bien las tendencias relativas a la recepción de ejemplares originales son indicadores válidos del volumen de trabajo de la Oficina Internacional, no se ajustan fielmente a las tendencias relativas a la presentación de solicitudes PCT.</w:t>
      </w:r>
    </w:p>
  </w:footnote>
  <w:footnote w:id="27">
    <w:p w:rsidR="00236E18" w:rsidRPr="003D774E" w:rsidRDefault="00236E18" w:rsidP="00236E18">
      <w:pPr>
        <w:rPr>
          <w:lang w:val="es-ES_tradnl"/>
        </w:rPr>
      </w:pPr>
      <w:r w:rsidRPr="00EE0539">
        <w:rPr>
          <w:rStyle w:val="FootnoteReference"/>
          <w:sz w:val="18"/>
          <w:szCs w:val="18"/>
        </w:rPr>
        <w:footnoteRef/>
      </w:r>
      <w:r w:rsidRPr="003D774E">
        <w:rPr>
          <w:sz w:val="18"/>
          <w:szCs w:val="18"/>
          <w:lang w:val="es-ES_tradnl"/>
        </w:rPr>
        <w:t xml:space="preserve"> Tras una revisión independiente de los parámetros de rendimiento del Servicio de Sistemas de Información del PCT, </w:t>
      </w:r>
      <w:r>
        <w:rPr>
          <w:sz w:val="18"/>
          <w:szCs w:val="18"/>
          <w:lang w:val="es-ES_tradnl"/>
        </w:rPr>
        <w:t xml:space="preserve">su definición se modificó ligeramente con respecto a la que se describe en el presupuesto por programas de </w:t>
      </w:r>
      <w:r w:rsidRPr="003D774E">
        <w:rPr>
          <w:sz w:val="18"/>
          <w:szCs w:val="18"/>
          <w:highlight w:val="white"/>
          <w:lang w:val="es-ES_tradnl"/>
        </w:rPr>
        <w:t>2014/15</w:t>
      </w:r>
    </w:p>
  </w:footnote>
  <w:footnote w:id="28">
    <w:p w:rsidR="00236E18" w:rsidRPr="00D17A47" w:rsidRDefault="00236E18" w:rsidP="00236E18">
      <w:pPr>
        <w:pStyle w:val="FootnoteText"/>
      </w:pPr>
      <w:r w:rsidRPr="0043175E">
        <w:rPr>
          <w:rStyle w:val="FootnoteReference"/>
        </w:rPr>
        <w:footnoteRef/>
      </w:r>
      <w:r w:rsidRPr="00D40249">
        <w:t xml:space="preserve">  </w:t>
      </w:r>
      <w:r>
        <w:t>Véase el</w:t>
      </w:r>
      <w:r w:rsidRPr="00D17A47">
        <w:t xml:space="preserve"> “Volumen total de trabajo” más arriba.</w:t>
      </w:r>
    </w:p>
  </w:footnote>
  <w:footnote w:id="29">
    <w:p w:rsidR="00236E18" w:rsidRPr="00D40249" w:rsidRDefault="00236E18" w:rsidP="00236E18">
      <w:pPr>
        <w:pStyle w:val="FootnoteText"/>
        <w:rPr>
          <w:szCs w:val="18"/>
        </w:rPr>
      </w:pPr>
      <w:r w:rsidRPr="00D17A47">
        <w:rPr>
          <w:rStyle w:val="FootnoteReference"/>
          <w:szCs w:val="18"/>
        </w:rPr>
        <w:footnoteRef/>
      </w:r>
      <w:r>
        <w:rPr>
          <w:szCs w:val="18"/>
        </w:rPr>
        <w:t xml:space="preserve">  Véase </w:t>
      </w:r>
      <w:r w:rsidRPr="00D17A47">
        <w:rPr>
          <w:szCs w:val="18"/>
        </w:rPr>
        <w:t>“Volumen total de trabajo” más arriba.</w:t>
      </w:r>
    </w:p>
  </w:footnote>
  <w:footnote w:id="30">
    <w:p w:rsidR="00236E18" w:rsidRPr="003F38A8" w:rsidRDefault="00236E18" w:rsidP="00236E18">
      <w:pPr>
        <w:pStyle w:val="FootnoteText"/>
        <w:rPr>
          <w:lang w:val="es-ES_tradnl"/>
        </w:rPr>
      </w:pPr>
      <w:r w:rsidRPr="00DC6A4E">
        <w:rPr>
          <w:rStyle w:val="FootnoteReference"/>
        </w:rPr>
        <w:footnoteRef/>
      </w:r>
      <w:r w:rsidRPr="003F38A8">
        <w:rPr>
          <w:lang w:val="es-ES_tradnl"/>
        </w:rPr>
        <w:t xml:space="preserve"> </w:t>
      </w:r>
      <w:r w:rsidRPr="00BE0750">
        <w:rPr>
          <w:sz w:val="16"/>
          <w:lang w:val="es-ES_tradnl"/>
        </w:rPr>
        <w:t>El Sistema de Madrid brinda apoyo al Sistema de La Haya, en particular en tareas de traducción y actividades de T.I.  En este método no se tienen en cuenta esos costos</w:t>
      </w:r>
      <w:r w:rsidRPr="00BE0750">
        <w:rPr>
          <w:sz w:val="14"/>
          <w:lang w:val="es-ES_tradnl"/>
        </w:rPr>
        <w:t>.</w:t>
      </w:r>
    </w:p>
  </w:footnote>
  <w:footnote w:id="31">
    <w:p w:rsidR="00236E18" w:rsidRPr="00E5727C" w:rsidRDefault="00236E18" w:rsidP="00236E18">
      <w:pPr>
        <w:pStyle w:val="FootnoteText"/>
        <w:rPr>
          <w:sz w:val="16"/>
          <w:szCs w:val="16"/>
          <w:lang w:val="es-ES_tradnl"/>
        </w:rPr>
      </w:pPr>
      <w:r w:rsidRPr="00DC6A4E">
        <w:rPr>
          <w:rStyle w:val="FootnoteReference"/>
        </w:rPr>
        <w:footnoteRef/>
      </w:r>
      <w:r w:rsidRPr="00542194">
        <w:rPr>
          <w:lang w:val="es-ES_tradnl"/>
        </w:rPr>
        <w:t xml:space="preserve"> </w:t>
      </w:r>
      <w:r w:rsidRPr="00E5727C">
        <w:rPr>
          <w:sz w:val="16"/>
          <w:szCs w:val="16"/>
          <w:lang w:val="es-ES_tradnl"/>
        </w:rPr>
        <w:t xml:space="preserve">Véase “Volumen total de trabajo” </w:t>
      </w:r>
      <w:r w:rsidRPr="00E5727C">
        <w:rPr>
          <w:i/>
          <w:sz w:val="16"/>
          <w:szCs w:val="16"/>
          <w:lang w:val="es-ES_tradnl"/>
        </w:rPr>
        <w:t>supra</w:t>
      </w:r>
      <w:r w:rsidRPr="00E5727C">
        <w:rPr>
          <w:sz w:val="16"/>
          <w:szCs w:val="16"/>
          <w:lang w:val="es-ES_tradnl"/>
        </w:rPr>
        <w:t>.</w:t>
      </w:r>
    </w:p>
  </w:footnote>
  <w:footnote w:id="32">
    <w:p w:rsidR="00236E18" w:rsidRPr="00542194" w:rsidRDefault="00236E18" w:rsidP="00236E18">
      <w:pPr>
        <w:pStyle w:val="FootnoteText"/>
        <w:rPr>
          <w:sz w:val="16"/>
          <w:szCs w:val="16"/>
          <w:lang w:val="es-ES_tradnl"/>
        </w:rPr>
      </w:pPr>
      <w:r w:rsidRPr="00E5727C">
        <w:rPr>
          <w:rStyle w:val="FootnoteReference"/>
          <w:szCs w:val="16"/>
        </w:rPr>
        <w:footnoteRef/>
      </w:r>
      <w:r w:rsidRPr="00E5727C">
        <w:rPr>
          <w:sz w:val="16"/>
          <w:szCs w:val="16"/>
          <w:lang w:val="es-ES_tradnl"/>
        </w:rPr>
        <w:t xml:space="preserve"> Véase la relación entre solicitudes y renovaciones</w:t>
      </w:r>
      <w:r w:rsidRPr="00542194">
        <w:rPr>
          <w:sz w:val="16"/>
          <w:szCs w:val="16"/>
          <w:lang w:val="es-ES_tradnl"/>
        </w:rPr>
        <w:t xml:space="preserve"> en “</w:t>
      </w:r>
      <w:r>
        <w:rPr>
          <w:sz w:val="16"/>
          <w:szCs w:val="16"/>
          <w:lang w:val="es-ES_tradnl"/>
        </w:rPr>
        <w:t>Volumen total de trabajo</w:t>
      </w:r>
      <w:r w:rsidRPr="00542194">
        <w:rPr>
          <w:sz w:val="16"/>
          <w:szCs w:val="16"/>
          <w:lang w:val="es-ES_tradnl"/>
        </w:rPr>
        <w:t xml:space="preserve">”, </w:t>
      </w:r>
      <w:r>
        <w:rPr>
          <w:i/>
          <w:sz w:val="16"/>
          <w:szCs w:val="16"/>
          <w:lang w:val="es-ES_tradnl"/>
        </w:rPr>
        <w:t>supra</w:t>
      </w:r>
      <w:r>
        <w:rPr>
          <w:sz w:val="16"/>
          <w:szCs w:val="16"/>
          <w:lang w:val="es-ES_tradnl"/>
        </w:rPr>
        <w:t>.</w:t>
      </w:r>
    </w:p>
  </w:footnote>
  <w:footnote w:id="33">
    <w:p w:rsidR="00236E18" w:rsidRPr="008C03DB" w:rsidRDefault="00236E18" w:rsidP="00236E18">
      <w:pPr>
        <w:pStyle w:val="FootnoteText"/>
        <w:rPr>
          <w:lang w:val="es-ES_tradnl"/>
        </w:rPr>
      </w:pPr>
      <w:r w:rsidRPr="003F630B">
        <w:rPr>
          <w:rStyle w:val="FootnoteReference"/>
          <w:rFonts w:eastAsia="Times New Roman"/>
          <w:sz w:val="16"/>
          <w:szCs w:val="16"/>
          <w:lang w:eastAsia="en-US"/>
        </w:rPr>
        <w:footnoteRef/>
      </w:r>
      <w:r w:rsidRPr="008C03DB">
        <w:rPr>
          <w:rFonts w:eastAsia="Times New Roman"/>
          <w:sz w:val="16"/>
          <w:szCs w:val="16"/>
          <w:lang w:val="es-ES_tradnl" w:eastAsia="en-US"/>
        </w:rPr>
        <w:t xml:space="preserve"> </w:t>
      </w:r>
      <w:r w:rsidRPr="00353615">
        <w:rPr>
          <w:rFonts w:eastAsia="Times New Roman"/>
          <w:sz w:val="16"/>
          <w:szCs w:val="16"/>
          <w:lang w:val="es-ES_tradnl" w:eastAsia="en-US"/>
        </w:rPr>
        <w:t>Escala de sueldos</w:t>
      </w:r>
      <w:r w:rsidRPr="00353615">
        <w:rPr>
          <w:rFonts w:eastAsiaTheme="minorHAnsi"/>
          <w:bCs/>
          <w:i/>
          <w:sz w:val="16"/>
          <w:szCs w:val="16"/>
          <w:lang w:val="es-ES_tradnl" w:eastAsia="en-US"/>
        </w:rPr>
        <w:t xml:space="preserve"> para la categoría profesional y superior al 1 de enero de 2015;  escala de remuneración pensionable al mes de febrero de 2013</w:t>
      </w:r>
      <w:r w:rsidRPr="00353615">
        <w:rPr>
          <w:rFonts w:eastAsiaTheme="minorHAnsi"/>
          <w:bCs/>
          <w:i/>
          <w:sz w:val="16"/>
          <w:szCs w:val="16"/>
          <w:lang w:val="es-ES_tradnl"/>
        </w:rPr>
        <w:t>;  sueldos y subsidios anuales de la categoría de servicios generales a</w:t>
      </w:r>
      <w:r>
        <w:rPr>
          <w:rFonts w:eastAsiaTheme="minorHAnsi"/>
          <w:bCs/>
          <w:i/>
          <w:sz w:val="16"/>
          <w:szCs w:val="16"/>
          <w:lang w:val="es-ES_tradnl"/>
        </w:rPr>
        <w:t>l</w:t>
      </w:r>
      <w:r w:rsidRPr="00353615">
        <w:rPr>
          <w:rFonts w:eastAsiaTheme="minorHAnsi"/>
          <w:bCs/>
          <w:i/>
          <w:sz w:val="16"/>
          <w:szCs w:val="16"/>
          <w:lang w:val="es-ES_tradnl"/>
        </w:rPr>
        <w:t xml:space="preserve"> 1 de abril de </w:t>
      </w:r>
      <w:r w:rsidRPr="008C03DB">
        <w:rPr>
          <w:rFonts w:eastAsiaTheme="minorHAnsi"/>
          <w:bCs/>
          <w:i/>
          <w:sz w:val="16"/>
          <w:szCs w:val="16"/>
          <w:lang w:val="es-ES_tradnl"/>
        </w:rPr>
        <w:t>2011</w:t>
      </w:r>
      <w:r>
        <w:rPr>
          <w:rFonts w:eastAsiaTheme="minorHAnsi"/>
          <w:bCs/>
          <w:i/>
          <w:sz w:val="16"/>
          <w:szCs w:val="16"/>
          <w:lang w:val="es-ES_trad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4901E0" w:rsidP="00477D6B">
    <w:pPr>
      <w:jc w:val="right"/>
    </w:pPr>
    <w:bookmarkStart w:id="6" w:name="Code2"/>
    <w:bookmarkEnd w:id="6"/>
    <w:r>
      <w:t>A/55/5</w:t>
    </w:r>
    <w:r w:rsidR="004E38D6">
      <w:t xml:space="preserve"> Rev.</w:t>
    </w:r>
  </w:p>
  <w:p w:rsidR="00AE7F20" w:rsidRDefault="00AE7F20" w:rsidP="00477D6B">
    <w:pPr>
      <w:jc w:val="right"/>
    </w:pPr>
    <w:proofErr w:type="gramStart"/>
    <w:r>
      <w:t>página</w:t>
    </w:r>
    <w:proofErr w:type="gramEnd"/>
    <w:r>
      <w:t xml:space="preserve"> </w:t>
    </w:r>
    <w:r>
      <w:fldChar w:fldCharType="begin"/>
    </w:r>
    <w:r>
      <w:instrText xml:space="preserve"> PAGE  \* MERGEFORMAT </w:instrText>
    </w:r>
    <w:r>
      <w:fldChar w:fldCharType="separate"/>
    </w:r>
    <w:r w:rsidR="001F0B8C">
      <w:rPr>
        <w:noProof/>
      </w:rPr>
      <w:t>281</w:t>
    </w:r>
    <w:r>
      <w:fldChar w:fldCharType="end"/>
    </w:r>
  </w:p>
  <w:p w:rsidR="00AE7F20" w:rsidRDefault="00AE7F20" w:rsidP="00477D6B">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6172BC" w:rsidRDefault="00EF4308" w:rsidP="00080272">
    <w:pPr>
      <w:pStyle w:val="Header"/>
      <w:jc w:val="right"/>
      <w:rPr>
        <w:b/>
        <w:sz w:val="18"/>
        <w:szCs w:val="18"/>
      </w:rPr>
    </w:pPr>
    <w:r>
      <w:rPr>
        <w:b/>
        <w:sz w:val="18"/>
        <w:szCs w:val="18"/>
        <w:lang w:val="es-ES_tradnl"/>
      </w:rPr>
      <w:t>Pr</w:t>
    </w:r>
    <w:r w:rsidRPr="00C6048D">
      <w:rPr>
        <w:b/>
        <w:sz w:val="18"/>
        <w:szCs w:val="18"/>
        <w:lang w:val="es-ES_tradnl"/>
      </w:rPr>
      <w:t xml:space="preserve">opuesta </w:t>
    </w:r>
    <w:r w:rsidR="00236E18" w:rsidRPr="00C6048D">
      <w:rPr>
        <w:b/>
        <w:sz w:val="18"/>
        <w:szCs w:val="18"/>
        <w:lang w:val="es-ES_tradnl"/>
      </w:rPr>
      <w:t>de presupuesto por programas para 2016/17</w:t>
    </w:r>
  </w:p>
  <w:p w:rsidR="00236E18" w:rsidRPr="006172BC" w:rsidRDefault="00236E18" w:rsidP="00080272">
    <w:pPr>
      <w:pStyle w:val="Header"/>
      <w:jc w:val="right"/>
      <w:rPr>
        <w:sz w:val="18"/>
        <w:szCs w:val="18"/>
      </w:rPr>
    </w:pPr>
  </w:p>
  <w:p w:rsidR="00236E18" w:rsidRPr="006172BC" w:rsidRDefault="00236E18" w:rsidP="00080272">
    <w:pPr>
      <w:pStyle w:val="Header"/>
      <w:jc w:val="right"/>
      <w:rPr>
        <w:sz w:val="18"/>
        <w:szCs w:val="1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C004C9" w:rsidRDefault="00EC775E" w:rsidP="00080272">
    <w:pPr>
      <w:pStyle w:val="Header"/>
      <w:ind w:right="360"/>
      <w:rPr>
        <w:b/>
        <w:bCs/>
        <w:color w:val="333333"/>
        <w:sz w:val="18"/>
        <w:szCs w:val="18"/>
        <w:lang w:val="es-ES_tradnl"/>
      </w:rPr>
    </w:pPr>
    <w:r>
      <w:rPr>
        <w:b/>
        <w:sz w:val="18"/>
        <w:highlight w:val="white"/>
      </w:rPr>
      <w:t>Pro</w:t>
    </w:r>
    <w:r w:rsidRPr="007A60C1">
      <w:rPr>
        <w:b/>
        <w:sz w:val="18"/>
        <w:highlight w:val="white"/>
      </w:rPr>
      <w:t xml:space="preserve">puesta </w:t>
    </w:r>
    <w:r w:rsidR="00236E18" w:rsidRPr="007A60C1">
      <w:rPr>
        <w:b/>
        <w:sz w:val="18"/>
        <w:highlight w:val="white"/>
      </w:rPr>
      <w:t xml:space="preserve">de presupuesto por programas para </w:t>
    </w:r>
    <w:r w:rsidR="00236E18" w:rsidRPr="007A60C1">
      <w:rPr>
        <w:b/>
        <w:sz w:val="18"/>
      </w:rPr>
      <w:t>2016/17</w:t>
    </w:r>
  </w:p>
  <w:p w:rsidR="00236E18" w:rsidRPr="00C004C9" w:rsidRDefault="00236E18" w:rsidP="00080272">
    <w:pPr>
      <w:pStyle w:val="Header"/>
      <w:ind w:right="360"/>
      <w:rPr>
        <w:b/>
        <w:bCs/>
        <w:color w:val="333333"/>
        <w:sz w:val="18"/>
        <w:szCs w:val="18"/>
        <w:lang w:val="es-ES_tradnl"/>
      </w:rPr>
    </w:pPr>
  </w:p>
  <w:p w:rsidR="00236E18" w:rsidRPr="00C004C9" w:rsidRDefault="00236E18" w:rsidP="00080272">
    <w:pPr>
      <w:pStyle w:val="Header"/>
      <w:ind w:right="360"/>
      <w:rPr>
        <w:color w:val="333333"/>
        <w:sz w:val="18"/>
        <w:szCs w:val="18"/>
        <w:lang w:val="es-ES_tradn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C004C9" w:rsidRDefault="00AC54A7" w:rsidP="00080272">
    <w:pPr>
      <w:pStyle w:val="Header"/>
      <w:ind w:right="-1"/>
      <w:jc w:val="right"/>
      <w:rPr>
        <w:b/>
        <w:bCs/>
        <w:color w:val="333333"/>
        <w:sz w:val="18"/>
        <w:szCs w:val="18"/>
        <w:lang w:val="es-ES_tradnl"/>
      </w:rPr>
    </w:pPr>
    <w:r>
      <w:rPr>
        <w:b/>
        <w:sz w:val="18"/>
        <w:highlight w:val="white"/>
      </w:rPr>
      <w:t>Pro</w:t>
    </w:r>
    <w:r w:rsidRPr="007A60C1">
      <w:rPr>
        <w:b/>
        <w:sz w:val="18"/>
        <w:highlight w:val="white"/>
      </w:rPr>
      <w:t xml:space="preserve">puesta </w:t>
    </w:r>
    <w:r w:rsidR="00236E18" w:rsidRPr="007A60C1">
      <w:rPr>
        <w:b/>
        <w:sz w:val="18"/>
        <w:highlight w:val="white"/>
      </w:rPr>
      <w:t xml:space="preserve">de presupuesto por programas para </w:t>
    </w:r>
    <w:r w:rsidR="00236E18" w:rsidRPr="007A60C1">
      <w:rPr>
        <w:b/>
        <w:sz w:val="18"/>
      </w:rPr>
      <w:t>2016/17</w:t>
    </w:r>
  </w:p>
  <w:p w:rsidR="00236E18" w:rsidRPr="00C004C9" w:rsidRDefault="00236E18" w:rsidP="00080272">
    <w:pPr>
      <w:pStyle w:val="Header"/>
      <w:ind w:right="-1"/>
      <w:jc w:val="right"/>
      <w:rPr>
        <w:b/>
        <w:bCs/>
        <w:color w:val="333333"/>
        <w:sz w:val="18"/>
        <w:szCs w:val="18"/>
        <w:lang w:val="es-ES_tradnl"/>
      </w:rPr>
    </w:pPr>
  </w:p>
  <w:p w:rsidR="00236E18" w:rsidRPr="00C004C9" w:rsidRDefault="00236E18" w:rsidP="00080272">
    <w:pPr>
      <w:pStyle w:val="Header"/>
      <w:ind w:right="-1"/>
      <w:jc w:val="right"/>
      <w:rPr>
        <w:color w:val="333333"/>
        <w:sz w:val="18"/>
        <w:szCs w:val="18"/>
        <w:lang w:val="es-ES_tradnl"/>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4E674F" w:rsidRDefault="00875499" w:rsidP="00080272">
    <w:pPr>
      <w:pStyle w:val="Header"/>
      <w:rPr>
        <w:b/>
        <w:sz w:val="18"/>
        <w:szCs w:val="18"/>
        <w:lang w:val="es-ES_tradnl"/>
      </w:rPr>
    </w:pPr>
    <w:r w:rsidRPr="004E674F">
      <w:rPr>
        <w:b/>
        <w:sz w:val="18"/>
        <w:szCs w:val="18"/>
        <w:lang w:val="es-ES_tradnl"/>
      </w:rPr>
      <w:t xml:space="preserve">Propuesta </w:t>
    </w:r>
    <w:r w:rsidR="00236E18" w:rsidRPr="004E674F">
      <w:rPr>
        <w:b/>
        <w:sz w:val="18"/>
        <w:szCs w:val="18"/>
        <w:lang w:val="es-ES_tradnl"/>
      </w:rPr>
      <w:t>de presupuesto por programas para 2016/17</w:t>
    </w:r>
  </w:p>
  <w:p w:rsidR="00236E18" w:rsidRPr="004E674F" w:rsidRDefault="00236E18" w:rsidP="00080272">
    <w:pPr>
      <w:pStyle w:val="Header"/>
      <w:rPr>
        <w:sz w:val="18"/>
        <w:szCs w:val="18"/>
        <w:lang w:val="es-ES_tradnl"/>
      </w:rPr>
    </w:pPr>
  </w:p>
  <w:p w:rsidR="00236E18" w:rsidRPr="004E674F" w:rsidRDefault="00236E18" w:rsidP="00080272">
    <w:pPr>
      <w:pStyle w:val="Header"/>
      <w:rPr>
        <w:sz w:val="18"/>
        <w:szCs w:val="18"/>
        <w:lang w:val="es-ES_tradnl"/>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4E674F" w:rsidRDefault="00875499" w:rsidP="00080272">
    <w:pPr>
      <w:pStyle w:val="Header"/>
      <w:jc w:val="right"/>
      <w:rPr>
        <w:b/>
        <w:sz w:val="18"/>
        <w:szCs w:val="18"/>
        <w:lang w:val="es-ES_tradnl"/>
      </w:rPr>
    </w:pPr>
    <w:r w:rsidRPr="004E674F">
      <w:rPr>
        <w:b/>
        <w:sz w:val="18"/>
        <w:szCs w:val="18"/>
        <w:lang w:val="es-ES_tradnl"/>
      </w:rPr>
      <w:t xml:space="preserve">Propuesta </w:t>
    </w:r>
    <w:r w:rsidR="00236E18" w:rsidRPr="004E674F">
      <w:rPr>
        <w:b/>
        <w:sz w:val="18"/>
        <w:szCs w:val="18"/>
        <w:lang w:val="es-ES_tradnl"/>
      </w:rPr>
      <w:t>de presupuesto por programas para 2016/17</w:t>
    </w:r>
  </w:p>
  <w:p w:rsidR="00236E18" w:rsidRPr="004E674F" w:rsidRDefault="00236E18" w:rsidP="00080272">
    <w:pPr>
      <w:pStyle w:val="Header"/>
      <w:jc w:val="right"/>
      <w:rPr>
        <w:sz w:val="18"/>
        <w:szCs w:val="18"/>
        <w:lang w:val="es-ES_tradnl"/>
      </w:rPr>
    </w:pPr>
  </w:p>
  <w:p w:rsidR="00236E18" w:rsidRPr="004E674F" w:rsidRDefault="00236E18" w:rsidP="00080272">
    <w:pPr>
      <w:pStyle w:val="Header"/>
      <w:jc w:val="right"/>
      <w:rPr>
        <w:sz w:val="18"/>
        <w:szCs w:val="18"/>
        <w:lang w:val="es-ES_tradnl"/>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4E674F" w:rsidRDefault="00875499" w:rsidP="00080272">
    <w:pPr>
      <w:pStyle w:val="Header"/>
      <w:jc w:val="right"/>
      <w:rPr>
        <w:b/>
        <w:sz w:val="18"/>
        <w:szCs w:val="18"/>
        <w:lang w:val="es-ES_tradnl"/>
      </w:rPr>
    </w:pPr>
    <w:r w:rsidRPr="004E674F">
      <w:rPr>
        <w:b/>
        <w:sz w:val="18"/>
        <w:szCs w:val="18"/>
        <w:lang w:val="es-ES_tradnl"/>
      </w:rPr>
      <w:t xml:space="preserve">Propuesta </w:t>
    </w:r>
    <w:r w:rsidR="00236E18" w:rsidRPr="004E674F">
      <w:rPr>
        <w:b/>
        <w:sz w:val="18"/>
        <w:szCs w:val="18"/>
        <w:lang w:val="es-ES_tradnl"/>
      </w:rPr>
      <w:t>de presupuesto por programas para 2016/17</w:t>
    </w:r>
  </w:p>
  <w:p w:rsidR="00236E18" w:rsidRPr="004E674F" w:rsidRDefault="00236E18" w:rsidP="00080272">
    <w:pPr>
      <w:pStyle w:val="Header"/>
      <w:jc w:val="right"/>
      <w:rPr>
        <w:sz w:val="18"/>
        <w:szCs w:val="18"/>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D332C7" w:rsidRDefault="00236E18" w:rsidP="00080272">
    <w:pPr>
      <w:pStyle w:val="Header"/>
      <w:rPr>
        <w:b/>
        <w:sz w:val="18"/>
        <w:szCs w:val="18"/>
        <w:lang w:val="es-ES_tradnl"/>
      </w:rPr>
    </w:pPr>
    <w:r w:rsidRPr="00D332C7">
      <w:rPr>
        <w:b/>
        <w:sz w:val="18"/>
        <w:szCs w:val="18"/>
        <w:highlight w:val="white"/>
      </w:rPr>
      <w:t>Proyecto de propuesta de presupuesto por programas para</w:t>
    </w:r>
    <w:r w:rsidRPr="00D332C7">
      <w:rPr>
        <w:b/>
        <w:sz w:val="18"/>
        <w:szCs w:val="18"/>
      </w:rPr>
      <w:t xml:space="preserve"> 2016/17</w:t>
    </w:r>
  </w:p>
  <w:p w:rsidR="00236E18" w:rsidRPr="00D332C7" w:rsidRDefault="00236E18" w:rsidP="00080272">
    <w:pPr>
      <w:pStyle w:val="Header"/>
      <w:rPr>
        <w:b/>
        <w:sz w:val="18"/>
        <w:szCs w:val="18"/>
        <w:lang w:val="es-ES_tradnl"/>
      </w:rPr>
    </w:pPr>
  </w:p>
  <w:p w:rsidR="00236E18" w:rsidRPr="00D332C7" w:rsidRDefault="00236E18" w:rsidP="00080272">
    <w:pPr>
      <w:pStyle w:val="Header"/>
      <w:rPr>
        <w:sz w:val="18"/>
        <w:szCs w:val="18"/>
        <w:lang w:val="es-ES_trad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D332C7" w:rsidRDefault="00236E18" w:rsidP="00080272">
    <w:pPr>
      <w:pStyle w:val="Header"/>
      <w:rPr>
        <w:b/>
        <w:sz w:val="18"/>
        <w:szCs w:val="18"/>
        <w:lang w:val="es-ES_tradnl"/>
      </w:rPr>
    </w:pPr>
    <w:r w:rsidRPr="00FC1EC9">
      <w:rPr>
        <w:b/>
        <w:sz w:val="18"/>
        <w:highlight w:val="white"/>
      </w:rPr>
      <w:t>P</w:t>
    </w:r>
    <w:r>
      <w:rPr>
        <w:b/>
        <w:sz w:val="18"/>
        <w:highlight w:val="white"/>
      </w:rPr>
      <w:t>ro</w:t>
    </w:r>
    <w:r w:rsidRPr="00FC1EC9">
      <w:rPr>
        <w:b/>
        <w:sz w:val="18"/>
        <w:highlight w:val="white"/>
      </w:rPr>
      <w:t>puesta de presupuesto por programas para</w:t>
    </w:r>
    <w:r w:rsidRPr="00FC1EC9">
      <w:rPr>
        <w:b/>
        <w:sz w:val="18"/>
      </w:rPr>
      <w:t xml:space="preserve"> 2016/17</w:t>
    </w:r>
  </w:p>
  <w:p w:rsidR="00236E18" w:rsidRPr="00D332C7" w:rsidRDefault="00236E18" w:rsidP="00080272">
    <w:pPr>
      <w:pStyle w:val="Header"/>
      <w:rPr>
        <w:b/>
        <w:sz w:val="18"/>
        <w:szCs w:val="18"/>
        <w:lang w:val="es-ES_tradnl"/>
      </w:rPr>
    </w:pPr>
  </w:p>
  <w:p w:rsidR="00236E18" w:rsidRPr="00D332C7" w:rsidRDefault="00236E18" w:rsidP="00080272">
    <w:pPr>
      <w:pStyle w:val="Header"/>
      <w:rPr>
        <w:b/>
        <w:sz w:val="18"/>
        <w:szCs w:val="18"/>
        <w:lang w:val="es-ES_tradn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74304F" w:rsidRDefault="00236E18" w:rsidP="00080272">
    <w:pPr>
      <w:pStyle w:val="Header"/>
      <w:jc w:val="right"/>
      <w:rPr>
        <w:b/>
        <w:sz w:val="18"/>
        <w:szCs w:val="18"/>
        <w:lang w:val="es-ES_tradnl"/>
      </w:rPr>
    </w:pPr>
    <w:r w:rsidRPr="0074304F">
      <w:rPr>
        <w:b/>
        <w:sz w:val="18"/>
        <w:szCs w:val="18"/>
        <w:highlight w:val="white"/>
      </w:rPr>
      <w:t>Propuesta de presupuesto por programas para</w:t>
    </w:r>
    <w:r w:rsidRPr="0074304F">
      <w:rPr>
        <w:b/>
        <w:sz w:val="18"/>
        <w:szCs w:val="18"/>
      </w:rPr>
      <w:t xml:space="preserve"> 2016/17</w:t>
    </w:r>
  </w:p>
  <w:p w:rsidR="00236E18" w:rsidRPr="0074304F" w:rsidRDefault="00236E18" w:rsidP="00080272">
    <w:pPr>
      <w:pStyle w:val="Header"/>
      <w:jc w:val="right"/>
      <w:rPr>
        <w:sz w:val="18"/>
        <w:szCs w:val="18"/>
        <w:lang w:val="es-ES_tradnl"/>
      </w:rPr>
    </w:pPr>
  </w:p>
  <w:p w:rsidR="00236E18" w:rsidRPr="0074304F" w:rsidRDefault="00236E18" w:rsidP="00080272">
    <w:pPr>
      <w:pStyle w:val="Header"/>
      <w:jc w:val="right"/>
      <w:rPr>
        <w:sz w:val="18"/>
        <w:szCs w:val="18"/>
        <w:lang w:val="es-ES_tradn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DA5A7D" w:rsidRDefault="00236E18" w:rsidP="00080272">
    <w:pPr>
      <w:pStyle w:val="Header"/>
      <w:jc w:val="right"/>
      <w:rPr>
        <w:b/>
        <w:sz w:val="18"/>
        <w:lang w:val="es-ES_tradnl"/>
      </w:rPr>
    </w:pPr>
    <w:r>
      <w:rPr>
        <w:b/>
        <w:sz w:val="18"/>
        <w:highlight w:val="white"/>
      </w:rPr>
      <w:t>Pro</w:t>
    </w:r>
    <w:r w:rsidRPr="00FC1EC9">
      <w:rPr>
        <w:b/>
        <w:sz w:val="18"/>
        <w:highlight w:val="white"/>
      </w:rPr>
      <w:t>puesta de presupuesto por programas para</w:t>
    </w:r>
    <w:r w:rsidRPr="00FC1EC9">
      <w:rPr>
        <w:b/>
        <w:sz w:val="18"/>
      </w:rPr>
      <w:t xml:space="preserve"> 2016/17</w:t>
    </w:r>
  </w:p>
  <w:p w:rsidR="00236E18" w:rsidRPr="00DA5A7D" w:rsidRDefault="00236E18" w:rsidP="00080272">
    <w:pPr>
      <w:pStyle w:val="Header"/>
      <w:jc w:val="right"/>
      <w:rPr>
        <w:b/>
        <w:sz w:val="18"/>
        <w:lang w:val="es-ES_tradn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DA5A7D" w:rsidRDefault="00236E18" w:rsidP="008249DB">
    <w:pPr>
      <w:pStyle w:val="Header"/>
      <w:jc w:val="right"/>
      <w:rPr>
        <w:b/>
        <w:sz w:val="18"/>
        <w:lang w:val="es-ES_tradnl"/>
      </w:rPr>
    </w:pPr>
    <w:r w:rsidRPr="00FC1EC9">
      <w:rPr>
        <w:b/>
        <w:sz w:val="18"/>
        <w:highlight w:val="white"/>
      </w:rPr>
      <w:t>Pro</w:t>
    </w:r>
    <w:r>
      <w:rPr>
        <w:b/>
        <w:sz w:val="18"/>
        <w:highlight w:val="white"/>
      </w:rPr>
      <w:t>yecto de pro</w:t>
    </w:r>
    <w:r w:rsidRPr="00FC1EC9">
      <w:rPr>
        <w:b/>
        <w:sz w:val="18"/>
        <w:highlight w:val="white"/>
      </w:rPr>
      <w:t>puesta de presupuesto por programas para</w:t>
    </w:r>
    <w:r w:rsidRPr="00FC1EC9">
      <w:rPr>
        <w:b/>
        <w:sz w:val="18"/>
      </w:rPr>
      <w:t xml:space="preserve"> 2016/17</w:t>
    </w:r>
  </w:p>
  <w:p w:rsidR="00236E18" w:rsidRDefault="00236E18" w:rsidP="00080272">
    <w:pPr>
      <w:pStyle w:val="Header"/>
      <w:rPr>
        <w:b/>
        <w:sz w:val="18"/>
        <w:lang w:val="es-ES_tradnl"/>
      </w:rPr>
    </w:pPr>
  </w:p>
  <w:p w:rsidR="00236E18" w:rsidRPr="00DA5A7D" w:rsidRDefault="00236E18" w:rsidP="00080272">
    <w:pPr>
      <w:pStyle w:val="Header"/>
      <w:rPr>
        <w:b/>
        <w:sz w:val="18"/>
        <w:lang w:val="es-ES_tradn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08" w:rsidRPr="00DA5A7D" w:rsidRDefault="00EF4308" w:rsidP="00EF4308">
    <w:pPr>
      <w:pStyle w:val="Header"/>
      <w:rPr>
        <w:b/>
        <w:sz w:val="18"/>
        <w:lang w:val="es-ES_tradnl"/>
      </w:rPr>
    </w:pPr>
    <w:r>
      <w:rPr>
        <w:b/>
        <w:sz w:val="18"/>
        <w:highlight w:val="white"/>
      </w:rPr>
      <w:t>Pro</w:t>
    </w:r>
    <w:r w:rsidRPr="00FC1EC9">
      <w:rPr>
        <w:b/>
        <w:sz w:val="18"/>
        <w:highlight w:val="white"/>
      </w:rPr>
      <w:t xml:space="preserve">puesta </w:t>
    </w:r>
    <w:r w:rsidRPr="00FC1EC9">
      <w:rPr>
        <w:b/>
        <w:sz w:val="18"/>
        <w:highlight w:val="white"/>
      </w:rPr>
      <w:t>de presupuesto por programas para</w:t>
    </w:r>
    <w:r w:rsidRPr="00FC1EC9">
      <w:rPr>
        <w:b/>
        <w:sz w:val="18"/>
      </w:rPr>
      <w:t xml:space="preserve"> 2016/17</w:t>
    </w:r>
  </w:p>
  <w:p w:rsidR="00EF4308" w:rsidRDefault="00EF4308" w:rsidP="00080272">
    <w:pPr>
      <w:pStyle w:val="Header"/>
      <w:rPr>
        <w:b/>
        <w:sz w:val="18"/>
        <w:lang w:val="es-ES_tradnl"/>
      </w:rPr>
    </w:pPr>
  </w:p>
  <w:p w:rsidR="00EF4308" w:rsidRPr="00DA5A7D" w:rsidRDefault="00EF4308" w:rsidP="00080272">
    <w:pPr>
      <w:pStyle w:val="Header"/>
      <w:rPr>
        <w:b/>
        <w:sz w:val="18"/>
        <w:lang w:val="es-ES_tradn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DA5A7D" w:rsidRDefault="00EF4308" w:rsidP="00EF4308">
    <w:pPr>
      <w:pStyle w:val="Header"/>
      <w:jc w:val="right"/>
      <w:rPr>
        <w:b/>
        <w:sz w:val="18"/>
        <w:lang w:val="es-ES_tradnl"/>
      </w:rPr>
    </w:pPr>
    <w:r>
      <w:rPr>
        <w:b/>
        <w:sz w:val="18"/>
        <w:highlight w:val="white"/>
      </w:rPr>
      <w:t>Pro</w:t>
    </w:r>
    <w:r w:rsidRPr="00FC1EC9">
      <w:rPr>
        <w:b/>
        <w:sz w:val="18"/>
        <w:highlight w:val="white"/>
      </w:rPr>
      <w:t xml:space="preserve">puesta </w:t>
    </w:r>
    <w:r w:rsidR="00236E18" w:rsidRPr="00FC1EC9">
      <w:rPr>
        <w:b/>
        <w:sz w:val="18"/>
        <w:highlight w:val="white"/>
      </w:rPr>
      <w:t>de presupuesto por programas para</w:t>
    </w:r>
    <w:r w:rsidR="00236E18" w:rsidRPr="00FC1EC9">
      <w:rPr>
        <w:b/>
        <w:sz w:val="18"/>
      </w:rPr>
      <w:t xml:space="preserve"> 2016/17</w:t>
    </w:r>
  </w:p>
  <w:p w:rsidR="00236E18" w:rsidRDefault="00236E18" w:rsidP="00080272">
    <w:pPr>
      <w:pStyle w:val="Header"/>
      <w:rPr>
        <w:b/>
        <w:sz w:val="18"/>
        <w:lang w:val="es-ES_tradnl"/>
      </w:rPr>
    </w:pPr>
  </w:p>
  <w:p w:rsidR="00236E18" w:rsidRPr="00DA5A7D" w:rsidRDefault="00236E18" w:rsidP="00080272">
    <w:pPr>
      <w:pStyle w:val="Header"/>
      <w:rPr>
        <w:b/>
        <w:sz w:val="18"/>
        <w:lang w:val="es-ES_tradn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18" w:rsidRPr="006E4BFE" w:rsidRDefault="00EF4308" w:rsidP="00080272">
    <w:pPr>
      <w:pStyle w:val="Header"/>
      <w:rPr>
        <w:b/>
        <w:sz w:val="18"/>
        <w:szCs w:val="18"/>
      </w:rPr>
    </w:pPr>
    <w:r>
      <w:rPr>
        <w:b/>
        <w:sz w:val="18"/>
        <w:szCs w:val="18"/>
        <w:lang w:val="es-ES_tradnl"/>
      </w:rPr>
      <w:t>Pr</w:t>
    </w:r>
    <w:r w:rsidRPr="00C6048D">
      <w:rPr>
        <w:b/>
        <w:sz w:val="18"/>
        <w:szCs w:val="18"/>
        <w:lang w:val="es-ES_tradnl"/>
      </w:rPr>
      <w:t xml:space="preserve">opuesta </w:t>
    </w:r>
    <w:r w:rsidR="00236E18" w:rsidRPr="00C6048D">
      <w:rPr>
        <w:b/>
        <w:sz w:val="18"/>
        <w:szCs w:val="18"/>
        <w:lang w:val="es-ES_tradnl"/>
      </w:rPr>
      <w:t>de presupuesto por programas para 2016/17</w:t>
    </w:r>
  </w:p>
  <w:p w:rsidR="00236E18" w:rsidRPr="006E4BFE" w:rsidRDefault="00236E18" w:rsidP="00080272">
    <w:pPr>
      <w:pStyle w:val="Header"/>
      <w:rPr>
        <w:sz w:val="18"/>
        <w:szCs w:val="18"/>
      </w:rPr>
    </w:pPr>
  </w:p>
  <w:p w:rsidR="00236E18" w:rsidRPr="006E4BFE" w:rsidRDefault="00236E18" w:rsidP="00080272">
    <w:pPr>
      <w:pStyle w:val="Heade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89981690"/>
    <w:name w:val="WW8Num10"/>
    <w:lvl w:ilvl="0">
      <w:start w:val="1"/>
      <w:numFmt w:val="decimal"/>
      <w:lvlText w:val="15.%1."/>
      <w:lvlJc w:val="left"/>
      <w:pPr>
        <w:tabs>
          <w:tab w:val="num" w:pos="0"/>
        </w:tabs>
        <w:ind w:left="360" w:hanging="360"/>
      </w:pPr>
      <w:rPr>
        <w:rFonts w:hint="default"/>
        <w:color w:val="000000"/>
        <w:sz w:val="20"/>
        <w:szCs w:val="2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6"/>
    <w:multiLevelType w:val="singleLevel"/>
    <w:tmpl w:val="00000006"/>
    <w:name w:val="WW8Num15"/>
    <w:lvl w:ilvl="0">
      <w:start w:val="1"/>
      <w:numFmt w:val="bullet"/>
      <w:lvlText w:val=""/>
      <w:lvlJc w:val="left"/>
      <w:pPr>
        <w:tabs>
          <w:tab w:val="num" w:pos="0"/>
        </w:tabs>
        <w:ind w:left="720" w:hanging="360"/>
      </w:pPr>
      <w:rPr>
        <w:rFonts w:ascii="Symbol" w:hAnsi="Symbol" w:cs="Symbol" w:hint="default"/>
      </w:rPr>
    </w:lvl>
  </w:abstractNum>
  <w:abstractNum w:abstractNumId="2">
    <w:nsid w:val="05B068E2"/>
    <w:multiLevelType w:val="hybridMultilevel"/>
    <w:tmpl w:val="44549FEC"/>
    <w:lvl w:ilvl="0" w:tplc="F676B65C">
      <w:start w:val="1"/>
      <w:numFmt w:val="bullet"/>
      <w:lvlText w:val="-"/>
      <w:lvlJc w:val="left"/>
      <w:pPr>
        <w:ind w:left="720" w:hanging="360"/>
      </w:pPr>
      <w:rPr>
        <w:rFonts w:ascii="Arial" w:eastAsiaTheme="minorEastAsia" w:hAnsi="Arial" w:cs="Arial" w:hint="default"/>
      </w:rPr>
    </w:lvl>
    <w:lvl w:ilvl="1" w:tplc="C8088452">
      <w:start w:val="1"/>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CD29E3"/>
    <w:multiLevelType w:val="multilevel"/>
    <w:tmpl w:val="18BE88D2"/>
    <w:lvl w:ilvl="0">
      <w:start w:val="1"/>
      <w:numFmt w:val="decimal"/>
      <w:lvlRestart w:val="0"/>
      <w:pStyle w:val="ONUME"/>
      <w:lvlText w:val="%1."/>
      <w:lvlJc w:val="left"/>
      <w:pPr>
        <w:tabs>
          <w:tab w:val="num" w:pos="6096"/>
        </w:tabs>
        <w:ind w:left="5529"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79B6BCD"/>
    <w:multiLevelType w:val="hybridMultilevel"/>
    <w:tmpl w:val="E32E1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BB7A06"/>
    <w:multiLevelType w:val="hybridMultilevel"/>
    <w:tmpl w:val="339EACD6"/>
    <w:lvl w:ilvl="0" w:tplc="04090001">
      <w:start w:val="1"/>
      <w:numFmt w:val="bullet"/>
      <w:lvlText w:val=""/>
      <w:lvlJc w:val="left"/>
      <w:pPr>
        <w:ind w:left="910" w:hanging="360"/>
      </w:pPr>
      <w:rPr>
        <w:rFonts w:ascii="Symbol" w:hAnsi="Symbo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6">
    <w:nsid w:val="09F65EB6"/>
    <w:multiLevelType w:val="hybridMultilevel"/>
    <w:tmpl w:val="2FE6E0EA"/>
    <w:lvl w:ilvl="0" w:tplc="C8143936">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DF6A28"/>
    <w:multiLevelType w:val="hybridMultilevel"/>
    <w:tmpl w:val="93443F26"/>
    <w:lvl w:ilvl="0" w:tplc="E7FE915A">
      <w:start w:val="1"/>
      <w:numFmt w:val="decimal"/>
      <w:lvlText w:val="2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03326C"/>
    <w:multiLevelType w:val="hybridMultilevel"/>
    <w:tmpl w:val="3C0877DC"/>
    <w:lvl w:ilvl="0" w:tplc="CBE48860">
      <w:start w:val="315"/>
      <w:numFmt w:val="bullet"/>
      <w:lvlText w:val=""/>
      <w:lvlJc w:val="left"/>
      <w:pPr>
        <w:ind w:left="1080" w:hanging="360"/>
      </w:pPr>
      <w:rPr>
        <w:rFonts w:ascii="Symbol" w:eastAsia="Times New Roman" w:hAnsi="Symbol" w:cs="Times New Roman" w:hint="default"/>
        <w:color w:val="00000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097619"/>
    <w:multiLevelType w:val="hybridMultilevel"/>
    <w:tmpl w:val="0D6A0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2B244F"/>
    <w:multiLevelType w:val="hybridMultilevel"/>
    <w:tmpl w:val="097E91E2"/>
    <w:lvl w:ilvl="0" w:tplc="0C1A8E8A">
      <w:start w:val="1"/>
      <w:numFmt w:val="decimal"/>
      <w:lvlText w:val="%1."/>
      <w:lvlJc w:val="left"/>
      <w:pPr>
        <w:tabs>
          <w:tab w:val="num" w:pos="567"/>
        </w:tabs>
        <w:ind w:left="0" w:firstLine="0"/>
      </w:pPr>
      <w:rPr>
        <w:rFonts w:ascii="Arial" w:hAnsi="Arial" w:cs="Arial" w:hint="default"/>
        <w:b w:val="0"/>
        <w:bCs w:val="0"/>
        <w:i w:val="0"/>
        <w:iCs w:val="0"/>
        <w:sz w:val="20"/>
        <w:szCs w:val="24"/>
      </w:rPr>
    </w:lvl>
    <w:lvl w:ilvl="1" w:tplc="BBB49450">
      <w:numFmt w:val="none"/>
      <w:lvlText w:val=""/>
      <w:lvlJc w:val="left"/>
      <w:pPr>
        <w:tabs>
          <w:tab w:val="num" w:pos="360"/>
        </w:tabs>
      </w:pPr>
    </w:lvl>
    <w:lvl w:ilvl="2" w:tplc="3072D582">
      <w:numFmt w:val="none"/>
      <w:lvlText w:val=""/>
      <w:lvlJc w:val="left"/>
      <w:pPr>
        <w:tabs>
          <w:tab w:val="num" w:pos="360"/>
        </w:tabs>
      </w:pPr>
    </w:lvl>
    <w:lvl w:ilvl="3" w:tplc="7E24C4FC">
      <w:numFmt w:val="none"/>
      <w:lvlText w:val=""/>
      <w:lvlJc w:val="left"/>
      <w:pPr>
        <w:tabs>
          <w:tab w:val="num" w:pos="360"/>
        </w:tabs>
      </w:pPr>
    </w:lvl>
    <w:lvl w:ilvl="4" w:tplc="B4745B60">
      <w:numFmt w:val="none"/>
      <w:lvlText w:val=""/>
      <w:lvlJc w:val="left"/>
      <w:pPr>
        <w:tabs>
          <w:tab w:val="num" w:pos="360"/>
        </w:tabs>
      </w:pPr>
    </w:lvl>
    <w:lvl w:ilvl="5" w:tplc="0B98436E">
      <w:numFmt w:val="none"/>
      <w:lvlText w:val=""/>
      <w:lvlJc w:val="left"/>
      <w:pPr>
        <w:tabs>
          <w:tab w:val="num" w:pos="360"/>
        </w:tabs>
      </w:pPr>
    </w:lvl>
    <w:lvl w:ilvl="6" w:tplc="2D44E926">
      <w:numFmt w:val="none"/>
      <w:lvlText w:val=""/>
      <w:lvlJc w:val="left"/>
      <w:pPr>
        <w:tabs>
          <w:tab w:val="num" w:pos="360"/>
        </w:tabs>
      </w:pPr>
    </w:lvl>
    <w:lvl w:ilvl="7" w:tplc="16A41804">
      <w:numFmt w:val="none"/>
      <w:lvlText w:val=""/>
      <w:lvlJc w:val="left"/>
      <w:pPr>
        <w:tabs>
          <w:tab w:val="num" w:pos="360"/>
        </w:tabs>
      </w:pPr>
    </w:lvl>
    <w:lvl w:ilvl="8" w:tplc="B82CFB2E">
      <w:numFmt w:val="none"/>
      <w:lvlText w:val=""/>
      <w:lvlJc w:val="left"/>
      <w:pPr>
        <w:tabs>
          <w:tab w:val="num" w:pos="360"/>
        </w:tabs>
      </w:pPr>
    </w:lvl>
  </w:abstractNum>
  <w:abstractNum w:abstractNumId="11">
    <w:nsid w:val="10122768"/>
    <w:multiLevelType w:val="hybridMultilevel"/>
    <w:tmpl w:val="422AAD12"/>
    <w:lvl w:ilvl="0" w:tplc="3502E3B6">
      <w:start w:val="1"/>
      <w:numFmt w:val="decimal"/>
      <w:lvlText w:val="25.%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547780"/>
    <w:multiLevelType w:val="hybridMultilevel"/>
    <w:tmpl w:val="14986566"/>
    <w:lvl w:ilvl="0" w:tplc="A3C68D84">
      <w:start w:val="1"/>
      <w:numFmt w:val="decimal"/>
      <w:lvlRestart w:val="0"/>
      <w:lvlText w:val="21.%1."/>
      <w:lvlJc w:val="left"/>
      <w:pPr>
        <w:tabs>
          <w:tab w:val="num" w:pos="680"/>
        </w:tabs>
        <w:ind w:left="0" w:firstLine="0"/>
      </w:pPr>
      <w:rPr>
        <w:rFonts w:ascii="Arial" w:hAnsi="Arial" w:hint="default"/>
        <w:sz w:val="20"/>
        <w:szCs w:val="20"/>
      </w:rPr>
    </w:lvl>
    <w:lvl w:ilvl="1" w:tplc="C0A656DA">
      <w:start w:val="1"/>
      <w:numFmt w:val="lowerRoman"/>
      <w:lvlText w:val="%2)"/>
      <w:lvlJc w:val="left"/>
      <w:pPr>
        <w:tabs>
          <w:tab w:val="num" w:pos="1250"/>
        </w:tabs>
        <w:ind w:left="1080" w:firstLine="0"/>
      </w:pPr>
      <w:rPr>
        <w:rFonts w:ascii="Arial" w:eastAsiaTheme="minorHAnsi" w:hAnsi="Arial" w:cs="Arial"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22B2A50"/>
    <w:multiLevelType w:val="hybridMultilevel"/>
    <w:tmpl w:val="19C26916"/>
    <w:lvl w:ilvl="0" w:tplc="88408418">
      <w:start w:val="1"/>
      <w:numFmt w:val="decimal"/>
      <w:lvlText w:val="%1."/>
      <w:lvlJc w:val="left"/>
      <w:pPr>
        <w:tabs>
          <w:tab w:val="num" w:pos="567"/>
        </w:tabs>
        <w:ind w:left="0" w:firstLine="0"/>
      </w:pPr>
      <w:rPr>
        <w:rFonts w:hint="default"/>
        <w:b w:val="0"/>
        <w:bCs/>
      </w:rPr>
    </w:lvl>
    <w:lvl w:ilvl="1" w:tplc="58C0532C"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3794905"/>
    <w:multiLevelType w:val="hybridMultilevel"/>
    <w:tmpl w:val="1EFACF80"/>
    <w:lvl w:ilvl="0" w:tplc="C65EA48A">
      <w:start w:val="315"/>
      <w:numFmt w:val="bullet"/>
      <w:lvlText w:val=""/>
      <w:lvlJc w:val="left"/>
      <w:pPr>
        <w:tabs>
          <w:tab w:val="num" w:pos="1174"/>
        </w:tabs>
        <w:ind w:left="1174" w:hanging="454"/>
      </w:pPr>
      <w:rPr>
        <w:rFonts w:ascii="Symbol" w:eastAsia="Times New Roman" w:hAnsi="Symbol" w:cs="Times New Roman" w:hint="default"/>
        <w:sz w:val="22"/>
      </w:rPr>
    </w:lvl>
    <w:lvl w:ilvl="1" w:tplc="04090003" w:tentative="1">
      <w:start w:val="1"/>
      <w:numFmt w:val="bullet"/>
      <w:lvlText w:val="o"/>
      <w:lvlJc w:val="left"/>
      <w:pPr>
        <w:tabs>
          <w:tab w:val="num" w:pos="1840"/>
        </w:tabs>
        <w:ind w:left="1840" w:hanging="360"/>
      </w:pPr>
      <w:rPr>
        <w:rFonts w:ascii="Courier New" w:hAnsi="Courier New" w:cs="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cs="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cs="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5">
    <w:nsid w:val="1A920F3B"/>
    <w:multiLevelType w:val="hybridMultilevel"/>
    <w:tmpl w:val="1560413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
    <w:nsid w:val="1B605764"/>
    <w:multiLevelType w:val="hybridMultilevel"/>
    <w:tmpl w:val="5C1E54E8"/>
    <w:lvl w:ilvl="0" w:tplc="5B683A3A">
      <w:start w:val="1"/>
      <w:numFmt w:val="upperRoman"/>
      <w:lvlText w:val="%1."/>
      <w:lvlJc w:val="left"/>
      <w:pPr>
        <w:ind w:left="1080" w:hanging="720"/>
      </w:pPr>
      <w:rPr>
        <w:rFonts w:hint="default"/>
      </w:rPr>
    </w:lvl>
    <w:lvl w:ilvl="1" w:tplc="A2369E28">
      <w:start w:val="1"/>
      <w:numFmt w:val="lowerLetter"/>
      <w:lvlText w:val="(%2)"/>
      <w:lvlJc w:val="left"/>
      <w:pPr>
        <w:ind w:left="1440" w:hanging="360"/>
      </w:pPr>
      <w:rPr>
        <w:rFonts w:hint="default"/>
        <w: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21207CBF"/>
    <w:multiLevelType w:val="hybridMultilevel"/>
    <w:tmpl w:val="E5D4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2DD2783"/>
    <w:multiLevelType w:val="hybridMultilevel"/>
    <w:tmpl w:val="1EBA25D8"/>
    <w:lvl w:ilvl="0" w:tplc="D166BB9E">
      <w:start w:val="1"/>
      <w:numFmt w:val="decimal"/>
      <w:lvlText w:val="10.%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20">
    <w:nsid w:val="246747EC"/>
    <w:multiLevelType w:val="hybridMultilevel"/>
    <w:tmpl w:val="34AABE42"/>
    <w:lvl w:ilvl="0" w:tplc="AB8C9374">
      <w:start w:val="1"/>
      <w:numFmt w:val="decimal"/>
      <w:lvlText w:val="14.%1."/>
      <w:lvlJc w:val="left"/>
      <w:pPr>
        <w:tabs>
          <w:tab w:val="num" w:pos="825"/>
        </w:tabs>
        <w:ind w:left="142" w:firstLine="0"/>
      </w:pPr>
      <w:rPr>
        <w:rFonts w:ascii="Arial" w:hAnsi="Arial" w:cs="Arial" w:hint="default"/>
        <w:sz w:val="20"/>
        <w:szCs w:val="20"/>
      </w:rPr>
    </w:lvl>
    <w:lvl w:ilvl="1" w:tplc="04090019">
      <w:start w:val="1"/>
      <w:numFmt w:val="lowerRoman"/>
      <w:lvlText w:val="(%2)"/>
      <w:lvlJc w:val="left"/>
      <w:pPr>
        <w:tabs>
          <w:tab w:val="num" w:pos="1250"/>
        </w:tabs>
        <w:ind w:left="1080" w:firstLine="0"/>
      </w:pPr>
      <w:rPr>
        <w:rFonts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4726D81"/>
    <w:multiLevelType w:val="hybridMultilevel"/>
    <w:tmpl w:val="259AE5A4"/>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22">
    <w:nsid w:val="24742D0B"/>
    <w:multiLevelType w:val="hybridMultilevel"/>
    <w:tmpl w:val="1BD0795C"/>
    <w:lvl w:ilvl="0" w:tplc="79A8C800">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D44243"/>
    <w:multiLevelType w:val="hybridMultilevel"/>
    <w:tmpl w:val="2E9459EA"/>
    <w:lvl w:ilvl="0" w:tplc="035C5FD4">
      <w:start w:val="1"/>
      <w:numFmt w:val="decimal"/>
      <w:lvlText w:val="13.%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6A3D44"/>
    <w:multiLevelType w:val="hybridMultilevel"/>
    <w:tmpl w:val="9E909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76F7D50"/>
    <w:multiLevelType w:val="hybridMultilevel"/>
    <w:tmpl w:val="E26E1252"/>
    <w:lvl w:ilvl="0" w:tplc="04090001">
      <w:start w:val="1"/>
      <w:numFmt w:val="bullet"/>
      <w:lvlText w:val=""/>
      <w:lvlJc w:val="left"/>
      <w:pPr>
        <w:tabs>
          <w:tab w:val="num" w:pos="1160"/>
        </w:tabs>
        <w:ind w:left="1160" w:hanging="360"/>
      </w:pPr>
      <w:rPr>
        <w:rFonts w:ascii="Symbol" w:hAnsi="Symbol" w:hint="default"/>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26">
    <w:nsid w:val="2ADE3087"/>
    <w:multiLevelType w:val="multilevel"/>
    <w:tmpl w:val="D3785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2B0F0EBA"/>
    <w:multiLevelType w:val="hybridMultilevel"/>
    <w:tmpl w:val="9794A932"/>
    <w:lvl w:ilvl="0" w:tplc="6E3692C8">
      <w:start w:val="1"/>
      <w:numFmt w:val="decimal"/>
      <w:lvlText w:val="%1."/>
      <w:lvlJc w:val="left"/>
      <w:pPr>
        <w:tabs>
          <w:tab w:val="num" w:pos="567"/>
        </w:tabs>
        <w:ind w:left="0" w:firstLine="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B423B8D"/>
    <w:multiLevelType w:val="hybridMultilevel"/>
    <w:tmpl w:val="1004DDCE"/>
    <w:lvl w:ilvl="0" w:tplc="2A1252A8">
      <w:start w:val="1"/>
      <w:numFmt w:val="decimal"/>
      <w:lvlText w:val="%1."/>
      <w:lvlJc w:val="left"/>
      <w:pPr>
        <w:tabs>
          <w:tab w:val="num" w:pos="567"/>
        </w:tabs>
        <w:ind w:left="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D7F1CA2"/>
    <w:multiLevelType w:val="hybridMultilevel"/>
    <w:tmpl w:val="449ED5AA"/>
    <w:lvl w:ilvl="0" w:tplc="04090001">
      <w:start w:val="1"/>
      <w:numFmt w:val="bullet"/>
      <w:lvlText w:val=""/>
      <w:lvlJc w:val="left"/>
      <w:pPr>
        <w:tabs>
          <w:tab w:val="num" w:pos="1120"/>
        </w:tabs>
        <w:ind w:left="1120" w:hanging="360"/>
      </w:pPr>
      <w:rPr>
        <w:rFonts w:ascii="Symbol" w:hAnsi="Symbol" w:hint="default"/>
      </w:rPr>
    </w:lvl>
    <w:lvl w:ilvl="1" w:tplc="04090003" w:tentative="1">
      <w:start w:val="1"/>
      <w:numFmt w:val="bullet"/>
      <w:lvlText w:val="o"/>
      <w:lvlJc w:val="left"/>
      <w:pPr>
        <w:tabs>
          <w:tab w:val="num" w:pos="1840"/>
        </w:tabs>
        <w:ind w:left="1840" w:hanging="360"/>
      </w:pPr>
      <w:rPr>
        <w:rFonts w:ascii="Courier New" w:hAnsi="Courier New" w:cs="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cs="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cs="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30">
    <w:nsid w:val="2EEA14E7"/>
    <w:multiLevelType w:val="hybridMultilevel"/>
    <w:tmpl w:val="3FB2F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5B64AE"/>
    <w:multiLevelType w:val="hybridMultilevel"/>
    <w:tmpl w:val="FB465BA4"/>
    <w:lvl w:ilvl="0" w:tplc="17FC7604">
      <w:start w:val="1"/>
      <w:numFmt w:val="bullet"/>
      <w:lvlText w:val=""/>
      <w:lvlJc w:val="left"/>
      <w:pPr>
        <w:tabs>
          <w:tab w:val="num" w:pos="720"/>
        </w:tabs>
        <w:ind w:left="720" w:hanging="360"/>
      </w:pPr>
      <w:rPr>
        <w:rFonts w:ascii="Symbol" w:hAnsi="Symbol" w:hint="default"/>
        <w:lang w:val="es-E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31136CF2"/>
    <w:multiLevelType w:val="hybridMultilevel"/>
    <w:tmpl w:val="F9828D0E"/>
    <w:lvl w:ilvl="0" w:tplc="7A84B2F6">
      <w:start w:val="1"/>
      <w:numFmt w:val="decimal"/>
      <w:lvlRestart w:val="0"/>
      <w:lvlText w:val="22.%1."/>
      <w:lvlJc w:val="left"/>
      <w:pPr>
        <w:tabs>
          <w:tab w:val="num" w:pos="692"/>
        </w:tabs>
        <w:ind w:left="6" w:firstLine="0"/>
      </w:pPr>
      <w:rPr>
        <w:rFonts w:ascii="Arial" w:hAnsi="Arial" w:hint="default"/>
        <w:b w:val="0"/>
        <w:bCs/>
        <w:i w:val="0"/>
        <w:i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319B534E"/>
    <w:multiLevelType w:val="hybridMultilevel"/>
    <w:tmpl w:val="FD5C801E"/>
    <w:lvl w:ilvl="0" w:tplc="04090001">
      <w:start w:val="1"/>
      <w:numFmt w:val="bullet"/>
      <w:lvlText w:val=""/>
      <w:lvlJc w:val="left"/>
      <w:pPr>
        <w:tabs>
          <w:tab w:val="num" w:pos="1287"/>
        </w:tabs>
        <w:ind w:left="1287" w:hanging="360"/>
      </w:pPr>
      <w:rPr>
        <w:rFonts w:ascii="Symbol" w:hAnsi="Symbol" w:hint="default"/>
      </w:rPr>
    </w:lvl>
    <w:lvl w:ilvl="1" w:tplc="04090003">
      <w:start w:val="1"/>
      <w:numFmt w:val="bullet"/>
      <w:lvlText w:val="o"/>
      <w:lvlJc w:val="left"/>
      <w:pPr>
        <w:tabs>
          <w:tab w:val="num" w:pos="1583"/>
        </w:tabs>
        <w:ind w:left="1583" w:hanging="360"/>
      </w:pPr>
      <w:rPr>
        <w:rFonts w:ascii="Courier New" w:hAnsi="Courier New" w:cs="Courier New" w:hint="default"/>
      </w:rPr>
    </w:lvl>
    <w:lvl w:ilvl="2" w:tplc="04090005">
      <w:start w:val="1"/>
      <w:numFmt w:val="bullet"/>
      <w:lvlText w:val=""/>
      <w:lvlJc w:val="left"/>
      <w:pPr>
        <w:tabs>
          <w:tab w:val="num" w:pos="2303"/>
        </w:tabs>
        <w:ind w:left="2303" w:hanging="360"/>
      </w:pPr>
      <w:rPr>
        <w:rFonts w:ascii="Wingdings" w:hAnsi="Wingdings" w:hint="default"/>
      </w:rPr>
    </w:lvl>
    <w:lvl w:ilvl="3" w:tplc="04090001" w:tentative="1">
      <w:start w:val="1"/>
      <w:numFmt w:val="bullet"/>
      <w:lvlText w:val=""/>
      <w:lvlJc w:val="left"/>
      <w:pPr>
        <w:tabs>
          <w:tab w:val="num" w:pos="3023"/>
        </w:tabs>
        <w:ind w:left="3023" w:hanging="360"/>
      </w:pPr>
      <w:rPr>
        <w:rFonts w:ascii="Symbol" w:hAnsi="Symbol" w:hint="default"/>
      </w:rPr>
    </w:lvl>
    <w:lvl w:ilvl="4" w:tplc="04090003" w:tentative="1">
      <w:start w:val="1"/>
      <w:numFmt w:val="bullet"/>
      <w:lvlText w:val="o"/>
      <w:lvlJc w:val="left"/>
      <w:pPr>
        <w:tabs>
          <w:tab w:val="num" w:pos="3743"/>
        </w:tabs>
        <w:ind w:left="3743" w:hanging="360"/>
      </w:pPr>
      <w:rPr>
        <w:rFonts w:ascii="Courier New" w:hAnsi="Courier New" w:cs="Courier New" w:hint="default"/>
      </w:rPr>
    </w:lvl>
    <w:lvl w:ilvl="5" w:tplc="04090005" w:tentative="1">
      <w:start w:val="1"/>
      <w:numFmt w:val="bullet"/>
      <w:lvlText w:val=""/>
      <w:lvlJc w:val="left"/>
      <w:pPr>
        <w:tabs>
          <w:tab w:val="num" w:pos="4463"/>
        </w:tabs>
        <w:ind w:left="4463" w:hanging="360"/>
      </w:pPr>
      <w:rPr>
        <w:rFonts w:ascii="Wingdings" w:hAnsi="Wingdings" w:hint="default"/>
      </w:rPr>
    </w:lvl>
    <w:lvl w:ilvl="6" w:tplc="04090001" w:tentative="1">
      <w:start w:val="1"/>
      <w:numFmt w:val="bullet"/>
      <w:lvlText w:val=""/>
      <w:lvlJc w:val="left"/>
      <w:pPr>
        <w:tabs>
          <w:tab w:val="num" w:pos="5183"/>
        </w:tabs>
        <w:ind w:left="5183" w:hanging="360"/>
      </w:pPr>
      <w:rPr>
        <w:rFonts w:ascii="Symbol" w:hAnsi="Symbol" w:hint="default"/>
      </w:rPr>
    </w:lvl>
    <w:lvl w:ilvl="7" w:tplc="04090003" w:tentative="1">
      <w:start w:val="1"/>
      <w:numFmt w:val="bullet"/>
      <w:lvlText w:val="o"/>
      <w:lvlJc w:val="left"/>
      <w:pPr>
        <w:tabs>
          <w:tab w:val="num" w:pos="5903"/>
        </w:tabs>
        <w:ind w:left="5903" w:hanging="360"/>
      </w:pPr>
      <w:rPr>
        <w:rFonts w:ascii="Courier New" w:hAnsi="Courier New" w:cs="Courier New" w:hint="default"/>
      </w:rPr>
    </w:lvl>
    <w:lvl w:ilvl="8" w:tplc="04090005" w:tentative="1">
      <w:start w:val="1"/>
      <w:numFmt w:val="bullet"/>
      <w:lvlText w:val=""/>
      <w:lvlJc w:val="left"/>
      <w:pPr>
        <w:tabs>
          <w:tab w:val="num" w:pos="6623"/>
        </w:tabs>
        <w:ind w:left="6623" w:hanging="360"/>
      </w:pPr>
      <w:rPr>
        <w:rFonts w:ascii="Wingdings" w:hAnsi="Wingdings" w:hint="default"/>
      </w:rPr>
    </w:lvl>
  </w:abstractNum>
  <w:abstractNum w:abstractNumId="34">
    <w:nsid w:val="359C70C3"/>
    <w:multiLevelType w:val="hybridMultilevel"/>
    <w:tmpl w:val="6BA8A470"/>
    <w:lvl w:ilvl="0" w:tplc="BAAC1246">
      <w:start w:val="26"/>
      <w:numFmt w:val="bullet"/>
      <w:lvlText w:val="-"/>
      <w:lvlJc w:val="left"/>
      <w:pPr>
        <w:ind w:left="2138" w:hanging="360"/>
      </w:pPr>
      <w:rPr>
        <w:rFonts w:ascii="Arial" w:eastAsia="SimSun" w:hAnsi="Arial" w:cs="Aria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5">
    <w:nsid w:val="35B069A5"/>
    <w:multiLevelType w:val="hybridMultilevel"/>
    <w:tmpl w:val="40B6D66E"/>
    <w:lvl w:ilvl="0" w:tplc="CC684D3C">
      <w:start w:val="1"/>
      <w:numFmt w:val="lowerRoman"/>
      <w:lvlText w:val="%1)"/>
      <w:lvlJc w:val="left"/>
      <w:pPr>
        <w:ind w:left="1429" w:hanging="72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6">
    <w:nsid w:val="35D26F74"/>
    <w:multiLevelType w:val="hybridMultilevel"/>
    <w:tmpl w:val="A3404602"/>
    <w:lvl w:ilvl="0" w:tplc="04090001">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82B066F"/>
    <w:multiLevelType w:val="hybridMultilevel"/>
    <w:tmpl w:val="CBD66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8DD3D4B"/>
    <w:multiLevelType w:val="multilevel"/>
    <w:tmpl w:val="769CC524"/>
    <w:lvl w:ilvl="0">
      <w:start w:val="8"/>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8F41C59"/>
    <w:multiLevelType w:val="hybridMultilevel"/>
    <w:tmpl w:val="A0C2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B0736D2"/>
    <w:multiLevelType w:val="multilevel"/>
    <w:tmpl w:val="555C19E6"/>
    <w:lvl w:ilvl="0">
      <w:start w:val="7"/>
      <w:numFmt w:val="decimal"/>
      <w:lvlText w:val="%1"/>
      <w:lvlJc w:val="left"/>
      <w:pPr>
        <w:ind w:hanging="692"/>
      </w:pPr>
      <w:rPr>
        <w:rFonts w:hint="default"/>
      </w:rPr>
    </w:lvl>
    <w:lvl w:ilvl="1">
      <w:start w:val="1"/>
      <w:numFmt w:val="decimal"/>
      <w:lvlText w:val="%1.%2."/>
      <w:lvlJc w:val="left"/>
      <w:pPr>
        <w:ind w:hanging="692"/>
        <w:jc w:val="right"/>
      </w:pPr>
      <w:rPr>
        <w:rFonts w:ascii="Arial" w:eastAsia="Arial" w:hAnsi="Arial" w:hint="default"/>
        <w:w w:val="100"/>
        <w:position w:val="0"/>
        <w:sz w:val="20"/>
        <w:szCs w:val="20"/>
      </w:rPr>
    </w:lvl>
    <w:lvl w:ilvl="2">
      <w:start w:val="1"/>
      <w:numFmt w:val="lowerRoman"/>
      <w:lvlText w:val="%3)"/>
      <w:lvlJc w:val="left"/>
      <w:pPr>
        <w:ind w:hanging="562"/>
      </w:pPr>
      <w:rPr>
        <w:rFonts w:cs="Times New Roman" w:hint="default"/>
        <w:w w:val="103"/>
        <w:sz w:val="20"/>
        <w:szCs w:val="20"/>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1">
    <w:nsid w:val="3B9C7EF3"/>
    <w:multiLevelType w:val="hybridMultilevel"/>
    <w:tmpl w:val="BE263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D03526B"/>
    <w:multiLevelType w:val="hybridMultilevel"/>
    <w:tmpl w:val="7E726122"/>
    <w:lvl w:ilvl="0" w:tplc="83246E14">
      <w:start w:val="1"/>
      <w:numFmt w:val="decimal"/>
      <w:lvlText w:val="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E8703BF"/>
    <w:multiLevelType w:val="hybridMultilevel"/>
    <w:tmpl w:val="DF60092C"/>
    <w:lvl w:ilvl="0" w:tplc="5144F034">
      <w:start w:val="1"/>
      <w:numFmt w:val="decimal"/>
      <w:lvlRestart w:val="0"/>
      <w:lvlText w:val="5.%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3EAF0971"/>
    <w:multiLevelType w:val="hybridMultilevel"/>
    <w:tmpl w:val="FD4E5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FB71A0F"/>
    <w:multiLevelType w:val="hybridMultilevel"/>
    <w:tmpl w:val="EC283824"/>
    <w:lvl w:ilvl="0" w:tplc="C53C0112">
      <w:start w:val="1"/>
      <w:numFmt w:val="decimal"/>
      <w:lvlRestart w:val="0"/>
      <w:lvlText w:val="16.%1."/>
      <w:lvlJc w:val="left"/>
      <w:pPr>
        <w:tabs>
          <w:tab w:val="num" w:pos="683"/>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410F0D6F"/>
    <w:multiLevelType w:val="hybridMultilevel"/>
    <w:tmpl w:val="98E2BEEE"/>
    <w:lvl w:ilvl="0" w:tplc="C0A656DA">
      <w:start w:val="1"/>
      <w:numFmt w:val="lowerRoman"/>
      <w:lvlText w:val="%1)"/>
      <w:lvlJc w:val="left"/>
      <w:pPr>
        <w:ind w:left="1080" w:hanging="72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31B1DCE"/>
    <w:multiLevelType w:val="hybridMultilevel"/>
    <w:tmpl w:val="CD26E186"/>
    <w:lvl w:ilvl="0" w:tplc="ADA8ABFE">
      <w:start w:val="1"/>
      <w:numFmt w:val="decimal"/>
      <w:lvlText w:val="32.%1"/>
      <w:lvlJc w:val="left"/>
      <w:pPr>
        <w:tabs>
          <w:tab w:val="num" w:pos="680"/>
        </w:tabs>
        <w:ind w:left="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44DE445F"/>
    <w:multiLevelType w:val="hybridMultilevel"/>
    <w:tmpl w:val="2E92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56276BB"/>
    <w:multiLevelType w:val="multilevel"/>
    <w:tmpl w:val="8F6C9D52"/>
    <w:lvl w:ilvl="0">
      <w:start w:val="1"/>
      <w:numFmt w:val="decimal"/>
      <w:lvlText w:val="9.%1."/>
      <w:lvlJc w:val="left"/>
      <w:pPr>
        <w:ind w:left="0" w:firstLine="0"/>
      </w:pPr>
      <w:rPr>
        <w:rFonts w:hint="default"/>
        <w:b w:val="0"/>
        <w:sz w:val="20"/>
      </w:rPr>
    </w:lvl>
    <w:lvl w:ilvl="1">
      <w:start w:val="1"/>
      <w:numFmt w:val="none"/>
      <w:lvlText w:val=""/>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49005B30"/>
    <w:multiLevelType w:val="hybridMultilevel"/>
    <w:tmpl w:val="695A2CCC"/>
    <w:lvl w:ilvl="0" w:tplc="00867520">
      <w:start w:val="1"/>
      <w:numFmt w:val="decimal"/>
      <w:lvlText w:val="30.%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9A91F7F"/>
    <w:multiLevelType w:val="hybridMultilevel"/>
    <w:tmpl w:val="A4DACE0E"/>
    <w:lvl w:ilvl="0" w:tplc="732827D4">
      <w:start w:val="1"/>
      <w:numFmt w:val="decimal"/>
      <w:lvlRestart w:val="0"/>
      <w:lvlText w:val="3.%1."/>
      <w:lvlJc w:val="left"/>
      <w:pPr>
        <w:tabs>
          <w:tab w:val="num" w:pos="680"/>
        </w:tabs>
        <w:ind w:left="0" w:firstLine="0"/>
      </w:pPr>
      <w:rPr>
        <w:rFonts w:ascii="Arial" w:hAnsi="Arial" w:cs="Arial"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4A4034CD"/>
    <w:multiLevelType w:val="hybridMultilevel"/>
    <w:tmpl w:val="C61E1F84"/>
    <w:lvl w:ilvl="0" w:tplc="2E60A370">
      <w:start w:val="1"/>
      <w:numFmt w:val="decimal"/>
      <w:lvlRestart w:val="0"/>
      <w:lvlText w:val="2.%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4A4579BD"/>
    <w:multiLevelType w:val="hybridMultilevel"/>
    <w:tmpl w:val="11123082"/>
    <w:lvl w:ilvl="0" w:tplc="BDB20DE6">
      <w:start w:val="1"/>
      <w:numFmt w:val="decimal"/>
      <w:lvlRestart w:val="0"/>
      <w:lvlText w:val="4.%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4C5F1D14"/>
    <w:multiLevelType w:val="hybridMultilevel"/>
    <w:tmpl w:val="48AC6B22"/>
    <w:lvl w:ilvl="0" w:tplc="89586FB0">
      <w:start w:val="1"/>
      <w:numFmt w:val="decimal"/>
      <w:lvlText w:val="31.%1"/>
      <w:lvlJc w:val="left"/>
      <w:pPr>
        <w:tabs>
          <w:tab w:val="num" w:pos="680"/>
        </w:tabs>
        <w:ind w:left="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567C110A"/>
    <w:multiLevelType w:val="hybridMultilevel"/>
    <w:tmpl w:val="8F5EA48C"/>
    <w:lvl w:ilvl="0" w:tplc="198A427E">
      <w:start w:val="1"/>
      <w:numFmt w:val="decimal"/>
      <w:lvlRestart w:val="0"/>
      <w:lvlText w:val="18.%1."/>
      <w:lvlJc w:val="left"/>
      <w:pPr>
        <w:tabs>
          <w:tab w:val="num" w:pos="683"/>
        </w:tabs>
        <w:ind w:left="0" w:firstLine="0"/>
      </w:pPr>
      <w:rPr>
        <w:rFonts w:ascii="Arial" w:hAnsi="Arial" w:hint="default"/>
        <w:i w:val="0"/>
        <w:i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56F411C0"/>
    <w:multiLevelType w:val="hybridMultilevel"/>
    <w:tmpl w:val="F0322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A232C8B"/>
    <w:multiLevelType w:val="hybridMultilevel"/>
    <w:tmpl w:val="0276A39C"/>
    <w:lvl w:ilvl="0" w:tplc="75FA653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D3D3D0D"/>
    <w:multiLevelType w:val="hybridMultilevel"/>
    <w:tmpl w:val="7A4297A0"/>
    <w:lvl w:ilvl="0" w:tplc="51185FBE">
      <w:start w:val="1"/>
      <w:numFmt w:val="decimal"/>
      <w:lvlRestart w:val="0"/>
      <w:lvlText w:val="19.%1."/>
      <w:lvlJc w:val="left"/>
      <w:pPr>
        <w:tabs>
          <w:tab w:val="num" w:pos="680"/>
        </w:tabs>
        <w:ind w:left="0" w:firstLine="0"/>
      </w:pPr>
      <w:rPr>
        <w:rFonts w:ascii="Arial" w:hAnsi="Arial" w:hint="default"/>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5E342860"/>
    <w:multiLevelType w:val="hybridMultilevel"/>
    <w:tmpl w:val="98F464D2"/>
    <w:lvl w:ilvl="0" w:tplc="51185FBE">
      <w:start w:val="1"/>
      <w:numFmt w:val="decimal"/>
      <w:lvlRestart w:val="0"/>
      <w:lvlText w:val="1.%1."/>
      <w:lvlJc w:val="left"/>
      <w:pPr>
        <w:tabs>
          <w:tab w:val="num" w:pos="567"/>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5EFA5F3F"/>
    <w:multiLevelType w:val="hybridMultilevel"/>
    <w:tmpl w:val="9B906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62563674"/>
    <w:multiLevelType w:val="hybridMultilevel"/>
    <w:tmpl w:val="50449E1C"/>
    <w:lvl w:ilvl="0" w:tplc="9F8EB1FA">
      <w:start w:val="1"/>
      <w:numFmt w:val="decimal"/>
      <w:lvlText w:val="2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4055856"/>
    <w:multiLevelType w:val="hybridMultilevel"/>
    <w:tmpl w:val="DB52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67A16AF"/>
    <w:multiLevelType w:val="hybridMultilevel"/>
    <w:tmpl w:val="72D277D2"/>
    <w:lvl w:ilvl="0" w:tplc="5EAED6BA">
      <w:start w:val="1"/>
      <w:numFmt w:val="decimal"/>
      <w:lvlRestart w:val="0"/>
      <w:lvlText w:val="17.%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6A005E3D"/>
    <w:multiLevelType w:val="hybridMultilevel"/>
    <w:tmpl w:val="4822A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6D2A2112"/>
    <w:multiLevelType w:val="hybridMultilevel"/>
    <w:tmpl w:val="EDDE20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F514886"/>
    <w:multiLevelType w:val="hybridMultilevel"/>
    <w:tmpl w:val="39A839DA"/>
    <w:lvl w:ilvl="0" w:tplc="8214C132">
      <w:start w:val="1"/>
      <w:numFmt w:val="decimal"/>
      <w:lvlText w:val="11.%1."/>
      <w:lvlJc w:val="left"/>
      <w:pPr>
        <w:ind w:left="4188" w:hanging="360"/>
      </w:pPr>
      <w:rPr>
        <w:rFonts w:hint="default"/>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68">
    <w:nsid w:val="71146A48"/>
    <w:multiLevelType w:val="hybridMultilevel"/>
    <w:tmpl w:val="32DC7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35A0CB6"/>
    <w:multiLevelType w:val="hybridMultilevel"/>
    <w:tmpl w:val="053655DC"/>
    <w:lvl w:ilvl="0" w:tplc="04090001">
      <w:start w:val="1"/>
      <w:numFmt w:val="bullet"/>
      <w:lvlText w:val=""/>
      <w:lvlJc w:val="left"/>
      <w:pPr>
        <w:ind w:left="1800" w:hanging="360"/>
      </w:pPr>
      <w:rPr>
        <w:rFonts w:ascii="Symbol" w:hAnsi="Symbol" w:hint="default"/>
        <w:color w:val="000000"/>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nsid w:val="73EF6FCB"/>
    <w:multiLevelType w:val="hybridMultilevel"/>
    <w:tmpl w:val="D94E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45E1086"/>
    <w:multiLevelType w:val="hybridMultilevel"/>
    <w:tmpl w:val="1D86F986"/>
    <w:lvl w:ilvl="0" w:tplc="83EC8574">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7850D78"/>
    <w:multiLevelType w:val="hybridMultilevel"/>
    <w:tmpl w:val="87B0E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7E73C2A"/>
    <w:multiLevelType w:val="hybridMultilevel"/>
    <w:tmpl w:val="37426470"/>
    <w:lvl w:ilvl="0" w:tplc="E788FC56">
      <w:start w:val="1"/>
      <w:numFmt w:val="decimal"/>
      <w:lvlText w:val="2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79DE1A8F"/>
    <w:multiLevelType w:val="hybridMultilevel"/>
    <w:tmpl w:val="C9460A80"/>
    <w:lvl w:ilvl="0" w:tplc="2892CBB2">
      <w:start w:val="1"/>
      <w:numFmt w:val="decimal"/>
      <w:lvlRestart w:val="0"/>
      <w:lvlText w:val="20.%1."/>
      <w:lvlJc w:val="left"/>
      <w:pPr>
        <w:tabs>
          <w:tab w:val="num" w:pos="680"/>
        </w:tabs>
        <w:ind w:left="0" w:firstLine="0"/>
      </w:pPr>
      <w:rPr>
        <w:rFonts w:ascii="Arial" w:hAnsi="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7BEA236F"/>
    <w:multiLevelType w:val="hybridMultilevel"/>
    <w:tmpl w:val="B7DC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FC21B01"/>
    <w:multiLevelType w:val="hybridMultilevel"/>
    <w:tmpl w:val="82E29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5"/>
  </w:num>
  <w:num w:numId="2">
    <w:abstractNumId w:val="3"/>
  </w:num>
  <w:num w:numId="3">
    <w:abstractNumId w:val="17"/>
  </w:num>
  <w:num w:numId="4">
    <w:abstractNumId w:val="60"/>
  </w:num>
  <w:num w:numId="5">
    <w:abstractNumId w:val="66"/>
  </w:num>
  <w:num w:numId="6">
    <w:abstractNumId w:val="26"/>
  </w:num>
  <w:num w:numId="7">
    <w:abstractNumId w:val="69"/>
  </w:num>
  <w:num w:numId="8">
    <w:abstractNumId w:val="34"/>
  </w:num>
  <w:num w:numId="9">
    <w:abstractNumId w:val="44"/>
  </w:num>
  <w:num w:numId="10">
    <w:abstractNumId w:val="2"/>
  </w:num>
  <w:num w:numId="11">
    <w:abstractNumId w:val="52"/>
  </w:num>
  <w:num w:numId="12">
    <w:abstractNumId w:val="51"/>
  </w:num>
  <w:num w:numId="13">
    <w:abstractNumId w:val="53"/>
  </w:num>
  <w:num w:numId="14">
    <w:abstractNumId w:val="43"/>
  </w:num>
  <w:num w:numId="15">
    <w:abstractNumId w:val="8"/>
  </w:num>
  <w:num w:numId="16">
    <w:abstractNumId w:val="22"/>
  </w:num>
  <w:num w:numId="17">
    <w:abstractNumId w:val="54"/>
  </w:num>
  <w:num w:numId="18">
    <w:abstractNumId w:val="35"/>
  </w:num>
  <w:num w:numId="19">
    <w:abstractNumId w:val="40"/>
  </w:num>
  <w:num w:numId="20">
    <w:abstractNumId w:val="38"/>
  </w:num>
  <w:num w:numId="21">
    <w:abstractNumId w:val="49"/>
  </w:num>
  <w:num w:numId="22">
    <w:abstractNumId w:val="19"/>
  </w:num>
  <w:num w:numId="23">
    <w:abstractNumId w:val="46"/>
  </w:num>
  <w:num w:numId="24">
    <w:abstractNumId w:val="67"/>
  </w:num>
  <w:num w:numId="25">
    <w:abstractNumId w:val="50"/>
  </w:num>
  <w:num w:numId="26">
    <w:abstractNumId w:val="71"/>
  </w:num>
  <w:num w:numId="27">
    <w:abstractNumId w:val="23"/>
  </w:num>
  <w:num w:numId="28">
    <w:abstractNumId w:val="20"/>
  </w:num>
  <w:num w:numId="29">
    <w:abstractNumId w:val="0"/>
  </w:num>
  <w:num w:numId="30">
    <w:abstractNumId w:val="1"/>
  </w:num>
  <w:num w:numId="31">
    <w:abstractNumId w:val="45"/>
  </w:num>
  <w:num w:numId="32">
    <w:abstractNumId w:val="64"/>
  </w:num>
  <w:num w:numId="33">
    <w:abstractNumId w:val="56"/>
  </w:num>
  <w:num w:numId="34">
    <w:abstractNumId w:val="59"/>
  </w:num>
  <w:num w:numId="35">
    <w:abstractNumId w:val="74"/>
  </w:num>
  <w:num w:numId="36">
    <w:abstractNumId w:val="14"/>
  </w:num>
  <w:num w:numId="37">
    <w:abstractNumId w:val="12"/>
  </w:num>
  <w:num w:numId="38">
    <w:abstractNumId w:val="32"/>
  </w:num>
  <w:num w:numId="39">
    <w:abstractNumId w:val="73"/>
  </w:num>
  <w:num w:numId="40">
    <w:abstractNumId w:val="6"/>
  </w:num>
  <w:num w:numId="41">
    <w:abstractNumId w:val="11"/>
  </w:num>
  <w:num w:numId="42">
    <w:abstractNumId w:val="62"/>
  </w:num>
  <w:num w:numId="43">
    <w:abstractNumId w:val="42"/>
  </w:num>
  <w:num w:numId="44">
    <w:abstractNumId w:val="7"/>
  </w:num>
  <w:num w:numId="45">
    <w:abstractNumId w:val="10"/>
  </w:num>
  <w:num w:numId="46">
    <w:abstractNumId w:val="27"/>
  </w:num>
  <w:num w:numId="47">
    <w:abstractNumId w:val="36"/>
  </w:num>
  <w:num w:numId="48">
    <w:abstractNumId w:val="61"/>
  </w:num>
  <w:num w:numId="49">
    <w:abstractNumId w:val="13"/>
  </w:num>
  <w:num w:numId="50">
    <w:abstractNumId w:val="65"/>
  </w:num>
  <w:num w:numId="51">
    <w:abstractNumId w:val="5"/>
  </w:num>
  <w:num w:numId="52">
    <w:abstractNumId w:val="16"/>
  </w:num>
  <w:num w:numId="53">
    <w:abstractNumId w:val="31"/>
  </w:num>
  <w:num w:numId="54">
    <w:abstractNumId w:val="68"/>
  </w:num>
  <w:num w:numId="55">
    <w:abstractNumId w:val="39"/>
  </w:num>
  <w:num w:numId="56">
    <w:abstractNumId w:val="37"/>
  </w:num>
  <w:num w:numId="57">
    <w:abstractNumId w:val="70"/>
  </w:num>
  <w:num w:numId="58">
    <w:abstractNumId w:val="76"/>
  </w:num>
  <w:num w:numId="59">
    <w:abstractNumId w:val="58"/>
  </w:num>
  <w:num w:numId="60">
    <w:abstractNumId w:val="15"/>
  </w:num>
  <w:num w:numId="61">
    <w:abstractNumId w:val="75"/>
  </w:num>
  <w:num w:numId="62">
    <w:abstractNumId w:val="24"/>
  </w:num>
  <w:num w:numId="63">
    <w:abstractNumId w:val="41"/>
  </w:num>
  <w:num w:numId="64">
    <w:abstractNumId w:val="63"/>
  </w:num>
  <w:num w:numId="65">
    <w:abstractNumId w:val="57"/>
  </w:num>
  <w:num w:numId="66">
    <w:abstractNumId w:val="72"/>
  </w:num>
  <w:num w:numId="67">
    <w:abstractNumId w:val="48"/>
  </w:num>
  <w:num w:numId="68">
    <w:abstractNumId w:val="18"/>
  </w:num>
  <w:num w:numId="69">
    <w:abstractNumId w:val="4"/>
  </w:num>
  <w:num w:numId="70">
    <w:abstractNumId w:val="28"/>
  </w:num>
  <w:num w:numId="71">
    <w:abstractNumId w:val="9"/>
  </w:num>
  <w:num w:numId="72">
    <w:abstractNumId w:val="33"/>
  </w:num>
  <w:num w:numId="73">
    <w:abstractNumId w:val="29"/>
  </w:num>
  <w:num w:numId="74">
    <w:abstractNumId w:val="25"/>
  </w:num>
  <w:num w:numId="75">
    <w:abstractNumId w:val="21"/>
  </w:num>
  <w:num w:numId="76">
    <w:abstractNumId w:val="30"/>
  </w:num>
  <w:num w:numId="77">
    <w:abstractNumId w:val="4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1E0"/>
    <w:rsid w:val="00010686"/>
    <w:rsid w:val="00052915"/>
    <w:rsid w:val="000B5787"/>
    <w:rsid w:val="000E3BB3"/>
    <w:rsid w:val="000F5E56"/>
    <w:rsid w:val="001362EE"/>
    <w:rsid w:val="00152CEA"/>
    <w:rsid w:val="001832A6"/>
    <w:rsid w:val="001F0B8C"/>
    <w:rsid w:val="00202EAE"/>
    <w:rsid w:val="00236E18"/>
    <w:rsid w:val="002634C4"/>
    <w:rsid w:val="002C4B05"/>
    <w:rsid w:val="002E0F47"/>
    <w:rsid w:val="002F4E68"/>
    <w:rsid w:val="00354647"/>
    <w:rsid w:val="0036433F"/>
    <w:rsid w:val="00377273"/>
    <w:rsid w:val="003845C1"/>
    <w:rsid w:val="00387287"/>
    <w:rsid w:val="003E48F1"/>
    <w:rsid w:val="003F347A"/>
    <w:rsid w:val="00423E3E"/>
    <w:rsid w:val="00427AF4"/>
    <w:rsid w:val="0045231F"/>
    <w:rsid w:val="004647DA"/>
    <w:rsid w:val="00477808"/>
    <w:rsid w:val="00477D6B"/>
    <w:rsid w:val="004901E0"/>
    <w:rsid w:val="004A6C37"/>
    <w:rsid w:val="004C1AF3"/>
    <w:rsid w:val="004E297D"/>
    <w:rsid w:val="004E38D6"/>
    <w:rsid w:val="005332F0"/>
    <w:rsid w:val="0055013B"/>
    <w:rsid w:val="00571B99"/>
    <w:rsid w:val="00605827"/>
    <w:rsid w:val="00675021"/>
    <w:rsid w:val="006A06C6"/>
    <w:rsid w:val="007224C8"/>
    <w:rsid w:val="00794BE2"/>
    <w:rsid w:val="007B71FE"/>
    <w:rsid w:val="007D781E"/>
    <w:rsid w:val="007E663E"/>
    <w:rsid w:val="00815082"/>
    <w:rsid w:val="00875499"/>
    <w:rsid w:val="0088395E"/>
    <w:rsid w:val="008B2CC1"/>
    <w:rsid w:val="008E6BD6"/>
    <w:rsid w:val="0090731E"/>
    <w:rsid w:val="00966A22"/>
    <w:rsid w:val="00972F03"/>
    <w:rsid w:val="009A0C8B"/>
    <w:rsid w:val="009B6241"/>
    <w:rsid w:val="00A16FC0"/>
    <w:rsid w:val="00A32C9E"/>
    <w:rsid w:val="00AB613D"/>
    <w:rsid w:val="00AC54A7"/>
    <w:rsid w:val="00AE7F20"/>
    <w:rsid w:val="00B613BB"/>
    <w:rsid w:val="00B65A0A"/>
    <w:rsid w:val="00B67CDC"/>
    <w:rsid w:val="00B72D36"/>
    <w:rsid w:val="00BC4164"/>
    <w:rsid w:val="00BD2DCC"/>
    <w:rsid w:val="00C90559"/>
    <w:rsid w:val="00CA2251"/>
    <w:rsid w:val="00D3736C"/>
    <w:rsid w:val="00D56C7C"/>
    <w:rsid w:val="00D71B4D"/>
    <w:rsid w:val="00D90289"/>
    <w:rsid w:val="00D93D55"/>
    <w:rsid w:val="00DC4C60"/>
    <w:rsid w:val="00E0079A"/>
    <w:rsid w:val="00E444DA"/>
    <w:rsid w:val="00E45C84"/>
    <w:rsid w:val="00E504E5"/>
    <w:rsid w:val="00EB7A3E"/>
    <w:rsid w:val="00EC401A"/>
    <w:rsid w:val="00EC775E"/>
    <w:rsid w:val="00EF0CB8"/>
    <w:rsid w:val="00EF4308"/>
    <w:rsid w:val="00EF530A"/>
    <w:rsid w:val="00EF6622"/>
    <w:rsid w:val="00F01912"/>
    <w:rsid w:val="00F10744"/>
    <w:rsid w:val="00F55408"/>
    <w:rsid w:val="00F66152"/>
    <w:rsid w:val="00F80845"/>
    <w:rsid w:val="00F84474"/>
    <w:rsid w:val="00FA0F0D"/>
    <w:rsid w:val="00FD257E"/>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Body Text" w:qFormat="1"/>
    <w:lsdException w:name="Subtitle" w:qFormat="1"/>
    <w:lsdException w:name="Hyperlink" w:uiPriority="99"/>
    <w:lsdException w:name="Strong" w:qFormat="1"/>
    <w:lsdException w:name="Emphasis" w:uiPriority="20"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Heading4"/>
    <w:next w:val="Normal"/>
    <w:link w:val="Heading5Char"/>
    <w:qFormat/>
    <w:rsid w:val="00236E18"/>
    <w:pPr>
      <w:tabs>
        <w:tab w:val="num" w:pos="1008"/>
      </w:tabs>
      <w:spacing w:before="0" w:after="0" w:line="300" w:lineRule="atLeast"/>
      <w:ind w:left="1008" w:hanging="1008"/>
      <w:outlineLvl w:val="4"/>
    </w:pPr>
    <w:rPr>
      <w:rFonts w:asciiTheme="minorHAnsi" w:eastAsia="Times New Roman" w:hAnsiTheme="minorHAnsi" w:cstheme="minorBidi"/>
      <w:b/>
      <w:i w:val="0"/>
      <w:caps/>
      <w:color w:val="3E484E"/>
      <w:szCs w:val="26"/>
      <w:lang w:val="en-GB" w:eastAsia="da-DK"/>
    </w:rPr>
  </w:style>
  <w:style w:type="paragraph" w:styleId="Heading6">
    <w:name w:val="heading 6"/>
    <w:basedOn w:val="Normal"/>
    <w:next w:val="Normal"/>
    <w:link w:val="Heading6Char"/>
    <w:unhideWhenUsed/>
    <w:qFormat/>
    <w:rsid w:val="00236E18"/>
    <w:pPr>
      <w:keepNext/>
      <w:keepLines/>
      <w:spacing w:before="200"/>
      <w:outlineLvl w:val="5"/>
    </w:pPr>
    <w:rPr>
      <w:rFonts w:asciiTheme="majorHAnsi" w:eastAsiaTheme="majorEastAsia" w:hAnsiTheme="majorHAnsi" w:cstheme="majorBidi"/>
      <w:i/>
      <w:iCs/>
      <w:color w:val="243F60" w:themeColor="accent1" w:themeShade="7F"/>
      <w:szCs w:val="22"/>
      <w:lang w:val="en-US" w:eastAsia="ja-JP"/>
    </w:rPr>
  </w:style>
  <w:style w:type="paragraph" w:styleId="Heading7">
    <w:name w:val="heading 7"/>
    <w:basedOn w:val="Heading6"/>
    <w:next w:val="Normal"/>
    <w:link w:val="Heading7Char"/>
    <w:qFormat/>
    <w:rsid w:val="00236E18"/>
    <w:pPr>
      <w:keepLines w:val="0"/>
      <w:tabs>
        <w:tab w:val="num" w:pos="1296"/>
      </w:tabs>
      <w:spacing w:before="0" w:line="300" w:lineRule="atLeast"/>
      <w:ind w:left="1296" w:hanging="1296"/>
      <w:outlineLvl w:val="6"/>
    </w:pPr>
    <w:rPr>
      <w:rFonts w:ascii="Arial" w:eastAsia="Times New Roman" w:hAnsi="Arial" w:cs="Arial"/>
      <w:b/>
      <w:bCs/>
      <w:i w:val="0"/>
      <w:iCs w:val="0"/>
      <w:caps/>
      <w:color w:val="3E484E"/>
      <w:szCs w:val="26"/>
      <w:lang w:val="en-GB" w:eastAsia="da-DK"/>
    </w:rPr>
  </w:style>
  <w:style w:type="paragraph" w:styleId="Heading8">
    <w:name w:val="heading 8"/>
    <w:basedOn w:val="Normal"/>
    <w:next w:val="Normal"/>
    <w:link w:val="Heading8Char"/>
    <w:unhideWhenUsed/>
    <w:qFormat/>
    <w:rsid w:val="00236E18"/>
    <w:pPr>
      <w:keepNext/>
      <w:keepLines/>
      <w:spacing w:before="200"/>
      <w:outlineLvl w:val="7"/>
    </w:pPr>
    <w:rPr>
      <w:rFonts w:asciiTheme="majorHAnsi" w:eastAsiaTheme="majorEastAsia" w:hAnsiTheme="majorHAnsi" w:cstheme="majorBidi"/>
      <w:color w:val="404040" w:themeColor="text1" w:themeTint="BF"/>
      <w:sz w:val="20"/>
      <w:lang w:val="en-US" w:eastAsia="ja-JP"/>
    </w:rPr>
  </w:style>
  <w:style w:type="paragraph" w:styleId="Heading9">
    <w:name w:val="heading 9"/>
    <w:basedOn w:val="Heading8"/>
    <w:next w:val="Normal"/>
    <w:link w:val="Heading9Char"/>
    <w:qFormat/>
    <w:rsid w:val="00236E18"/>
    <w:pPr>
      <w:keepLines w:val="0"/>
      <w:tabs>
        <w:tab w:val="num" w:pos="1584"/>
      </w:tabs>
      <w:spacing w:before="0" w:line="300" w:lineRule="atLeast"/>
      <w:ind w:left="1584" w:hanging="1584"/>
      <w:outlineLvl w:val="8"/>
    </w:pPr>
    <w:rPr>
      <w:rFonts w:ascii="Arial" w:eastAsia="Times New Roman" w:hAnsi="Arial" w:cs="Arial"/>
      <w:b/>
      <w:bCs/>
      <w:caps/>
      <w:color w:val="3E484E"/>
      <w:sz w:val="22"/>
      <w:szCs w:val="26"/>
      <w:lang w:val="en-GB"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2"/>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tabs>
        <w:tab w:val="clear" w:pos="6096"/>
        <w:tab w:val="num" w:pos="567"/>
      </w:tabs>
      <w:ind w:left="0"/>
    </w:pPr>
  </w:style>
  <w:style w:type="paragraph" w:customStyle="1" w:styleId="ONUMFS">
    <w:name w:val="ONUM FS"/>
    <w:basedOn w:val="BodyText"/>
    <w:rsid w:val="00A32C9E"/>
    <w:pPr>
      <w:numPr>
        <w:numId w:val="3"/>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ONUMEChar">
    <w:name w:val="ONUM E Char"/>
    <w:link w:val="ONUME"/>
    <w:rsid w:val="004901E0"/>
    <w:rPr>
      <w:rFonts w:ascii="Arial" w:eastAsia="SimSun" w:hAnsi="Arial" w:cs="Arial"/>
      <w:sz w:val="22"/>
      <w:lang w:val="es-ES" w:eastAsia="zh-CN"/>
    </w:rPr>
  </w:style>
  <w:style w:type="character" w:customStyle="1" w:styleId="Heading5Char">
    <w:name w:val="Heading 5 Char"/>
    <w:basedOn w:val="DefaultParagraphFont"/>
    <w:link w:val="Heading5"/>
    <w:rsid w:val="00236E18"/>
    <w:rPr>
      <w:rFonts w:asciiTheme="minorHAnsi" w:hAnsiTheme="minorHAnsi" w:cstheme="minorBidi"/>
      <w:b/>
      <w:bCs/>
      <w:caps/>
      <w:color w:val="3E484E"/>
      <w:sz w:val="22"/>
      <w:szCs w:val="26"/>
      <w:lang w:val="en-GB" w:eastAsia="da-DK"/>
    </w:rPr>
  </w:style>
  <w:style w:type="character" w:customStyle="1" w:styleId="Heading6Char">
    <w:name w:val="Heading 6 Char"/>
    <w:basedOn w:val="DefaultParagraphFont"/>
    <w:link w:val="Heading6"/>
    <w:rsid w:val="00236E18"/>
    <w:rPr>
      <w:rFonts w:asciiTheme="majorHAnsi" w:eastAsiaTheme="majorEastAsia" w:hAnsiTheme="majorHAnsi" w:cstheme="majorBidi"/>
      <w:i/>
      <w:iCs/>
      <w:color w:val="243F60" w:themeColor="accent1" w:themeShade="7F"/>
      <w:sz w:val="22"/>
      <w:szCs w:val="22"/>
      <w:lang w:eastAsia="ja-JP"/>
    </w:rPr>
  </w:style>
  <w:style w:type="character" w:customStyle="1" w:styleId="Heading7Char">
    <w:name w:val="Heading 7 Char"/>
    <w:basedOn w:val="DefaultParagraphFont"/>
    <w:link w:val="Heading7"/>
    <w:rsid w:val="00236E18"/>
    <w:rPr>
      <w:rFonts w:ascii="Arial" w:hAnsi="Arial" w:cs="Arial"/>
      <w:b/>
      <w:bCs/>
      <w:caps/>
      <w:color w:val="3E484E"/>
      <w:sz w:val="22"/>
      <w:szCs w:val="26"/>
      <w:lang w:val="en-GB" w:eastAsia="da-DK"/>
    </w:rPr>
  </w:style>
  <w:style w:type="character" w:customStyle="1" w:styleId="Heading8Char">
    <w:name w:val="Heading 8 Char"/>
    <w:basedOn w:val="DefaultParagraphFont"/>
    <w:link w:val="Heading8"/>
    <w:rsid w:val="00236E18"/>
    <w:rPr>
      <w:rFonts w:asciiTheme="majorHAnsi" w:eastAsiaTheme="majorEastAsia" w:hAnsiTheme="majorHAnsi" w:cstheme="majorBidi"/>
      <w:color w:val="404040" w:themeColor="text1" w:themeTint="BF"/>
      <w:lang w:eastAsia="ja-JP"/>
    </w:rPr>
  </w:style>
  <w:style w:type="character" w:customStyle="1" w:styleId="Heading9Char">
    <w:name w:val="Heading 9 Char"/>
    <w:basedOn w:val="DefaultParagraphFont"/>
    <w:link w:val="Heading9"/>
    <w:rsid w:val="00236E18"/>
    <w:rPr>
      <w:rFonts w:ascii="Arial" w:hAnsi="Arial" w:cs="Arial"/>
      <w:b/>
      <w:bCs/>
      <w:caps/>
      <w:color w:val="3E484E"/>
      <w:sz w:val="22"/>
      <w:szCs w:val="26"/>
      <w:lang w:val="en-GB" w:eastAsia="da-DK"/>
    </w:rPr>
  </w:style>
  <w:style w:type="character" w:customStyle="1" w:styleId="Heading1Char">
    <w:name w:val="Heading 1 Char"/>
    <w:basedOn w:val="DefaultParagraphFont"/>
    <w:link w:val="Heading1"/>
    <w:rsid w:val="00236E18"/>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236E18"/>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236E18"/>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236E18"/>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236E18"/>
    <w:rPr>
      <w:rFonts w:ascii="Arial" w:eastAsia="SimSun" w:hAnsi="Arial" w:cs="Arial"/>
      <w:sz w:val="22"/>
      <w:lang w:val="es-ES" w:eastAsia="zh-CN"/>
    </w:rPr>
  </w:style>
  <w:style w:type="character" w:customStyle="1" w:styleId="CommentTextChar1">
    <w:name w:val="Comment Text Char1"/>
    <w:basedOn w:val="DefaultParagraphFont"/>
    <w:rsid w:val="00236E18"/>
    <w:rPr>
      <w:rFonts w:ascii="Arial" w:eastAsia="SimSun" w:hAnsi="Arial" w:cs="Arial"/>
      <w:sz w:val="18"/>
      <w:lang w:val="es-ES"/>
    </w:rPr>
  </w:style>
  <w:style w:type="character" w:customStyle="1" w:styleId="EndnoteTextChar">
    <w:name w:val="Endnote Text Char"/>
    <w:basedOn w:val="DefaultParagraphFont"/>
    <w:link w:val="EndnoteText"/>
    <w:semiHidden/>
    <w:rsid w:val="00236E18"/>
    <w:rPr>
      <w:rFonts w:ascii="Arial" w:eastAsia="SimSun" w:hAnsi="Arial" w:cs="Arial"/>
      <w:sz w:val="18"/>
      <w:lang w:val="es-ES" w:eastAsia="zh-CN"/>
    </w:rPr>
  </w:style>
  <w:style w:type="character" w:customStyle="1" w:styleId="FooterChar">
    <w:name w:val="Footer Char"/>
    <w:basedOn w:val="DefaultParagraphFont"/>
    <w:link w:val="Footer"/>
    <w:rsid w:val="00236E18"/>
    <w:rPr>
      <w:rFonts w:ascii="Arial" w:eastAsia="SimSun" w:hAnsi="Arial" w:cs="Arial"/>
      <w:sz w:val="22"/>
      <w:lang w:val="es-ES" w:eastAsia="zh-CN"/>
    </w:rPr>
  </w:style>
  <w:style w:type="character" w:customStyle="1" w:styleId="FootnoteTextChar">
    <w:name w:val="Footnote Text Char"/>
    <w:basedOn w:val="DefaultParagraphFont"/>
    <w:link w:val="FootnoteText"/>
    <w:rsid w:val="00236E18"/>
    <w:rPr>
      <w:rFonts w:ascii="Arial" w:eastAsia="SimSun" w:hAnsi="Arial" w:cs="Arial"/>
      <w:sz w:val="18"/>
      <w:lang w:val="es-ES" w:eastAsia="zh-CN"/>
    </w:rPr>
  </w:style>
  <w:style w:type="character" w:customStyle="1" w:styleId="HeaderChar">
    <w:name w:val="Header Char"/>
    <w:link w:val="Header"/>
    <w:rsid w:val="00236E18"/>
    <w:rPr>
      <w:rFonts w:ascii="Arial" w:eastAsia="SimSun" w:hAnsi="Arial" w:cs="Arial"/>
      <w:sz w:val="22"/>
      <w:lang w:val="es-ES" w:eastAsia="zh-CN"/>
    </w:rPr>
  </w:style>
  <w:style w:type="character" w:customStyle="1" w:styleId="SalutationChar">
    <w:name w:val="Salutation Char"/>
    <w:basedOn w:val="DefaultParagraphFont"/>
    <w:link w:val="Salutation"/>
    <w:semiHidden/>
    <w:rsid w:val="00236E18"/>
    <w:rPr>
      <w:rFonts w:ascii="Arial" w:eastAsia="SimSun" w:hAnsi="Arial" w:cs="Arial"/>
      <w:sz w:val="22"/>
      <w:lang w:val="es-ES" w:eastAsia="zh-CN"/>
    </w:rPr>
  </w:style>
  <w:style w:type="character" w:customStyle="1" w:styleId="SignatureChar">
    <w:name w:val="Signature Char"/>
    <w:basedOn w:val="DefaultParagraphFont"/>
    <w:link w:val="Signature"/>
    <w:semiHidden/>
    <w:rsid w:val="00236E18"/>
    <w:rPr>
      <w:rFonts w:ascii="Arial" w:eastAsia="SimSun" w:hAnsi="Arial" w:cs="Arial"/>
      <w:sz w:val="22"/>
      <w:lang w:val="es-ES" w:eastAsia="zh-CN"/>
    </w:rPr>
  </w:style>
  <w:style w:type="paragraph" w:styleId="BalloonText">
    <w:name w:val="Balloon Text"/>
    <w:basedOn w:val="Normal"/>
    <w:link w:val="BalloonTextChar"/>
    <w:rsid w:val="00236E18"/>
    <w:rPr>
      <w:rFonts w:ascii="Tahoma" w:hAnsi="Tahoma" w:cs="Tahoma"/>
      <w:sz w:val="16"/>
      <w:szCs w:val="16"/>
    </w:rPr>
  </w:style>
  <w:style w:type="character" w:customStyle="1" w:styleId="BalloonTextChar">
    <w:name w:val="Balloon Text Char"/>
    <w:basedOn w:val="DefaultParagraphFont"/>
    <w:link w:val="BalloonText"/>
    <w:rsid w:val="00236E18"/>
    <w:rPr>
      <w:rFonts w:ascii="Tahoma" w:eastAsia="SimSun" w:hAnsi="Tahoma" w:cs="Tahoma"/>
      <w:sz w:val="16"/>
      <w:szCs w:val="16"/>
      <w:lang w:val="es-ES" w:eastAsia="zh-CN"/>
    </w:rPr>
  </w:style>
  <w:style w:type="paragraph" w:styleId="ListParagraph">
    <w:name w:val="List Paragraph"/>
    <w:basedOn w:val="Normal"/>
    <w:uiPriority w:val="34"/>
    <w:qFormat/>
    <w:rsid w:val="00236E18"/>
    <w:pPr>
      <w:ind w:left="720"/>
      <w:contextualSpacing/>
    </w:pPr>
    <w:rPr>
      <w:rFonts w:asciiTheme="minorHAnsi" w:eastAsiaTheme="minorEastAsia" w:hAnsiTheme="minorHAnsi" w:cstheme="minorBidi"/>
      <w:szCs w:val="22"/>
      <w:lang w:val="en-US" w:eastAsia="ja-JP"/>
    </w:rPr>
  </w:style>
  <w:style w:type="paragraph" w:customStyle="1" w:styleId="StyleHeading3ComplexItalic">
    <w:name w:val="Style Heading 3 + (Complex) Italic"/>
    <w:basedOn w:val="Heading3"/>
    <w:link w:val="StyleHeading3ComplexItalicChar"/>
    <w:rsid w:val="00236E18"/>
    <w:pPr>
      <w:tabs>
        <w:tab w:val="left" w:pos="1985"/>
      </w:tabs>
      <w:spacing w:before="0" w:after="0"/>
    </w:pPr>
    <w:rPr>
      <w:rFonts w:eastAsia="Times New Roman"/>
      <w:b/>
      <w:bCs w:val="0"/>
      <w:iCs/>
      <w:caps/>
      <w:szCs w:val="22"/>
      <w:u w:val="none"/>
      <w:lang w:val="en-US" w:eastAsia="en-US"/>
    </w:rPr>
  </w:style>
  <w:style w:type="character" w:customStyle="1" w:styleId="StyleHeading3ComplexItalicChar">
    <w:name w:val="Style Heading 3 + (Complex) Italic Char"/>
    <w:link w:val="StyleHeading3ComplexItalic"/>
    <w:rsid w:val="00236E18"/>
    <w:rPr>
      <w:rFonts w:ascii="Arial" w:hAnsi="Arial" w:cs="Arial"/>
      <w:b/>
      <w:iCs/>
      <w:caps/>
      <w:sz w:val="22"/>
      <w:szCs w:val="22"/>
    </w:rPr>
  </w:style>
  <w:style w:type="paragraph" w:customStyle="1" w:styleId="Body1">
    <w:name w:val="Body 1"/>
    <w:rsid w:val="00236E18"/>
    <w:rPr>
      <w:rFonts w:ascii="Helvetica" w:eastAsia="Arial Unicode MS" w:hAnsi="Helvetica"/>
      <w:color w:val="000000"/>
      <w:sz w:val="24"/>
    </w:rPr>
  </w:style>
  <w:style w:type="character" w:styleId="FootnoteReference">
    <w:name w:val="footnote reference"/>
    <w:aliases w:val="Footnote"/>
    <w:rsid w:val="00236E18"/>
    <w:rPr>
      <w:vertAlign w:val="superscript"/>
    </w:rPr>
  </w:style>
  <w:style w:type="paragraph" w:customStyle="1" w:styleId="StyleStyleHeading3ComplexItalicLatin12pt">
    <w:name w:val="Style Style Heading 3 + (Complex) Italic + (Latin) 12 pt"/>
    <w:basedOn w:val="StyleHeading3ComplexItalic"/>
    <w:link w:val="StyleStyleHeading3ComplexItalicLatin12ptChar"/>
    <w:rsid w:val="00236E18"/>
  </w:style>
  <w:style w:type="character" w:customStyle="1" w:styleId="StyleStyleHeading3ComplexItalicLatin12ptChar">
    <w:name w:val="Style Style Heading 3 + (Complex) Italic + (Latin) 12 pt Char"/>
    <w:basedOn w:val="StyleHeading3ComplexItalicChar"/>
    <w:link w:val="StyleStyleHeading3ComplexItalicLatin12pt"/>
    <w:rsid w:val="00236E18"/>
    <w:rPr>
      <w:rFonts w:ascii="Arial" w:hAnsi="Arial" w:cs="Arial"/>
      <w:b/>
      <w:iCs/>
      <w:caps/>
      <w:sz w:val="22"/>
      <w:szCs w:val="22"/>
    </w:rPr>
  </w:style>
  <w:style w:type="paragraph" w:styleId="NormalWeb">
    <w:name w:val="Normal (Web)"/>
    <w:basedOn w:val="Normal"/>
    <w:unhideWhenUsed/>
    <w:rsid w:val="00236E18"/>
    <w:rPr>
      <w:rFonts w:ascii="Times New Roman" w:eastAsiaTheme="minorHAnsi" w:hAnsi="Times New Roman" w:cs="Times New Roman"/>
      <w:sz w:val="24"/>
      <w:szCs w:val="24"/>
      <w:lang w:val="en-US" w:eastAsia="en-US"/>
    </w:rPr>
  </w:style>
  <w:style w:type="paragraph" w:styleId="BodyTextIndent">
    <w:name w:val="Body Text Indent"/>
    <w:basedOn w:val="Normal"/>
    <w:link w:val="BodyTextIndentChar"/>
    <w:rsid w:val="00236E18"/>
    <w:pPr>
      <w:spacing w:after="120"/>
      <w:ind w:left="283"/>
    </w:pPr>
  </w:style>
  <w:style w:type="character" w:customStyle="1" w:styleId="BodyTextIndentChar">
    <w:name w:val="Body Text Indent Char"/>
    <w:basedOn w:val="DefaultParagraphFont"/>
    <w:link w:val="BodyTextIndent"/>
    <w:rsid w:val="00236E18"/>
    <w:rPr>
      <w:rFonts w:ascii="Arial" w:eastAsia="SimSun" w:hAnsi="Arial" w:cs="Arial"/>
      <w:sz w:val="22"/>
      <w:lang w:val="es-ES" w:eastAsia="zh-CN"/>
    </w:rPr>
  </w:style>
  <w:style w:type="paragraph" w:styleId="TOCHeading">
    <w:name w:val="TOC Heading"/>
    <w:basedOn w:val="Heading1"/>
    <w:next w:val="Normal"/>
    <w:uiPriority w:val="39"/>
    <w:unhideWhenUsed/>
    <w:qFormat/>
    <w:rsid w:val="00236E18"/>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 w:type="paragraph" w:styleId="TOC3">
    <w:name w:val="toc 3"/>
    <w:basedOn w:val="Normal"/>
    <w:next w:val="Normal"/>
    <w:autoRedefine/>
    <w:uiPriority w:val="39"/>
    <w:unhideWhenUsed/>
    <w:rsid w:val="00236E18"/>
    <w:pPr>
      <w:tabs>
        <w:tab w:val="left" w:pos="1843"/>
        <w:tab w:val="left" w:pos="2688"/>
        <w:tab w:val="right" w:leader="dot" w:pos="9350"/>
      </w:tabs>
      <w:spacing w:after="100" w:line="276" w:lineRule="auto"/>
      <w:ind w:left="567"/>
    </w:pPr>
    <w:rPr>
      <w:noProof/>
      <w:szCs w:val="22"/>
      <w:lang w:val="es-ES_tradnl" w:eastAsia="en-US"/>
    </w:rPr>
  </w:style>
  <w:style w:type="character" w:styleId="Hyperlink">
    <w:name w:val="Hyperlink"/>
    <w:basedOn w:val="DefaultParagraphFont"/>
    <w:uiPriority w:val="99"/>
    <w:unhideWhenUsed/>
    <w:rsid w:val="00236E18"/>
    <w:rPr>
      <w:color w:val="0000FF" w:themeColor="hyperlink"/>
      <w:u w:val="single"/>
    </w:rPr>
  </w:style>
  <w:style w:type="character" w:customStyle="1" w:styleId="CommentTextChar">
    <w:name w:val="Comment Text Char"/>
    <w:basedOn w:val="DefaultParagraphFont"/>
    <w:rsid w:val="00236E18"/>
    <w:rPr>
      <w:rFonts w:ascii="Arial" w:eastAsia="SimSun" w:hAnsi="Arial" w:cs="Arial"/>
      <w:sz w:val="18"/>
      <w:lang w:val="es-ES" w:eastAsia="zh-CN"/>
    </w:rPr>
  </w:style>
  <w:style w:type="paragraph" w:customStyle="1" w:styleId="p1">
    <w:name w:val="p1"/>
    <w:basedOn w:val="Normal"/>
    <w:rsid w:val="00236E18"/>
    <w:pPr>
      <w:suppressAutoHyphens/>
    </w:pPr>
    <w:rPr>
      <w:rFonts w:ascii="Times New Roman" w:eastAsia="Calibri" w:hAnsi="Times New Roman" w:cs="Times New Roman"/>
      <w:sz w:val="24"/>
      <w:szCs w:val="24"/>
      <w:lang w:val="en-US" w:eastAsia="ar-SA"/>
    </w:rPr>
  </w:style>
  <w:style w:type="paragraph" w:customStyle="1" w:styleId="p2">
    <w:name w:val="p2"/>
    <w:basedOn w:val="Normal"/>
    <w:rsid w:val="00236E18"/>
    <w:pPr>
      <w:suppressAutoHyphens/>
    </w:pPr>
    <w:rPr>
      <w:rFonts w:ascii="Times New Roman" w:eastAsia="Calibri" w:hAnsi="Times New Roman" w:cs="Times New Roman"/>
      <w:sz w:val="24"/>
      <w:szCs w:val="24"/>
      <w:lang w:val="en-US" w:eastAsia="ar-SA"/>
    </w:rPr>
  </w:style>
  <w:style w:type="paragraph" w:customStyle="1" w:styleId="Default">
    <w:name w:val="Default"/>
    <w:basedOn w:val="Normal"/>
    <w:rsid w:val="00236E18"/>
    <w:pPr>
      <w:autoSpaceDE w:val="0"/>
      <w:autoSpaceDN w:val="0"/>
    </w:pPr>
    <w:rPr>
      <w:rFonts w:eastAsiaTheme="minorHAnsi"/>
      <w:color w:val="000000"/>
      <w:sz w:val="24"/>
      <w:szCs w:val="24"/>
      <w:lang w:val="en-US" w:eastAsia="en-US"/>
    </w:rPr>
  </w:style>
  <w:style w:type="character" w:styleId="PageNumber">
    <w:name w:val="page number"/>
    <w:basedOn w:val="DefaultParagraphFont"/>
    <w:rsid w:val="00236E18"/>
  </w:style>
  <w:style w:type="paragraph" w:styleId="BodyText2">
    <w:name w:val="Body Text 2"/>
    <w:basedOn w:val="Normal"/>
    <w:link w:val="BodyText2Char"/>
    <w:rsid w:val="00236E18"/>
    <w:pPr>
      <w:spacing w:after="120" w:line="480" w:lineRule="auto"/>
    </w:pPr>
    <w:rPr>
      <w:rFonts w:ascii="Times New Roman" w:eastAsia="MS Mincho" w:hAnsi="Times New Roman" w:cs="Times New Roman"/>
      <w:sz w:val="24"/>
      <w:szCs w:val="24"/>
      <w:lang w:val="en-US" w:eastAsia="en-US"/>
    </w:rPr>
  </w:style>
  <w:style w:type="character" w:customStyle="1" w:styleId="BodyText2Char">
    <w:name w:val="Body Text 2 Char"/>
    <w:basedOn w:val="DefaultParagraphFont"/>
    <w:link w:val="BodyText2"/>
    <w:rsid w:val="00236E18"/>
    <w:rPr>
      <w:rFonts w:eastAsia="MS Mincho"/>
      <w:sz w:val="24"/>
      <w:szCs w:val="24"/>
    </w:rPr>
  </w:style>
  <w:style w:type="paragraph" w:styleId="PlainText">
    <w:name w:val="Plain Text"/>
    <w:basedOn w:val="Normal"/>
    <w:link w:val="PlainTextChar"/>
    <w:uiPriority w:val="99"/>
    <w:rsid w:val="00236E18"/>
    <w:rPr>
      <w:rFonts w:ascii="Courier New" w:hAnsi="Courier New" w:cs="Courier New"/>
      <w:color w:val="0000FF"/>
      <w:sz w:val="20"/>
      <w:lang w:val="en-US"/>
    </w:rPr>
  </w:style>
  <w:style w:type="character" w:customStyle="1" w:styleId="PlainTextChar">
    <w:name w:val="Plain Text Char"/>
    <w:basedOn w:val="DefaultParagraphFont"/>
    <w:link w:val="PlainText"/>
    <w:uiPriority w:val="99"/>
    <w:rsid w:val="00236E18"/>
    <w:rPr>
      <w:rFonts w:ascii="Courier New" w:eastAsia="SimSun" w:hAnsi="Courier New" w:cs="Courier New"/>
      <w:color w:val="0000FF"/>
      <w:lang w:eastAsia="zh-CN"/>
    </w:rPr>
  </w:style>
  <w:style w:type="table" w:styleId="TableGrid">
    <w:name w:val="Table Grid"/>
    <w:basedOn w:val="TableNormal"/>
    <w:rsid w:val="00236E1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236E18"/>
    <w:pPr>
      <w:ind w:left="4536"/>
      <w:jc w:val="center"/>
    </w:pPr>
    <w:rPr>
      <w:rFonts w:ascii="Times New Roman" w:eastAsia="Times New Roman" w:hAnsi="Times New Roman" w:cs="Times New Roman"/>
      <w:sz w:val="24"/>
      <w:lang w:val="en-US" w:eastAsia="en-US"/>
    </w:rPr>
  </w:style>
  <w:style w:type="paragraph" w:styleId="TOC1">
    <w:name w:val="toc 1"/>
    <w:basedOn w:val="Normal"/>
    <w:next w:val="Normal"/>
    <w:autoRedefine/>
    <w:uiPriority w:val="39"/>
    <w:rsid w:val="00236E18"/>
    <w:pPr>
      <w:tabs>
        <w:tab w:val="left" w:pos="567"/>
        <w:tab w:val="right" w:leader="dot" w:pos="9345"/>
      </w:tabs>
      <w:spacing w:after="100"/>
    </w:pPr>
    <w:rPr>
      <w:b/>
      <w:noProof/>
      <w:szCs w:val="22"/>
    </w:rPr>
  </w:style>
  <w:style w:type="paragraph" w:customStyle="1" w:styleId="Body">
    <w:name w:val="Body"/>
    <w:rsid w:val="00236E18"/>
    <w:rPr>
      <w:rFonts w:ascii="Helvetica" w:eastAsia="ヒラギノ角ゴ Pro W3" w:hAnsi="Helvetica" w:cs="Angsana New"/>
      <w:color w:val="000000"/>
      <w:sz w:val="24"/>
      <w:lang w:bidi="th-TH"/>
    </w:rPr>
  </w:style>
  <w:style w:type="character" w:styleId="CommentReference">
    <w:name w:val="annotation reference"/>
    <w:basedOn w:val="DefaultParagraphFont"/>
    <w:unhideWhenUsed/>
    <w:rsid w:val="00236E18"/>
    <w:rPr>
      <w:sz w:val="16"/>
      <w:szCs w:val="16"/>
    </w:rPr>
  </w:style>
  <w:style w:type="paragraph" w:styleId="CommentSubject">
    <w:name w:val="annotation subject"/>
    <w:basedOn w:val="CommentText"/>
    <w:next w:val="CommentText"/>
    <w:link w:val="CommentSubjectChar"/>
    <w:unhideWhenUsed/>
    <w:rsid w:val="00236E18"/>
    <w:rPr>
      <w:rFonts w:asciiTheme="minorHAnsi" w:eastAsiaTheme="minorEastAsia" w:hAnsiTheme="minorHAnsi" w:cstheme="minorBidi"/>
      <w:b/>
      <w:bCs/>
      <w:sz w:val="20"/>
      <w:szCs w:val="22"/>
      <w:lang w:val="en-US" w:eastAsia="ja-JP"/>
    </w:rPr>
  </w:style>
  <w:style w:type="character" w:customStyle="1" w:styleId="CommentTextChar2">
    <w:name w:val="Comment Text Char2"/>
    <w:basedOn w:val="DefaultParagraphFont"/>
    <w:link w:val="CommentText"/>
    <w:rsid w:val="00236E18"/>
    <w:rPr>
      <w:rFonts w:ascii="Arial" w:eastAsia="SimSun" w:hAnsi="Arial" w:cs="Arial"/>
      <w:sz w:val="18"/>
      <w:lang w:val="es-ES" w:eastAsia="zh-CN"/>
    </w:rPr>
  </w:style>
  <w:style w:type="character" w:customStyle="1" w:styleId="CommentSubjectChar">
    <w:name w:val="Comment Subject Char"/>
    <w:basedOn w:val="CommentTextChar2"/>
    <w:link w:val="CommentSubject"/>
    <w:rsid w:val="00236E18"/>
    <w:rPr>
      <w:rFonts w:asciiTheme="minorHAnsi" w:eastAsiaTheme="minorEastAsia" w:hAnsiTheme="minorHAnsi" w:cstheme="minorBidi"/>
      <w:b/>
      <w:bCs/>
      <w:sz w:val="18"/>
      <w:szCs w:val="22"/>
      <w:lang w:val="es-ES" w:eastAsia="ja-JP"/>
    </w:rPr>
  </w:style>
  <w:style w:type="paragraph" w:customStyle="1" w:styleId="StyleHeading214ptAuto">
    <w:name w:val="Style Heading 2 + 14 pt Auto"/>
    <w:basedOn w:val="Heading2"/>
    <w:rsid w:val="00236E18"/>
    <w:pPr>
      <w:keepNext w:val="0"/>
      <w:widowControl w:val="0"/>
      <w:tabs>
        <w:tab w:val="num" w:pos="567"/>
      </w:tabs>
      <w:spacing w:before="0" w:after="0" w:line="300" w:lineRule="atLeast"/>
      <w:ind w:left="567" w:hanging="567"/>
      <w:jc w:val="center"/>
    </w:pPr>
    <w:rPr>
      <w:rFonts w:ascii="Arial Bold" w:eastAsia="Times New Roman" w:hAnsi="Arial Bold" w:cstheme="minorBidi"/>
      <w:b/>
      <w:sz w:val="24"/>
      <w:lang w:val="en-GB" w:eastAsia="da-DK"/>
    </w:rPr>
  </w:style>
  <w:style w:type="paragraph" w:styleId="TOC2">
    <w:name w:val="toc 2"/>
    <w:basedOn w:val="Normal"/>
    <w:next w:val="Normal"/>
    <w:autoRedefine/>
    <w:uiPriority w:val="39"/>
    <w:unhideWhenUsed/>
    <w:rsid w:val="00236E18"/>
    <w:pPr>
      <w:tabs>
        <w:tab w:val="left" w:pos="9072"/>
      </w:tabs>
      <w:spacing w:after="120"/>
      <w:ind w:left="221"/>
    </w:pPr>
    <w:rPr>
      <w:rFonts w:eastAsiaTheme="minorEastAsia" w:cstheme="minorBidi"/>
      <w:caps/>
      <w:noProof/>
      <w:sz w:val="20"/>
      <w:szCs w:val="22"/>
      <w:lang w:val="en-US" w:eastAsia="ja-JP"/>
    </w:rPr>
  </w:style>
  <w:style w:type="paragraph" w:styleId="BlockText">
    <w:name w:val="Block Text"/>
    <w:basedOn w:val="Normal"/>
    <w:rsid w:val="00236E18"/>
    <w:pPr>
      <w:tabs>
        <w:tab w:val="left" w:pos="2127"/>
      </w:tabs>
      <w:spacing w:after="40"/>
      <w:ind w:left="2127" w:right="896" w:hanging="2127"/>
    </w:pPr>
    <w:rPr>
      <w:rFonts w:ascii="Times New Roman" w:eastAsia="Times New Roman" w:hAnsi="Times New Roman" w:cs="Times New Roman"/>
      <w:sz w:val="24"/>
      <w:lang w:val="en-US" w:eastAsia="en-US"/>
    </w:rPr>
  </w:style>
  <w:style w:type="paragraph" w:customStyle="1" w:styleId="zanxtext">
    <w:name w:val="zanxtext"/>
    <w:basedOn w:val="Normal"/>
    <w:rsid w:val="00236E18"/>
    <w:pPr>
      <w:spacing w:before="120"/>
    </w:pPr>
    <w:rPr>
      <w:rFonts w:ascii="Times New Roman" w:eastAsia="Times New Roman" w:hAnsi="Times New Roman" w:cs="Times New Roman"/>
      <w:sz w:val="24"/>
      <w:lang w:val="en-US" w:eastAsia="en-US"/>
    </w:rPr>
  </w:style>
  <w:style w:type="paragraph" w:customStyle="1" w:styleId="CharCharCharChar">
    <w:name w:val="Char Char Char Char"/>
    <w:basedOn w:val="Normal"/>
    <w:rsid w:val="00236E18"/>
    <w:pPr>
      <w:spacing w:after="160" w:line="240" w:lineRule="exact"/>
    </w:pPr>
    <w:rPr>
      <w:rFonts w:ascii="Verdana" w:eastAsia="Times New Roman" w:hAnsi="Verdana" w:cs="Times New Roman"/>
      <w:sz w:val="20"/>
      <w:lang w:val="en-GB" w:eastAsia="en-US"/>
    </w:rPr>
  </w:style>
  <w:style w:type="character" w:customStyle="1" w:styleId="hps">
    <w:name w:val="hps"/>
    <w:basedOn w:val="DefaultParagraphFont"/>
    <w:rsid w:val="00236E18"/>
  </w:style>
  <w:style w:type="paragraph" w:customStyle="1" w:styleId="1">
    <w:name w:val="1"/>
    <w:basedOn w:val="Normal"/>
    <w:rsid w:val="00236E18"/>
    <w:pPr>
      <w:spacing w:after="160" w:line="240" w:lineRule="exact"/>
    </w:pPr>
    <w:rPr>
      <w:rFonts w:ascii="Verdana" w:eastAsia="Times New Roman" w:hAnsi="Verdana" w:cs="Times New Roman"/>
      <w:sz w:val="20"/>
      <w:lang w:val="en-GB" w:eastAsia="en-US"/>
    </w:rPr>
  </w:style>
  <w:style w:type="paragraph" w:customStyle="1" w:styleId="NormalArial">
    <w:name w:val="Normal + Arial"/>
    <w:aliases w:val="10 pt"/>
    <w:basedOn w:val="ListParagraph"/>
    <w:rsid w:val="00236E18"/>
    <w:pPr>
      <w:ind w:left="-28"/>
      <w:contextualSpacing w:val="0"/>
    </w:pPr>
    <w:rPr>
      <w:rFonts w:ascii="Arial" w:eastAsia="MS Mincho" w:hAnsi="Arial" w:cs="Arial"/>
      <w:bCs/>
      <w:sz w:val="20"/>
      <w:szCs w:val="20"/>
    </w:rPr>
  </w:style>
  <w:style w:type="paragraph" w:customStyle="1" w:styleId="Normal6">
    <w:name w:val="Normal+6"/>
    <w:basedOn w:val="Normal"/>
    <w:next w:val="Normal"/>
    <w:rsid w:val="00236E18"/>
    <w:pPr>
      <w:autoSpaceDE w:val="0"/>
      <w:autoSpaceDN w:val="0"/>
      <w:adjustRightInd w:val="0"/>
    </w:pPr>
    <w:rPr>
      <w:rFonts w:eastAsia="Times New Roman" w:cs="Times New Roman"/>
      <w:sz w:val="24"/>
      <w:szCs w:val="24"/>
      <w:lang w:val="en-US" w:eastAsia="en-US"/>
    </w:rPr>
  </w:style>
  <w:style w:type="character" w:customStyle="1" w:styleId="paracolourtext1">
    <w:name w:val="paracolourtext1"/>
    <w:rsid w:val="00236E18"/>
    <w:rPr>
      <w:b w:val="0"/>
      <w:bCs w:val="0"/>
      <w:i w:val="0"/>
      <w:iCs w:val="0"/>
      <w:color w:val="800000"/>
      <w:sz w:val="20"/>
      <w:szCs w:val="20"/>
    </w:rPr>
  </w:style>
  <w:style w:type="paragraph" w:customStyle="1" w:styleId="tes1">
    <w:name w:val="tes1"/>
    <w:basedOn w:val="Normal"/>
    <w:rsid w:val="00236E18"/>
    <w:pPr>
      <w:suppressAutoHyphens/>
      <w:ind w:left="1134" w:right="2195"/>
      <w:jc w:val="both"/>
    </w:pPr>
    <w:rPr>
      <w:rFonts w:ascii="Times New Roman" w:eastAsia="Times New Roman" w:hAnsi="Times New Roman" w:cs="Times New Roman"/>
      <w:b/>
      <w:spacing w:val="4"/>
      <w:w w:val="103"/>
      <w:kern w:val="14"/>
      <w:sz w:val="20"/>
      <w:lang w:val="en-GB" w:eastAsia="en-US"/>
    </w:rPr>
  </w:style>
  <w:style w:type="paragraph" w:customStyle="1" w:styleId="Style10">
    <w:name w:val="Style10"/>
    <w:basedOn w:val="Normal"/>
    <w:autoRedefine/>
    <w:rsid w:val="00236E18"/>
    <w:pPr>
      <w:tabs>
        <w:tab w:val="left" w:pos="340"/>
        <w:tab w:val="left" w:pos="680"/>
        <w:tab w:val="left" w:pos="1021"/>
        <w:tab w:val="left" w:pos="1361"/>
      </w:tabs>
      <w:suppressAutoHyphens/>
      <w:jc w:val="both"/>
    </w:pPr>
    <w:rPr>
      <w:rFonts w:ascii="Times New Roman" w:eastAsia="Times New Roman" w:hAnsi="Times New Roman" w:cs="Times New Roman"/>
      <w:snapToGrid w:val="0"/>
      <w:sz w:val="20"/>
      <w:lang w:val="en-US" w:eastAsia="en-US"/>
    </w:rPr>
  </w:style>
  <w:style w:type="paragraph" w:customStyle="1" w:styleId="Style11">
    <w:name w:val="Style11"/>
    <w:basedOn w:val="FootnoteText"/>
    <w:autoRedefine/>
    <w:rsid w:val="00236E18"/>
    <w:pPr>
      <w:suppressAutoHyphens/>
      <w:ind w:firstLine="340"/>
      <w:jc w:val="both"/>
    </w:pPr>
    <w:rPr>
      <w:rFonts w:ascii="Times New Roman" w:eastAsiaTheme="minorEastAsia" w:hAnsi="Times New Roman" w:cs="Times New Roman"/>
      <w:snapToGrid w:val="0"/>
      <w:sz w:val="16"/>
      <w:szCs w:val="22"/>
      <w:lang w:val="en-US" w:eastAsia="ja-JP"/>
    </w:rPr>
  </w:style>
  <w:style w:type="paragraph" w:styleId="Title">
    <w:name w:val="Title"/>
    <w:basedOn w:val="Normal"/>
    <w:link w:val="TitleChar"/>
    <w:qFormat/>
    <w:rsid w:val="00236E18"/>
    <w:pPr>
      <w:jc w:val="center"/>
    </w:pPr>
    <w:rPr>
      <w:rFonts w:ascii="Times New Roman" w:eastAsia="Times New Roman" w:hAnsi="Times New Roman" w:cs="Times New Roman"/>
      <w:b/>
      <w:sz w:val="24"/>
      <w:lang w:val="en-US" w:eastAsia="en-US"/>
    </w:rPr>
  </w:style>
  <w:style w:type="character" w:customStyle="1" w:styleId="TitleChar">
    <w:name w:val="Title Char"/>
    <w:basedOn w:val="DefaultParagraphFont"/>
    <w:link w:val="Title"/>
    <w:rsid w:val="00236E18"/>
    <w:rPr>
      <w:b/>
      <w:sz w:val="24"/>
    </w:rPr>
  </w:style>
  <w:style w:type="paragraph" w:styleId="Subtitle">
    <w:name w:val="Subtitle"/>
    <w:basedOn w:val="Normal"/>
    <w:link w:val="SubtitleChar"/>
    <w:qFormat/>
    <w:rsid w:val="00236E18"/>
    <w:pPr>
      <w:jc w:val="center"/>
    </w:pPr>
    <w:rPr>
      <w:rFonts w:ascii="Times New Roman" w:eastAsia="Times New Roman" w:hAnsi="Times New Roman" w:cs="Times New Roman"/>
      <w:b/>
      <w:caps/>
      <w:color w:val="0000FF"/>
      <w:sz w:val="28"/>
      <w:lang w:val="en-US" w:eastAsia="en-US"/>
    </w:rPr>
  </w:style>
  <w:style w:type="character" w:customStyle="1" w:styleId="SubtitleChar">
    <w:name w:val="Subtitle Char"/>
    <w:basedOn w:val="DefaultParagraphFont"/>
    <w:link w:val="Subtitle"/>
    <w:rsid w:val="00236E18"/>
    <w:rPr>
      <w:b/>
      <w:caps/>
      <w:color w:val="0000FF"/>
      <w:sz w:val="28"/>
    </w:rPr>
  </w:style>
  <w:style w:type="paragraph" w:styleId="BodyTextIndent2">
    <w:name w:val="Body Text Indent 2"/>
    <w:basedOn w:val="Normal"/>
    <w:link w:val="BodyTextIndent2Char"/>
    <w:rsid w:val="00236E18"/>
    <w:pPr>
      <w:tabs>
        <w:tab w:val="left" w:pos="714"/>
      </w:tabs>
      <w:spacing w:after="100"/>
      <w:ind w:hanging="6"/>
      <w:jc w:val="both"/>
    </w:pPr>
    <w:rPr>
      <w:rFonts w:eastAsia="Times New Roman" w:cs="Times New Roman"/>
      <w:snapToGrid w:val="0"/>
      <w:color w:val="000000"/>
      <w:sz w:val="20"/>
      <w:lang w:val="en-US" w:eastAsia="en-US"/>
    </w:rPr>
  </w:style>
  <w:style w:type="character" w:customStyle="1" w:styleId="BodyTextIndent2Char">
    <w:name w:val="Body Text Indent 2 Char"/>
    <w:basedOn w:val="DefaultParagraphFont"/>
    <w:link w:val="BodyTextIndent2"/>
    <w:rsid w:val="00236E18"/>
    <w:rPr>
      <w:rFonts w:ascii="Arial" w:hAnsi="Arial"/>
      <w:snapToGrid w:val="0"/>
      <w:color w:val="000000"/>
    </w:rPr>
  </w:style>
  <w:style w:type="paragraph" w:customStyle="1" w:styleId="3029-Titrechapitre">
    <w:name w:val="3029-Titre chapitre"/>
    <w:basedOn w:val="Heading1"/>
    <w:rsid w:val="00236E18"/>
    <w:pPr>
      <w:spacing w:before="0" w:after="0"/>
    </w:pPr>
    <w:rPr>
      <w:rFonts w:ascii="Arial Black" w:eastAsia="Times" w:hAnsi="Arial Black" w:cs="Times New Roman"/>
      <w:b w:val="0"/>
      <w:bCs w:val="0"/>
      <w:caps w:val="0"/>
      <w:color w:val="000080"/>
      <w:kern w:val="0"/>
      <w:sz w:val="30"/>
      <w:szCs w:val="20"/>
      <w:lang w:val="fr-FR" w:eastAsia="ja-JP"/>
    </w:rPr>
  </w:style>
  <w:style w:type="character" w:customStyle="1" w:styleId="underline">
    <w:name w:val="underline"/>
    <w:rsid w:val="00236E18"/>
    <w:rPr>
      <w:u w:val="single"/>
    </w:rPr>
  </w:style>
  <w:style w:type="paragraph" w:customStyle="1" w:styleId="zanxhead">
    <w:name w:val="zanxhead"/>
    <w:basedOn w:val="Normal"/>
    <w:rsid w:val="00236E18"/>
    <w:pPr>
      <w:spacing w:before="200"/>
    </w:pPr>
    <w:rPr>
      <w:rFonts w:ascii="Times New Roman" w:eastAsia="Times New Roman" w:hAnsi="Times New Roman" w:cs="Times New Roman"/>
      <w:b/>
      <w:color w:val="0000FF"/>
      <w:sz w:val="24"/>
      <w:lang w:val="en-US" w:eastAsia="en-US"/>
    </w:rPr>
  </w:style>
  <w:style w:type="character" w:styleId="Emphasis">
    <w:name w:val="Emphasis"/>
    <w:uiPriority w:val="20"/>
    <w:qFormat/>
    <w:rsid w:val="00236E18"/>
    <w:rPr>
      <w:i/>
      <w:iCs/>
    </w:rPr>
  </w:style>
  <w:style w:type="character" w:styleId="Strong">
    <w:name w:val="Strong"/>
    <w:qFormat/>
    <w:rsid w:val="00236E18"/>
    <w:rPr>
      <w:b/>
      <w:bCs/>
    </w:rPr>
  </w:style>
  <w:style w:type="paragraph" w:customStyle="1" w:styleId="preparedby">
    <w:name w:val="prepared by"/>
    <w:basedOn w:val="Normal"/>
    <w:next w:val="Normal"/>
    <w:rsid w:val="00236E18"/>
    <w:pPr>
      <w:spacing w:before="120" w:after="480" w:line="260" w:lineRule="atLeast"/>
      <w:ind w:left="1021"/>
      <w:contextualSpacing/>
    </w:pPr>
    <w:rPr>
      <w:rFonts w:eastAsia="Times New Roman" w:cs="Times New Roman"/>
      <w:i/>
      <w:sz w:val="20"/>
      <w:lang w:val="en-US" w:eastAsia="en-US"/>
    </w:rPr>
  </w:style>
  <w:style w:type="paragraph" w:customStyle="1" w:styleId="Documenttitle">
    <w:name w:val="Document title"/>
    <w:basedOn w:val="Normal"/>
    <w:next w:val="preparedby"/>
    <w:rsid w:val="00236E18"/>
    <w:pPr>
      <w:spacing w:before="840" w:line="336" w:lineRule="exact"/>
      <w:ind w:left="1021"/>
      <w:contextualSpacing/>
    </w:pPr>
    <w:rPr>
      <w:rFonts w:eastAsia="Times New Roman" w:cs="Times New Roman"/>
      <w:sz w:val="24"/>
      <w:lang w:val="en-US" w:eastAsia="en-US"/>
    </w:rPr>
  </w:style>
  <w:style w:type="paragraph" w:customStyle="1" w:styleId="MeetinglanguageDate">
    <w:name w:val="Meeting language &amp; Date"/>
    <w:basedOn w:val="Normal"/>
    <w:next w:val="Meetingtitle"/>
    <w:rsid w:val="00236E18"/>
    <w:pPr>
      <w:spacing w:after="168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236E18"/>
    <w:pPr>
      <w:spacing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236E18"/>
    <w:pPr>
      <w:spacing w:before="480"/>
      <w:contextualSpacing/>
    </w:pPr>
    <w:rPr>
      <w:sz w:val="24"/>
    </w:rPr>
  </w:style>
  <w:style w:type="paragraph" w:customStyle="1" w:styleId="Meetingplacedate">
    <w:name w:val="Meeting place &amp; date"/>
    <w:basedOn w:val="Sessiontitle"/>
    <w:next w:val="Documenttitle"/>
    <w:rsid w:val="00236E18"/>
    <w:pPr>
      <w:spacing w:before="0"/>
      <w:contextualSpacing w:val="0"/>
    </w:pPr>
  </w:style>
  <w:style w:type="paragraph" w:customStyle="1" w:styleId="Language">
    <w:name w:val="Language"/>
    <w:basedOn w:val="Normal"/>
    <w:next w:val="Normal"/>
    <w:rsid w:val="00236E18"/>
    <w:pPr>
      <w:spacing w:after="120" w:line="340" w:lineRule="atLeast"/>
      <w:ind w:left="1021"/>
      <w:contextualSpacing/>
      <w:jc w:val="right"/>
    </w:pPr>
    <w:rPr>
      <w:rFonts w:eastAsia="Times New Roman" w:cs="Times New Roman"/>
      <w:b/>
      <w:caps/>
      <w:sz w:val="40"/>
      <w:lang w:val="en-US" w:eastAsia="en-US"/>
    </w:rPr>
  </w:style>
  <w:style w:type="paragraph" w:customStyle="1" w:styleId="MeetingCode">
    <w:name w:val="Meeting Code"/>
    <w:basedOn w:val="MeetinglanguageDate"/>
    <w:rsid w:val="00236E18"/>
    <w:pPr>
      <w:spacing w:before="1800" w:after="0"/>
    </w:pPr>
  </w:style>
  <w:style w:type="paragraph" w:customStyle="1" w:styleId="CarCarCar">
    <w:name w:val="Car Car Car"/>
    <w:basedOn w:val="Normal"/>
    <w:rsid w:val="00236E18"/>
    <w:pPr>
      <w:spacing w:after="160" w:line="240" w:lineRule="exact"/>
    </w:pPr>
    <w:rPr>
      <w:rFonts w:ascii="Verdana" w:eastAsia="PMingLiU" w:hAnsi="Verdana" w:cs="Times New Roman"/>
      <w:sz w:val="20"/>
      <w:lang w:val="en-US" w:eastAsia="en-US"/>
    </w:rPr>
  </w:style>
  <w:style w:type="paragraph" w:customStyle="1" w:styleId="Paragraphedeliste">
    <w:name w:val="Paragraphe de liste"/>
    <w:autoRedefine/>
    <w:rsid w:val="00236E18"/>
    <w:pPr>
      <w:spacing w:after="200" w:line="276" w:lineRule="auto"/>
      <w:ind w:left="720"/>
    </w:pPr>
    <w:rPr>
      <w:rFonts w:ascii="Lucida Grande" w:eastAsia="ヒラギノ角ゴ Pro W3" w:hAnsi="Lucida Grande"/>
      <w:color w:val="000000"/>
      <w:sz w:val="22"/>
      <w:lang w:val="en-GB"/>
    </w:rPr>
  </w:style>
  <w:style w:type="character" w:styleId="FollowedHyperlink">
    <w:name w:val="FollowedHyperlink"/>
    <w:rsid w:val="00236E18"/>
    <w:rPr>
      <w:color w:val="606420"/>
      <w:u w:val="single"/>
    </w:rPr>
  </w:style>
  <w:style w:type="character" w:customStyle="1" w:styleId="st">
    <w:name w:val="st"/>
    <w:basedOn w:val="DefaultParagraphFont"/>
    <w:rsid w:val="00236E18"/>
  </w:style>
  <w:style w:type="character" w:styleId="EndnoteReference">
    <w:name w:val="endnote reference"/>
    <w:basedOn w:val="DefaultParagraphFont"/>
    <w:rsid w:val="00236E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Body Text" w:qFormat="1"/>
    <w:lsdException w:name="Subtitle" w:qFormat="1"/>
    <w:lsdException w:name="Hyperlink" w:uiPriority="99"/>
    <w:lsdException w:name="Strong" w:qFormat="1"/>
    <w:lsdException w:name="Emphasis" w:uiPriority="20"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Heading4"/>
    <w:next w:val="Normal"/>
    <w:link w:val="Heading5Char"/>
    <w:qFormat/>
    <w:rsid w:val="00236E18"/>
    <w:pPr>
      <w:tabs>
        <w:tab w:val="num" w:pos="1008"/>
      </w:tabs>
      <w:spacing w:before="0" w:after="0" w:line="300" w:lineRule="atLeast"/>
      <w:ind w:left="1008" w:hanging="1008"/>
      <w:outlineLvl w:val="4"/>
    </w:pPr>
    <w:rPr>
      <w:rFonts w:asciiTheme="minorHAnsi" w:eastAsia="Times New Roman" w:hAnsiTheme="minorHAnsi" w:cstheme="minorBidi"/>
      <w:b/>
      <w:i w:val="0"/>
      <w:caps/>
      <w:color w:val="3E484E"/>
      <w:szCs w:val="26"/>
      <w:lang w:val="en-GB" w:eastAsia="da-DK"/>
    </w:rPr>
  </w:style>
  <w:style w:type="paragraph" w:styleId="Heading6">
    <w:name w:val="heading 6"/>
    <w:basedOn w:val="Normal"/>
    <w:next w:val="Normal"/>
    <w:link w:val="Heading6Char"/>
    <w:unhideWhenUsed/>
    <w:qFormat/>
    <w:rsid w:val="00236E18"/>
    <w:pPr>
      <w:keepNext/>
      <w:keepLines/>
      <w:spacing w:before="200"/>
      <w:outlineLvl w:val="5"/>
    </w:pPr>
    <w:rPr>
      <w:rFonts w:asciiTheme="majorHAnsi" w:eastAsiaTheme="majorEastAsia" w:hAnsiTheme="majorHAnsi" w:cstheme="majorBidi"/>
      <w:i/>
      <w:iCs/>
      <w:color w:val="243F60" w:themeColor="accent1" w:themeShade="7F"/>
      <w:szCs w:val="22"/>
      <w:lang w:val="en-US" w:eastAsia="ja-JP"/>
    </w:rPr>
  </w:style>
  <w:style w:type="paragraph" w:styleId="Heading7">
    <w:name w:val="heading 7"/>
    <w:basedOn w:val="Heading6"/>
    <w:next w:val="Normal"/>
    <w:link w:val="Heading7Char"/>
    <w:qFormat/>
    <w:rsid w:val="00236E18"/>
    <w:pPr>
      <w:keepLines w:val="0"/>
      <w:tabs>
        <w:tab w:val="num" w:pos="1296"/>
      </w:tabs>
      <w:spacing w:before="0" w:line="300" w:lineRule="atLeast"/>
      <w:ind w:left="1296" w:hanging="1296"/>
      <w:outlineLvl w:val="6"/>
    </w:pPr>
    <w:rPr>
      <w:rFonts w:ascii="Arial" w:eastAsia="Times New Roman" w:hAnsi="Arial" w:cs="Arial"/>
      <w:b/>
      <w:bCs/>
      <w:i w:val="0"/>
      <w:iCs w:val="0"/>
      <w:caps/>
      <w:color w:val="3E484E"/>
      <w:szCs w:val="26"/>
      <w:lang w:val="en-GB" w:eastAsia="da-DK"/>
    </w:rPr>
  </w:style>
  <w:style w:type="paragraph" w:styleId="Heading8">
    <w:name w:val="heading 8"/>
    <w:basedOn w:val="Normal"/>
    <w:next w:val="Normal"/>
    <w:link w:val="Heading8Char"/>
    <w:unhideWhenUsed/>
    <w:qFormat/>
    <w:rsid w:val="00236E18"/>
    <w:pPr>
      <w:keepNext/>
      <w:keepLines/>
      <w:spacing w:before="200"/>
      <w:outlineLvl w:val="7"/>
    </w:pPr>
    <w:rPr>
      <w:rFonts w:asciiTheme="majorHAnsi" w:eastAsiaTheme="majorEastAsia" w:hAnsiTheme="majorHAnsi" w:cstheme="majorBidi"/>
      <w:color w:val="404040" w:themeColor="text1" w:themeTint="BF"/>
      <w:sz w:val="20"/>
      <w:lang w:val="en-US" w:eastAsia="ja-JP"/>
    </w:rPr>
  </w:style>
  <w:style w:type="paragraph" w:styleId="Heading9">
    <w:name w:val="heading 9"/>
    <w:basedOn w:val="Heading8"/>
    <w:next w:val="Normal"/>
    <w:link w:val="Heading9Char"/>
    <w:qFormat/>
    <w:rsid w:val="00236E18"/>
    <w:pPr>
      <w:keepLines w:val="0"/>
      <w:tabs>
        <w:tab w:val="num" w:pos="1584"/>
      </w:tabs>
      <w:spacing w:before="0" w:line="300" w:lineRule="atLeast"/>
      <w:ind w:left="1584" w:hanging="1584"/>
      <w:outlineLvl w:val="8"/>
    </w:pPr>
    <w:rPr>
      <w:rFonts w:ascii="Arial" w:eastAsia="Times New Roman" w:hAnsi="Arial" w:cs="Arial"/>
      <w:b/>
      <w:bCs/>
      <w:caps/>
      <w:color w:val="3E484E"/>
      <w:sz w:val="22"/>
      <w:szCs w:val="26"/>
      <w:lang w:val="en-GB"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2"/>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tabs>
        <w:tab w:val="clear" w:pos="6096"/>
        <w:tab w:val="num" w:pos="567"/>
      </w:tabs>
      <w:ind w:left="0"/>
    </w:pPr>
  </w:style>
  <w:style w:type="paragraph" w:customStyle="1" w:styleId="ONUMFS">
    <w:name w:val="ONUM FS"/>
    <w:basedOn w:val="BodyText"/>
    <w:rsid w:val="00A32C9E"/>
    <w:pPr>
      <w:numPr>
        <w:numId w:val="3"/>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ONUMEChar">
    <w:name w:val="ONUM E Char"/>
    <w:link w:val="ONUME"/>
    <w:rsid w:val="004901E0"/>
    <w:rPr>
      <w:rFonts w:ascii="Arial" w:eastAsia="SimSun" w:hAnsi="Arial" w:cs="Arial"/>
      <w:sz w:val="22"/>
      <w:lang w:val="es-ES" w:eastAsia="zh-CN"/>
    </w:rPr>
  </w:style>
  <w:style w:type="character" w:customStyle="1" w:styleId="Heading5Char">
    <w:name w:val="Heading 5 Char"/>
    <w:basedOn w:val="DefaultParagraphFont"/>
    <w:link w:val="Heading5"/>
    <w:rsid w:val="00236E18"/>
    <w:rPr>
      <w:rFonts w:asciiTheme="minorHAnsi" w:hAnsiTheme="minorHAnsi" w:cstheme="minorBidi"/>
      <w:b/>
      <w:bCs/>
      <w:caps/>
      <w:color w:val="3E484E"/>
      <w:sz w:val="22"/>
      <w:szCs w:val="26"/>
      <w:lang w:val="en-GB" w:eastAsia="da-DK"/>
    </w:rPr>
  </w:style>
  <w:style w:type="character" w:customStyle="1" w:styleId="Heading6Char">
    <w:name w:val="Heading 6 Char"/>
    <w:basedOn w:val="DefaultParagraphFont"/>
    <w:link w:val="Heading6"/>
    <w:rsid w:val="00236E18"/>
    <w:rPr>
      <w:rFonts w:asciiTheme="majorHAnsi" w:eastAsiaTheme="majorEastAsia" w:hAnsiTheme="majorHAnsi" w:cstheme="majorBidi"/>
      <w:i/>
      <w:iCs/>
      <w:color w:val="243F60" w:themeColor="accent1" w:themeShade="7F"/>
      <w:sz w:val="22"/>
      <w:szCs w:val="22"/>
      <w:lang w:eastAsia="ja-JP"/>
    </w:rPr>
  </w:style>
  <w:style w:type="character" w:customStyle="1" w:styleId="Heading7Char">
    <w:name w:val="Heading 7 Char"/>
    <w:basedOn w:val="DefaultParagraphFont"/>
    <w:link w:val="Heading7"/>
    <w:rsid w:val="00236E18"/>
    <w:rPr>
      <w:rFonts w:ascii="Arial" w:hAnsi="Arial" w:cs="Arial"/>
      <w:b/>
      <w:bCs/>
      <w:caps/>
      <w:color w:val="3E484E"/>
      <w:sz w:val="22"/>
      <w:szCs w:val="26"/>
      <w:lang w:val="en-GB" w:eastAsia="da-DK"/>
    </w:rPr>
  </w:style>
  <w:style w:type="character" w:customStyle="1" w:styleId="Heading8Char">
    <w:name w:val="Heading 8 Char"/>
    <w:basedOn w:val="DefaultParagraphFont"/>
    <w:link w:val="Heading8"/>
    <w:rsid w:val="00236E18"/>
    <w:rPr>
      <w:rFonts w:asciiTheme="majorHAnsi" w:eastAsiaTheme="majorEastAsia" w:hAnsiTheme="majorHAnsi" w:cstheme="majorBidi"/>
      <w:color w:val="404040" w:themeColor="text1" w:themeTint="BF"/>
      <w:lang w:eastAsia="ja-JP"/>
    </w:rPr>
  </w:style>
  <w:style w:type="character" w:customStyle="1" w:styleId="Heading9Char">
    <w:name w:val="Heading 9 Char"/>
    <w:basedOn w:val="DefaultParagraphFont"/>
    <w:link w:val="Heading9"/>
    <w:rsid w:val="00236E18"/>
    <w:rPr>
      <w:rFonts w:ascii="Arial" w:hAnsi="Arial" w:cs="Arial"/>
      <w:b/>
      <w:bCs/>
      <w:caps/>
      <w:color w:val="3E484E"/>
      <w:sz w:val="22"/>
      <w:szCs w:val="26"/>
      <w:lang w:val="en-GB" w:eastAsia="da-DK"/>
    </w:rPr>
  </w:style>
  <w:style w:type="character" w:customStyle="1" w:styleId="Heading1Char">
    <w:name w:val="Heading 1 Char"/>
    <w:basedOn w:val="DefaultParagraphFont"/>
    <w:link w:val="Heading1"/>
    <w:rsid w:val="00236E18"/>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236E18"/>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236E18"/>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236E18"/>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236E18"/>
    <w:rPr>
      <w:rFonts w:ascii="Arial" w:eastAsia="SimSun" w:hAnsi="Arial" w:cs="Arial"/>
      <w:sz w:val="22"/>
      <w:lang w:val="es-ES" w:eastAsia="zh-CN"/>
    </w:rPr>
  </w:style>
  <w:style w:type="character" w:customStyle="1" w:styleId="CommentTextChar1">
    <w:name w:val="Comment Text Char1"/>
    <w:basedOn w:val="DefaultParagraphFont"/>
    <w:rsid w:val="00236E18"/>
    <w:rPr>
      <w:rFonts w:ascii="Arial" w:eastAsia="SimSun" w:hAnsi="Arial" w:cs="Arial"/>
      <w:sz w:val="18"/>
      <w:lang w:val="es-ES"/>
    </w:rPr>
  </w:style>
  <w:style w:type="character" w:customStyle="1" w:styleId="EndnoteTextChar">
    <w:name w:val="Endnote Text Char"/>
    <w:basedOn w:val="DefaultParagraphFont"/>
    <w:link w:val="EndnoteText"/>
    <w:semiHidden/>
    <w:rsid w:val="00236E18"/>
    <w:rPr>
      <w:rFonts w:ascii="Arial" w:eastAsia="SimSun" w:hAnsi="Arial" w:cs="Arial"/>
      <w:sz w:val="18"/>
      <w:lang w:val="es-ES" w:eastAsia="zh-CN"/>
    </w:rPr>
  </w:style>
  <w:style w:type="character" w:customStyle="1" w:styleId="FooterChar">
    <w:name w:val="Footer Char"/>
    <w:basedOn w:val="DefaultParagraphFont"/>
    <w:link w:val="Footer"/>
    <w:rsid w:val="00236E18"/>
    <w:rPr>
      <w:rFonts w:ascii="Arial" w:eastAsia="SimSun" w:hAnsi="Arial" w:cs="Arial"/>
      <w:sz w:val="22"/>
      <w:lang w:val="es-ES" w:eastAsia="zh-CN"/>
    </w:rPr>
  </w:style>
  <w:style w:type="character" w:customStyle="1" w:styleId="FootnoteTextChar">
    <w:name w:val="Footnote Text Char"/>
    <w:basedOn w:val="DefaultParagraphFont"/>
    <w:link w:val="FootnoteText"/>
    <w:rsid w:val="00236E18"/>
    <w:rPr>
      <w:rFonts w:ascii="Arial" w:eastAsia="SimSun" w:hAnsi="Arial" w:cs="Arial"/>
      <w:sz w:val="18"/>
      <w:lang w:val="es-ES" w:eastAsia="zh-CN"/>
    </w:rPr>
  </w:style>
  <w:style w:type="character" w:customStyle="1" w:styleId="HeaderChar">
    <w:name w:val="Header Char"/>
    <w:link w:val="Header"/>
    <w:rsid w:val="00236E18"/>
    <w:rPr>
      <w:rFonts w:ascii="Arial" w:eastAsia="SimSun" w:hAnsi="Arial" w:cs="Arial"/>
      <w:sz w:val="22"/>
      <w:lang w:val="es-ES" w:eastAsia="zh-CN"/>
    </w:rPr>
  </w:style>
  <w:style w:type="character" w:customStyle="1" w:styleId="SalutationChar">
    <w:name w:val="Salutation Char"/>
    <w:basedOn w:val="DefaultParagraphFont"/>
    <w:link w:val="Salutation"/>
    <w:semiHidden/>
    <w:rsid w:val="00236E18"/>
    <w:rPr>
      <w:rFonts w:ascii="Arial" w:eastAsia="SimSun" w:hAnsi="Arial" w:cs="Arial"/>
      <w:sz w:val="22"/>
      <w:lang w:val="es-ES" w:eastAsia="zh-CN"/>
    </w:rPr>
  </w:style>
  <w:style w:type="character" w:customStyle="1" w:styleId="SignatureChar">
    <w:name w:val="Signature Char"/>
    <w:basedOn w:val="DefaultParagraphFont"/>
    <w:link w:val="Signature"/>
    <w:semiHidden/>
    <w:rsid w:val="00236E18"/>
    <w:rPr>
      <w:rFonts w:ascii="Arial" w:eastAsia="SimSun" w:hAnsi="Arial" w:cs="Arial"/>
      <w:sz w:val="22"/>
      <w:lang w:val="es-ES" w:eastAsia="zh-CN"/>
    </w:rPr>
  </w:style>
  <w:style w:type="paragraph" w:styleId="BalloonText">
    <w:name w:val="Balloon Text"/>
    <w:basedOn w:val="Normal"/>
    <w:link w:val="BalloonTextChar"/>
    <w:rsid w:val="00236E18"/>
    <w:rPr>
      <w:rFonts w:ascii="Tahoma" w:hAnsi="Tahoma" w:cs="Tahoma"/>
      <w:sz w:val="16"/>
      <w:szCs w:val="16"/>
    </w:rPr>
  </w:style>
  <w:style w:type="character" w:customStyle="1" w:styleId="BalloonTextChar">
    <w:name w:val="Balloon Text Char"/>
    <w:basedOn w:val="DefaultParagraphFont"/>
    <w:link w:val="BalloonText"/>
    <w:rsid w:val="00236E18"/>
    <w:rPr>
      <w:rFonts w:ascii="Tahoma" w:eastAsia="SimSun" w:hAnsi="Tahoma" w:cs="Tahoma"/>
      <w:sz w:val="16"/>
      <w:szCs w:val="16"/>
      <w:lang w:val="es-ES" w:eastAsia="zh-CN"/>
    </w:rPr>
  </w:style>
  <w:style w:type="paragraph" w:styleId="ListParagraph">
    <w:name w:val="List Paragraph"/>
    <w:basedOn w:val="Normal"/>
    <w:uiPriority w:val="34"/>
    <w:qFormat/>
    <w:rsid w:val="00236E18"/>
    <w:pPr>
      <w:ind w:left="720"/>
      <w:contextualSpacing/>
    </w:pPr>
    <w:rPr>
      <w:rFonts w:asciiTheme="minorHAnsi" w:eastAsiaTheme="minorEastAsia" w:hAnsiTheme="minorHAnsi" w:cstheme="minorBidi"/>
      <w:szCs w:val="22"/>
      <w:lang w:val="en-US" w:eastAsia="ja-JP"/>
    </w:rPr>
  </w:style>
  <w:style w:type="paragraph" w:customStyle="1" w:styleId="StyleHeading3ComplexItalic">
    <w:name w:val="Style Heading 3 + (Complex) Italic"/>
    <w:basedOn w:val="Heading3"/>
    <w:link w:val="StyleHeading3ComplexItalicChar"/>
    <w:rsid w:val="00236E18"/>
    <w:pPr>
      <w:tabs>
        <w:tab w:val="left" w:pos="1985"/>
      </w:tabs>
      <w:spacing w:before="0" w:after="0"/>
    </w:pPr>
    <w:rPr>
      <w:rFonts w:eastAsia="Times New Roman"/>
      <w:b/>
      <w:bCs w:val="0"/>
      <w:iCs/>
      <w:caps/>
      <w:szCs w:val="22"/>
      <w:u w:val="none"/>
      <w:lang w:val="en-US" w:eastAsia="en-US"/>
    </w:rPr>
  </w:style>
  <w:style w:type="character" w:customStyle="1" w:styleId="StyleHeading3ComplexItalicChar">
    <w:name w:val="Style Heading 3 + (Complex) Italic Char"/>
    <w:link w:val="StyleHeading3ComplexItalic"/>
    <w:rsid w:val="00236E18"/>
    <w:rPr>
      <w:rFonts w:ascii="Arial" w:hAnsi="Arial" w:cs="Arial"/>
      <w:b/>
      <w:iCs/>
      <w:caps/>
      <w:sz w:val="22"/>
      <w:szCs w:val="22"/>
    </w:rPr>
  </w:style>
  <w:style w:type="paragraph" w:customStyle="1" w:styleId="Body1">
    <w:name w:val="Body 1"/>
    <w:rsid w:val="00236E18"/>
    <w:rPr>
      <w:rFonts w:ascii="Helvetica" w:eastAsia="Arial Unicode MS" w:hAnsi="Helvetica"/>
      <w:color w:val="000000"/>
      <w:sz w:val="24"/>
    </w:rPr>
  </w:style>
  <w:style w:type="character" w:styleId="FootnoteReference">
    <w:name w:val="footnote reference"/>
    <w:aliases w:val="Footnote"/>
    <w:rsid w:val="00236E18"/>
    <w:rPr>
      <w:vertAlign w:val="superscript"/>
    </w:rPr>
  </w:style>
  <w:style w:type="paragraph" w:customStyle="1" w:styleId="StyleStyleHeading3ComplexItalicLatin12pt">
    <w:name w:val="Style Style Heading 3 + (Complex) Italic + (Latin) 12 pt"/>
    <w:basedOn w:val="StyleHeading3ComplexItalic"/>
    <w:link w:val="StyleStyleHeading3ComplexItalicLatin12ptChar"/>
    <w:rsid w:val="00236E18"/>
  </w:style>
  <w:style w:type="character" w:customStyle="1" w:styleId="StyleStyleHeading3ComplexItalicLatin12ptChar">
    <w:name w:val="Style Style Heading 3 + (Complex) Italic + (Latin) 12 pt Char"/>
    <w:basedOn w:val="StyleHeading3ComplexItalicChar"/>
    <w:link w:val="StyleStyleHeading3ComplexItalicLatin12pt"/>
    <w:rsid w:val="00236E18"/>
    <w:rPr>
      <w:rFonts w:ascii="Arial" w:hAnsi="Arial" w:cs="Arial"/>
      <w:b/>
      <w:iCs/>
      <w:caps/>
      <w:sz w:val="22"/>
      <w:szCs w:val="22"/>
    </w:rPr>
  </w:style>
  <w:style w:type="paragraph" w:styleId="NormalWeb">
    <w:name w:val="Normal (Web)"/>
    <w:basedOn w:val="Normal"/>
    <w:unhideWhenUsed/>
    <w:rsid w:val="00236E18"/>
    <w:rPr>
      <w:rFonts w:ascii="Times New Roman" w:eastAsiaTheme="minorHAnsi" w:hAnsi="Times New Roman" w:cs="Times New Roman"/>
      <w:sz w:val="24"/>
      <w:szCs w:val="24"/>
      <w:lang w:val="en-US" w:eastAsia="en-US"/>
    </w:rPr>
  </w:style>
  <w:style w:type="paragraph" w:styleId="BodyTextIndent">
    <w:name w:val="Body Text Indent"/>
    <w:basedOn w:val="Normal"/>
    <w:link w:val="BodyTextIndentChar"/>
    <w:rsid w:val="00236E18"/>
    <w:pPr>
      <w:spacing w:after="120"/>
      <w:ind w:left="283"/>
    </w:pPr>
  </w:style>
  <w:style w:type="character" w:customStyle="1" w:styleId="BodyTextIndentChar">
    <w:name w:val="Body Text Indent Char"/>
    <w:basedOn w:val="DefaultParagraphFont"/>
    <w:link w:val="BodyTextIndent"/>
    <w:rsid w:val="00236E18"/>
    <w:rPr>
      <w:rFonts w:ascii="Arial" w:eastAsia="SimSun" w:hAnsi="Arial" w:cs="Arial"/>
      <w:sz w:val="22"/>
      <w:lang w:val="es-ES" w:eastAsia="zh-CN"/>
    </w:rPr>
  </w:style>
  <w:style w:type="paragraph" w:styleId="TOCHeading">
    <w:name w:val="TOC Heading"/>
    <w:basedOn w:val="Heading1"/>
    <w:next w:val="Normal"/>
    <w:uiPriority w:val="39"/>
    <w:unhideWhenUsed/>
    <w:qFormat/>
    <w:rsid w:val="00236E18"/>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 w:type="paragraph" w:styleId="TOC3">
    <w:name w:val="toc 3"/>
    <w:basedOn w:val="Normal"/>
    <w:next w:val="Normal"/>
    <w:autoRedefine/>
    <w:uiPriority w:val="39"/>
    <w:unhideWhenUsed/>
    <w:rsid w:val="00236E18"/>
    <w:pPr>
      <w:tabs>
        <w:tab w:val="left" w:pos="1843"/>
        <w:tab w:val="left" w:pos="2688"/>
        <w:tab w:val="right" w:leader="dot" w:pos="9350"/>
      </w:tabs>
      <w:spacing w:after="100" w:line="276" w:lineRule="auto"/>
      <w:ind w:left="567"/>
    </w:pPr>
    <w:rPr>
      <w:noProof/>
      <w:szCs w:val="22"/>
      <w:lang w:val="es-ES_tradnl" w:eastAsia="en-US"/>
    </w:rPr>
  </w:style>
  <w:style w:type="character" w:styleId="Hyperlink">
    <w:name w:val="Hyperlink"/>
    <w:basedOn w:val="DefaultParagraphFont"/>
    <w:uiPriority w:val="99"/>
    <w:unhideWhenUsed/>
    <w:rsid w:val="00236E18"/>
    <w:rPr>
      <w:color w:val="0000FF" w:themeColor="hyperlink"/>
      <w:u w:val="single"/>
    </w:rPr>
  </w:style>
  <w:style w:type="character" w:customStyle="1" w:styleId="CommentTextChar">
    <w:name w:val="Comment Text Char"/>
    <w:basedOn w:val="DefaultParagraphFont"/>
    <w:rsid w:val="00236E18"/>
    <w:rPr>
      <w:rFonts w:ascii="Arial" w:eastAsia="SimSun" w:hAnsi="Arial" w:cs="Arial"/>
      <w:sz w:val="18"/>
      <w:lang w:val="es-ES" w:eastAsia="zh-CN"/>
    </w:rPr>
  </w:style>
  <w:style w:type="paragraph" w:customStyle="1" w:styleId="p1">
    <w:name w:val="p1"/>
    <w:basedOn w:val="Normal"/>
    <w:rsid w:val="00236E18"/>
    <w:pPr>
      <w:suppressAutoHyphens/>
    </w:pPr>
    <w:rPr>
      <w:rFonts w:ascii="Times New Roman" w:eastAsia="Calibri" w:hAnsi="Times New Roman" w:cs="Times New Roman"/>
      <w:sz w:val="24"/>
      <w:szCs w:val="24"/>
      <w:lang w:val="en-US" w:eastAsia="ar-SA"/>
    </w:rPr>
  </w:style>
  <w:style w:type="paragraph" w:customStyle="1" w:styleId="p2">
    <w:name w:val="p2"/>
    <w:basedOn w:val="Normal"/>
    <w:rsid w:val="00236E18"/>
    <w:pPr>
      <w:suppressAutoHyphens/>
    </w:pPr>
    <w:rPr>
      <w:rFonts w:ascii="Times New Roman" w:eastAsia="Calibri" w:hAnsi="Times New Roman" w:cs="Times New Roman"/>
      <w:sz w:val="24"/>
      <w:szCs w:val="24"/>
      <w:lang w:val="en-US" w:eastAsia="ar-SA"/>
    </w:rPr>
  </w:style>
  <w:style w:type="paragraph" w:customStyle="1" w:styleId="Default">
    <w:name w:val="Default"/>
    <w:basedOn w:val="Normal"/>
    <w:rsid w:val="00236E18"/>
    <w:pPr>
      <w:autoSpaceDE w:val="0"/>
      <w:autoSpaceDN w:val="0"/>
    </w:pPr>
    <w:rPr>
      <w:rFonts w:eastAsiaTheme="minorHAnsi"/>
      <w:color w:val="000000"/>
      <w:sz w:val="24"/>
      <w:szCs w:val="24"/>
      <w:lang w:val="en-US" w:eastAsia="en-US"/>
    </w:rPr>
  </w:style>
  <w:style w:type="character" w:styleId="PageNumber">
    <w:name w:val="page number"/>
    <w:basedOn w:val="DefaultParagraphFont"/>
    <w:rsid w:val="00236E18"/>
  </w:style>
  <w:style w:type="paragraph" w:styleId="BodyText2">
    <w:name w:val="Body Text 2"/>
    <w:basedOn w:val="Normal"/>
    <w:link w:val="BodyText2Char"/>
    <w:rsid w:val="00236E18"/>
    <w:pPr>
      <w:spacing w:after="120" w:line="480" w:lineRule="auto"/>
    </w:pPr>
    <w:rPr>
      <w:rFonts w:ascii="Times New Roman" w:eastAsia="MS Mincho" w:hAnsi="Times New Roman" w:cs="Times New Roman"/>
      <w:sz w:val="24"/>
      <w:szCs w:val="24"/>
      <w:lang w:val="en-US" w:eastAsia="en-US"/>
    </w:rPr>
  </w:style>
  <w:style w:type="character" w:customStyle="1" w:styleId="BodyText2Char">
    <w:name w:val="Body Text 2 Char"/>
    <w:basedOn w:val="DefaultParagraphFont"/>
    <w:link w:val="BodyText2"/>
    <w:rsid w:val="00236E18"/>
    <w:rPr>
      <w:rFonts w:eastAsia="MS Mincho"/>
      <w:sz w:val="24"/>
      <w:szCs w:val="24"/>
    </w:rPr>
  </w:style>
  <w:style w:type="paragraph" w:styleId="PlainText">
    <w:name w:val="Plain Text"/>
    <w:basedOn w:val="Normal"/>
    <w:link w:val="PlainTextChar"/>
    <w:uiPriority w:val="99"/>
    <w:rsid w:val="00236E18"/>
    <w:rPr>
      <w:rFonts w:ascii="Courier New" w:hAnsi="Courier New" w:cs="Courier New"/>
      <w:color w:val="0000FF"/>
      <w:sz w:val="20"/>
      <w:lang w:val="en-US"/>
    </w:rPr>
  </w:style>
  <w:style w:type="character" w:customStyle="1" w:styleId="PlainTextChar">
    <w:name w:val="Plain Text Char"/>
    <w:basedOn w:val="DefaultParagraphFont"/>
    <w:link w:val="PlainText"/>
    <w:uiPriority w:val="99"/>
    <w:rsid w:val="00236E18"/>
    <w:rPr>
      <w:rFonts w:ascii="Courier New" w:eastAsia="SimSun" w:hAnsi="Courier New" w:cs="Courier New"/>
      <w:color w:val="0000FF"/>
      <w:lang w:eastAsia="zh-CN"/>
    </w:rPr>
  </w:style>
  <w:style w:type="table" w:styleId="TableGrid">
    <w:name w:val="Table Grid"/>
    <w:basedOn w:val="TableNormal"/>
    <w:rsid w:val="00236E1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236E18"/>
    <w:pPr>
      <w:ind w:left="4536"/>
      <w:jc w:val="center"/>
    </w:pPr>
    <w:rPr>
      <w:rFonts w:ascii="Times New Roman" w:eastAsia="Times New Roman" w:hAnsi="Times New Roman" w:cs="Times New Roman"/>
      <w:sz w:val="24"/>
      <w:lang w:val="en-US" w:eastAsia="en-US"/>
    </w:rPr>
  </w:style>
  <w:style w:type="paragraph" w:styleId="TOC1">
    <w:name w:val="toc 1"/>
    <w:basedOn w:val="Normal"/>
    <w:next w:val="Normal"/>
    <w:autoRedefine/>
    <w:uiPriority w:val="39"/>
    <w:rsid w:val="00236E18"/>
    <w:pPr>
      <w:tabs>
        <w:tab w:val="left" w:pos="567"/>
        <w:tab w:val="right" w:leader="dot" w:pos="9345"/>
      </w:tabs>
      <w:spacing w:after="100"/>
    </w:pPr>
    <w:rPr>
      <w:b/>
      <w:noProof/>
      <w:szCs w:val="22"/>
    </w:rPr>
  </w:style>
  <w:style w:type="paragraph" w:customStyle="1" w:styleId="Body">
    <w:name w:val="Body"/>
    <w:rsid w:val="00236E18"/>
    <w:rPr>
      <w:rFonts w:ascii="Helvetica" w:eastAsia="ヒラギノ角ゴ Pro W3" w:hAnsi="Helvetica" w:cs="Angsana New"/>
      <w:color w:val="000000"/>
      <w:sz w:val="24"/>
      <w:lang w:bidi="th-TH"/>
    </w:rPr>
  </w:style>
  <w:style w:type="character" w:styleId="CommentReference">
    <w:name w:val="annotation reference"/>
    <w:basedOn w:val="DefaultParagraphFont"/>
    <w:unhideWhenUsed/>
    <w:rsid w:val="00236E18"/>
    <w:rPr>
      <w:sz w:val="16"/>
      <w:szCs w:val="16"/>
    </w:rPr>
  </w:style>
  <w:style w:type="paragraph" w:styleId="CommentSubject">
    <w:name w:val="annotation subject"/>
    <w:basedOn w:val="CommentText"/>
    <w:next w:val="CommentText"/>
    <w:link w:val="CommentSubjectChar"/>
    <w:unhideWhenUsed/>
    <w:rsid w:val="00236E18"/>
    <w:rPr>
      <w:rFonts w:asciiTheme="minorHAnsi" w:eastAsiaTheme="minorEastAsia" w:hAnsiTheme="minorHAnsi" w:cstheme="minorBidi"/>
      <w:b/>
      <w:bCs/>
      <w:sz w:val="20"/>
      <w:szCs w:val="22"/>
      <w:lang w:val="en-US" w:eastAsia="ja-JP"/>
    </w:rPr>
  </w:style>
  <w:style w:type="character" w:customStyle="1" w:styleId="CommentTextChar2">
    <w:name w:val="Comment Text Char2"/>
    <w:basedOn w:val="DefaultParagraphFont"/>
    <w:link w:val="CommentText"/>
    <w:rsid w:val="00236E18"/>
    <w:rPr>
      <w:rFonts w:ascii="Arial" w:eastAsia="SimSun" w:hAnsi="Arial" w:cs="Arial"/>
      <w:sz w:val="18"/>
      <w:lang w:val="es-ES" w:eastAsia="zh-CN"/>
    </w:rPr>
  </w:style>
  <w:style w:type="character" w:customStyle="1" w:styleId="CommentSubjectChar">
    <w:name w:val="Comment Subject Char"/>
    <w:basedOn w:val="CommentTextChar2"/>
    <w:link w:val="CommentSubject"/>
    <w:rsid w:val="00236E18"/>
    <w:rPr>
      <w:rFonts w:asciiTheme="minorHAnsi" w:eastAsiaTheme="minorEastAsia" w:hAnsiTheme="minorHAnsi" w:cstheme="minorBidi"/>
      <w:b/>
      <w:bCs/>
      <w:sz w:val="18"/>
      <w:szCs w:val="22"/>
      <w:lang w:val="es-ES" w:eastAsia="ja-JP"/>
    </w:rPr>
  </w:style>
  <w:style w:type="paragraph" w:customStyle="1" w:styleId="StyleHeading214ptAuto">
    <w:name w:val="Style Heading 2 + 14 pt Auto"/>
    <w:basedOn w:val="Heading2"/>
    <w:rsid w:val="00236E18"/>
    <w:pPr>
      <w:keepNext w:val="0"/>
      <w:widowControl w:val="0"/>
      <w:tabs>
        <w:tab w:val="num" w:pos="567"/>
      </w:tabs>
      <w:spacing w:before="0" w:after="0" w:line="300" w:lineRule="atLeast"/>
      <w:ind w:left="567" w:hanging="567"/>
      <w:jc w:val="center"/>
    </w:pPr>
    <w:rPr>
      <w:rFonts w:ascii="Arial Bold" w:eastAsia="Times New Roman" w:hAnsi="Arial Bold" w:cstheme="minorBidi"/>
      <w:b/>
      <w:sz w:val="24"/>
      <w:lang w:val="en-GB" w:eastAsia="da-DK"/>
    </w:rPr>
  </w:style>
  <w:style w:type="paragraph" w:styleId="TOC2">
    <w:name w:val="toc 2"/>
    <w:basedOn w:val="Normal"/>
    <w:next w:val="Normal"/>
    <w:autoRedefine/>
    <w:uiPriority w:val="39"/>
    <w:unhideWhenUsed/>
    <w:rsid w:val="00236E18"/>
    <w:pPr>
      <w:tabs>
        <w:tab w:val="left" w:pos="9072"/>
      </w:tabs>
      <w:spacing w:after="120"/>
      <w:ind w:left="221"/>
    </w:pPr>
    <w:rPr>
      <w:rFonts w:eastAsiaTheme="minorEastAsia" w:cstheme="minorBidi"/>
      <w:caps/>
      <w:noProof/>
      <w:sz w:val="20"/>
      <w:szCs w:val="22"/>
      <w:lang w:val="en-US" w:eastAsia="ja-JP"/>
    </w:rPr>
  </w:style>
  <w:style w:type="paragraph" w:styleId="BlockText">
    <w:name w:val="Block Text"/>
    <w:basedOn w:val="Normal"/>
    <w:rsid w:val="00236E18"/>
    <w:pPr>
      <w:tabs>
        <w:tab w:val="left" w:pos="2127"/>
      </w:tabs>
      <w:spacing w:after="40"/>
      <w:ind w:left="2127" w:right="896" w:hanging="2127"/>
    </w:pPr>
    <w:rPr>
      <w:rFonts w:ascii="Times New Roman" w:eastAsia="Times New Roman" w:hAnsi="Times New Roman" w:cs="Times New Roman"/>
      <w:sz w:val="24"/>
      <w:lang w:val="en-US" w:eastAsia="en-US"/>
    </w:rPr>
  </w:style>
  <w:style w:type="paragraph" w:customStyle="1" w:styleId="zanxtext">
    <w:name w:val="zanxtext"/>
    <w:basedOn w:val="Normal"/>
    <w:rsid w:val="00236E18"/>
    <w:pPr>
      <w:spacing w:before="120"/>
    </w:pPr>
    <w:rPr>
      <w:rFonts w:ascii="Times New Roman" w:eastAsia="Times New Roman" w:hAnsi="Times New Roman" w:cs="Times New Roman"/>
      <w:sz w:val="24"/>
      <w:lang w:val="en-US" w:eastAsia="en-US"/>
    </w:rPr>
  </w:style>
  <w:style w:type="paragraph" w:customStyle="1" w:styleId="CharCharCharChar">
    <w:name w:val="Char Char Char Char"/>
    <w:basedOn w:val="Normal"/>
    <w:rsid w:val="00236E18"/>
    <w:pPr>
      <w:spacing w:after="160" w:line="240" w:lineRule="exact"/>
    </w:pPr>
    <w:rPr>
      <w:rFonts w:ascii="Verdana" w:eastAsia="Times New Roman" w:hAnsi="Verdana" w:cs="Times New Roman"/>
      <w:sz w:val="20"/>
      <w:lang w:val="en-GB" w:eastAsia="en-US"/>
    </w:rPr>
  </w:style>
  <w:style w:type="character" w:customStyle="1" w:styleId="hps">
    <w:name w:val="hps"/>
    <w:basedOn w:val="DefaultParagraphFont"/>
    <w:rsid w:val="00236E18"/>
  </w:style>
  <w:style w:type="paragraph" w:customStyle="1" w:styleId="1">
    <w:name w:val="1"/>
    <w:basedOn w:val="Normal"/>
    <w:rsid w:val="00236E18"/>
    <w:pPr>
      <w:spacing w:after="160" w:line="240" w:lineRule="exact"/>
    </w:pPr>
    <w:rPr>
      <w:rFonts w:ascii="Verdana" w:eastAsia="Times New Roman" w:hAnsi="Verdana" w:cs="Times New Roman"/>
      <w:sz w:val="20"/>
      <w:lang w:val="en-GB" w:eastAsia="en-US"/>
    </w:rPr>
  </w:style>
  <w:style w:type="paragraph" w:customStyle="1" w:styleId="NormalArial">
    <w:name w:val="Normal + Arial"/>
    <w:aliases w:val="10 pt"/>
    <w:basedOn w:val="ListParagraph"/>
    <w:rsid w:val="00236E18"/>
    <w:pPr>
      <w:ind w:left="-28"/>
      <w:contextualSpacing w:val="0"/>
    </w:pPr>
    <w:rPr>
      <w:rFonts w:ascii="Arial" w:eastAsia="MS Mincho" w:hAnsi="Arial" w:cs="Arial"/>
      <w:bCs/>
      <w:sz w:val="20"/>
      <w:szCs w:val="20"/>
    </w:rPr>
  </w:style>
  <w:style w:type="paragraph" w:customStyle="1" w:styleId="Normal6">
    <w:name w:val="Normal+6"/>
    <w:basedOn w:val="Normal"/>
    <w:next w:val="Normal"/>
    <w:rsid w:val="00236E18"/>
    <w:pPr>
      <w:autoSpaceDE w:val="0"/>
      <w:autoSpaceDN w:val="0"/>
      <w:adjustRightInd w:val="0"/>
    </w:pPr>
    <w:rPr>
      <w:rFonts w:eastAsia="Times New Roman" w:cs="Times New Roman"/>
      <w:sz w:val="24"/>
      <w:szCs w:val="24"/>
      <w:lang w:val="en-US" w:eastAsia="en-US"/>
    </w:rPr>
  </w:style>
  <w:style w:type="character" w:customStyle="1" w:styleId="paracolourtext1">
    <w:name w:val="paracolourtext1"/>
    <w:rsid w:val="00236E18"/>
    <w:rPr>
      <w:b w:val="0"/>
      <w:bCs w:val="0"/>
      <w:i w:val="0"/>
      <w:iCs w:val="0"/>
      <w:color w:val="800000"/>
      <w:sz w:val="20"/>
      <w:szCs w:val="20"/>
    </w:rPr>
  </w:style>
  <w:style w:type="paragraph" w:customStyle="1" w:styleId="tes1">
    <w:name w:val="tes1"/>
    <w:basedOn w:val="Normal"/>
    <w:rsid w:val="00236E18"/>
    <w:pPr>
      <w:suppressAutoHyphens/>
      <w:ind w:left="1134" w:right="2195"/>
      <w:jc w:val="both"/>
    </w:pPr>
    <w:rPr>
      <w:rFonts w:ascii="Times New Roman" w:eastAsia="Times New Roman" w:hAnsi="Times New Roman" w:cs="Times New Roman"/>
      <w:b/>
      <w:spacing w:val="4"/>
      <w:w w:val="103"/>
      <w:kern w:val="14"/>
      <w:sz w:val="20"/>
      <w:lang w:val="en-GB" w:eastAsia="en-US"/>
    </w:rPr>
  </w:style>
  <w:style w:type="paragraph" w:customStyle="1" w:styleId="Style10">
    <w:name w:val="Style10"/>
    <w:basedOn w:val="Normal"/>
    <w:autoRedefine/>
    <w:rsid w:val="00236E18"/>
    <w:pPr>
      <w:tabs>
        <w:tab w:val="left" w:pos="340"/>
        <w:tab w:val="left" w:pos="680"/>
        <w:tab w:val="left" w:pos="1021"/>
        <w:tab w:val="left" w:pos="1361"/>
      </w:tabs>
      <w:suppressAutoHyphens/>
      <w:jc w:val="both"/>
    </w:pPr>
    <w:rPr>
      <w:rFonts w:ascii="Times New Roman" w:eastAsia="Times New Roman" w:hAnsi="Times New Roman" w:cs="Times New Roman"/>
      <w:snapToGrid w:val="0"/>
      <w:sz w:val="20"/>
      <w:lang w:val="en-US" w:eastAsia="en-US"/>
    </w:rPr>
  </w:style>
  <w:style w:type="paragraph" w:customStyle="1" w:styleId="Style11">
    <w:name w:val="Style11"/>
    <w:basedOn w:val="FootnoteText"/>
    <w:autoRedefine/>
    <w:rsid w:val="00236E18"/>
    <w:pPr>
      <w:suppressAutoHyphens/>
      <w:ind w:firstLine="340"/>
      <w:jc w:val="both"/>
    </w:pPr>
    <w:rPr>
      <w:rFonts w:ascii="Times New Roman" w:eastAsiaTheme="minorEastAsia" w:hAnsi="Times New Roman" w:cs="Times New Roman"/>
      <w:snapToGrid w:val="0"/>
      <w:sz w:val="16"/>
      <w:szCs w:val="22"/>
      <w:lang w:val="en-US" w:eastAsia="ja-JP"/>
    </w:rPr>
  </w:style>
  <w:style w:type="paragraph" w:styleId="Title">
    <w:name w:val="Title"/>
    <w:basedOn w:val="Normal"/>
    <w:link w:val="TitleChar"/>
    <w:qFormat/>
    <w:rsid w:val="00236E18"/>
    <w:pPr>
      <w:jc w:val="center"/>
    </w:pPr>
    <w:rPr>
      <w:rFonts w:ascii="Times New Roman" w:eastAsia="Times New Roman" w:hAnsi="Times New Roman" w:cs="Times New Roman"/>
      <w:b/>
      <w:sz w:val="24"/>
      <w:lang w:val="en-US" w:eastAsia="en-US"/>
    </w:rPr>
  </w:style>
  <w:style w:type="character" w:customStyle="1" w:styleId="TitleChar">
    <w:name w:val="Title Char"/>
    <w:basedOn w:val="DefaultParagraphFont"/>
    <w:link w:val="Title"/>
    <w:rsid w:val="00236E18"/>
    <w:rPr>
      <w:b/>
      <w:sz w:val="24"/>
    </w:rPr>
  </w:style>
  <w:style w:type="paragraph" w:styleId="Subtitle">
    <w:name w:val="Subtitle"/>
    <w:basedOn w:val="Normal"/>
    <w:link w:val="SubtitleChar"/>
    <w:qFormat/>
    <w:rsid w:val="00236E18"/>
    <w:pPr>
      <w:jc w:val="center"/>
    </w:pPr>
    <w:rPr>
      <w:rFonts w:ascii="Times New Roman" w:eastAsia="Times New Roman" w:hAnsi="Times New Roman" w:cs="Times New Roman"/>
      <w:b/>
      <w:caps/>
      <w:color w:val="0000FF"/>
      <w:sz w:val="28"/>
      <w:lang w:val="en-US" w:eastAsia="en-US"/>
    </w:rPr>
  </w:style>
  <w:style w:type="character" w:customStyle="1" w:styleId="SubtitleChar">
    <w:name w:val="Subtitle Char"/>
    <w:basedOn w:val="DefaultParagraphFont"/>
    <w:link w:val="Subtitle"/>
    <w:rsid w:val="00236E18"/>
    <w:rPr>
      <w:b/>
      <w:caps/>
      <w:color w:val="0000FF"/>
      <w:sz w:val="28"/>
    </w:rPr>
  </w:style>
  <w:style w:type="paragraph" w:styleId="BodyTextIndent2">
    <w:name w:val="Body Text Indent 2"/>
    <w:basedOn w:val="Normal"/>
    <w:link w:val="BodyTextIndent2Char"/>
    <w:rsid w:val="00236E18"/>
    <w:pPr>
      <w:tabs>
        <w:tab w:val="left" w:pos="714"/>
      </w:tabs>
      <w:spacing w:after="100"/>
      <w:ind w:hanging="6"/>
      <w:jc w:val="both"/>
    </w:pPr>
    <w:rPr>
      <w:rFonts w:eastAsia="Times New Roman" w:cs="Times New Roman"/>
      <w:snapToGrid w:val="0"/>
      <w:color w:val="000000"/>
      <w:sz w:val="20"/>
      <w:lang w:val="en-US" w:eastAsia="en-US"/>
    </w:rPr>
  </w:style>
  <w:style w:type="character" w:customStyle="1" w:styleId="BodyTextIndent2Char">
    <w:name w:val="Body Text Indent 2 Char"/>
    <w:basedOn w:val="DefaultParagraphFont"/>
    <w:link w:val="BodyTextIndent2"/>
    <w:rsid w:val="00236E18"/>
    <w:rPr>
      <w:rFonts w:ascii="Arial" w:hAnsi="Arial"/>
      <w:snapToGrid w:val="0"/>
      <w:color w:val="000000"/>
    </w:rPr>
  </w:style>
  <w:style w:type="paragraph" w:customStyle="1" w:styleId="3029-Titrechapitre">
    <w:name w:val="3029-Titre chapitre"/>
    <w:basedOn w:val="Heading1"/>
    <w:rsid w:val="00236E18"/>
    <w:pPr>
      <w:spacing w:before="0" w:after="0"/>
    </w:pPr>
    <w:rPr>
      <w:rFonts w:ascii="Arial Black" w:eastAsia="Times" w:hAnsi="Arial Black" w:cs="Times New Roman"/>
      <w:b w:val="0"/>
      <w:bCs w:val="0"/>
      <w:caps w:val="0"/>
      <w:color w:val="000080"/>
      <w:kern w:val="0"/>
      <w:sz w:val="30"/>
      <w:szCs w:val="20"/>
      <w:lang w:val="fr-FR" w:eastAsia="ja-JP"/>
    </w:rPr>
  </w:style>
  <w:style w:type="character" w:customStyle="1" w:styleId="underline">
    <w:name w:val="underline"/>
    <w:rsid w:val="00236E18"/>
    <w:rPr>
      <w:u w:val="single"/>
    </w:rPr>
  </w:style>
  <w:style w:type="paragraph" w:customStyle="1" w:styleId="zanxhead">
    <w:name w:val="zanxhead"/>
    <w:basedOn w:val="Normal"/>
    <w:rsid w:val="00236E18"/>
    <w:pPr>
      <w:spacing w:before="200"/>
    </w:pPr>
    <w:rPr>
      <w:rFonts w:ascii="Times New Roman" w:eastAsia="Times New Roman" w:hAnsi="Times New Roman" w:cs="Times New Roman"/>
      <w:b/>
      <w:color w:val="0000FF"/>
      <w:sz w:val="24"/>
      <w:lang w:val="en-US" w:eastAsia="en-US"/>
    </w:rPr>
  </w:style>
  <w:style w:type="character" w:styleId="Emphasis">
    <w:name w:val="Emphasis"/>
    <w:uiPriority w:val="20"/>
    <w:qFormat/>
    <w:rsid w:val="00236E18"/>
    <w:rPr>
      <w:i/>
      <w:iCs/>
    </w:rPr>
  </w:style>
  <w:style w:type="character" w:styleId="Strong">
    <w:name w:val="Strong"/>
    <w:qFormat/>
    <w:rsid w:val="00236E18"/>
    <w:rPr>
      <w:b/>
      <w:bCs/>
    </w:rPr>
  </w:style>
  <w:style w:type="paragraph" w:customStyle="1" w:styleId="preparedby">
    <w:name w:val="prepared by"/>
    <w:basedOn w:val="Normal"/>
    <w:next w:val="Normal"/>
    <w:rsid w:val="00236E18"/>
    <w:pPr>
      <w:spacing w:before="120" w:after="480" w:line="260" w:lineRule="atLeast"/>
      <w:ind w:left="1021"/>
      <w:contextualSpacing/>
    </w:pPr>
    <w:rPr>
      <w:rFonts w:eastAsia="Times New Roman" w:cs="Times New Roman"/>
      <w:i/>
      <w:sz w:val="20"/>
      <w:lang w:val="en-US" w:eastAsia="en-US"/>
    </w:rPr>
  </w:style>
  <w:style w:type="paragraph" w:customStyle="1" w:styleId="Documenttitle">
    <w:name w:val="Document title"/>
    <w:basedOn w:val="Normal"/>
    <w:next w:val="preparedby"/>
    <w:rsid w:val="00236E18"/>
    <w:pPr>
      <w:spacing w:before="840" w:line="336" w:lineRule="exact"/>
      <w:ind w:left="1021"/>
      <w:contextualSpacing/>
    </w:pPr>
    <w:rPr>
      <w:rFonts w:eastAsia="Times New Roman" w:cs="Times New Roman"/>
      <w:sz w:val="24"/>
      <w:lang w:val="en-US" w:eastAsia="en-US"/>
    </w:rPr>
  </w:style>
  <w:style w:type="paragraph" w:customStyle="1" w:styleId="MeetinglanguageDate">
    <w:name w:val="Meeting language &amp; Date"/>
    <w:basedOn w:val="Normal"/>
    <w:next w:val="Meetingtitle"/>
    <w:rsid w:val="00236E18"/>
    <w:pPr>
      <w:spacing w:after="168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236E18"/>
    <w:pPr>
      <w:spacing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236E18"/>
    <w:pPr>
      <w:spacing w:before="480"/>
      <w:contextualSpacing/>
    </w:pPr>
    <w:rPr>
      <w:sz w:val="24"/>
    </w:rPr>
  </w:style>
  <w:style w:type="paragraph" w:customStyle="1" w:styleId="Meetingplacedate">
    <w:name w:val="Meeting place &amp; date"/>
    <w:basedOn w:val="Sessiontitle"/>
    <w:next w:val="Documenttitle"/>
    <w:rsid w:val="00236E18"/>
    <w:pPr>
      <w:spacing w:before="0"/>
      <w:contextualSpacing w:val="0"/>
    </w:pPr>
  </w:style>
  <w:style w:type="paragraph" w:customStyle="1" w:styleId="Language">
    <w:name w:val="Language"/>
    <w:basedOn w:val="Normal"/>
    <w:next w:val="Normal"/>
    <w:rsid w:val="00236E18"/>
    <w:pPr>
      <w:spacing w:after="120" w:line="340" w:lineRule="atLeast"/>
      <w:ind w:left="1021"/>
      <w:contextualSpacing/>
      <w:jc w:val="right"/>
    </w:pPr>
    <w:rPr>
      <w:rFonts w:eastAsia="Times New Roman" w:cs="Times New Roman"/>
      <w:b/>
      <w:caps/>
      <w:sz w:val="40"/>
      <w:lang w:val="en-US" w:eastAsia="en-US"/>
    </w:rPr>
  </w:style>
  <w:style w:type="paragraph" w:customStyle="1" w:styleId="MeetingCode">
    <w:name w:val="Meeting Code"/>
    <w:basedOn w:val="MeetinglanguageDate"/>
    <w:rsid w:val="00236E18"/>
    <w:pPr>
      <w:spacing w:before="1800" w:after="0"/>
    </w:pPr>
  </w:style>
  <w:style w:type="paragraph" w:customStyle="1" w:styleId="CarCarCar">
    <w:name w:val="Car Car Car"/>
    <w:basedOn w:val="Normal"/>
    <w:rsid w:val="00236E18"/>
    <w:pPr>
      <w:spacing w:after="160" w:line="240" w:lineRule="exact"/>
    </w:pPr>
    <w:rPr>
      <w:rFonts w:ascii="Verdana" w:eastAsia="PMingLiU" w:hAnsi="Verdana" w:cs="Times New Roman"/>
      <w:sz w:val="20"/>
      <w:lang w:val="en-US" w:eastAsia="en-US"/>
    </w:rPr>
  </w:style>
  <w:style w:type="paragraph" w:customStyle="1" w:styleId="Paragraphedeliste">
    <w:name w:val="Paragraphe de liste"/>
    <w:autoRedefine/>
    <w:rsid w:val="00236E18"/>
    <w:pPr>
      <w:spacing w:after="200" w:line="276" w:lineRule="auto"/>
      <w:ind w:left="720"/>
    </w:pPr>
    <w:rPr>
      <w:rFonts w:ascii="Lucida Grande" w:eastAsia="ヒラギノ角ゴ Pro W3" w:hAnsi="Lucida Grande"/>
      <w:color w:val="000000"/>
      <w:sz w:val="22"/>
      <w:lang w:val="en-GB"/>
    </w:rPr>
  </w:style>
  <w:style w:type="character" w:styleId="FollowedHyperlink">
    <w:name w:val="FollowedHyperlink"/>
    <w:rsid w:val="00236E18"/>
    <w:rPr>
      <w:color w:val="606420"/>
      <w:u w:val="single"/>
    </w:rPr>
  </w:style>
  <w:style w:type="character" w:customStyle="1" w:styleId="st">
    <w:name w:val="st"/>
    <w:basedOn w:val="DefaultParagraphFont"/>
    <w:rsid w:val="00236E18"/>
  </w:style>
  <w:style w:type="character" w:styleId="EndnoteReference">
    <w:name w:val="endnote reference"/>
    <w:basedOn w:val="DefaultParagraphFont"/>
    <w:rsid w:val="00236E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179724">
      <w:bodyDiv w:val="1"/>
      <w:marLeft w:val="0"/>
      <w:marRight w:val="0"/>
      <w:marTop w:val="0"/>
      <w:marBottom w:val="0"/>
      <w:divBdr>
        <w:top w:val="none" w:sz="0" w:space="0" w:color="auto"/>
        <w:left w:val="none" w:sz="0" w:space="0" w:color="auto"/>
        <w:bottom w:val="none" w:sz="0" w:space="0" w:color="auto"/>
        <w:right w:val="none" w:sz="0" w:space="0" w:color="auto"/>
      </w:divBdr>
    </w:div>
    <w:div w:id="197998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40.emf"/><Relationship Id="rId299" Type="http://schemas.openxmlformats.org/officeDocument/2006/relationships/image" Target="media/image170.emf"/><Relationship Id="rId303" Type="http://schemas.openxmlformats.org/officeDocument/2006/relationships/image" Target="media/image174.emf"/><Relationship Id="rId21" Type="http://schemas.openxmlformats.org/officeDocument/2006/relationships/footer" Target="footer3.xml"/><Relationship Id="rId42" Type="http://schemas.openxmlformats.org/officeDocument/2006/relationships/image" Target="media/image16.emf"/><Relationship Id="rId63" Type="http://schemas.openxmlformats.org/officeDocument/2006/relationships/diagramColors" Target="diagrams/colors5.xml"/><Relationship Id="rId84" Type="http://schemas.openxmlformats.org/officeDocument/2006/relationships/diagramColors" Target="diagrams/colors8.xml"/><Relationship Id="rId138" Type="http://schemas.microsoft.com/office/2007/relationships/diagramDrawing" Target="diagrams/drawing15.xml"/><Relationship Id="rId159" Type="http://schemas.openxmlformats.org/officeDocument/2006/relationships/diagramColors" Target="diagrams/colors18.xml"/><Relationship Id="rId324" Type="http://schemas.openxmlformats.org/officeDocument/2006/relationships/footer" Target="footer9.xml"/><Relationship Id="rId170" Type="http://schemas.openxmlformats.org/officeDocument/2006/relationships/image" Target="media/image58.emf"/><Relationship Id="rId191" Type="http://schemas.openxmlformats.org/officeDocument/2006/relationships/image" Target="media/image69.emf"/><Relationship Id="rId205" Type="http://schemas.openxmlformats.org/officeDocument/2006/relationships/image" Target="media/image83.emf"/><Relationship Id="rId226" Type="http://schemas.openxmlformats.org/officeDocument/2006/relationships/image" Target="media/image98.emf"/><Relationship Id="rId247" Type="http://schemas.openxmlformats.org/officeDocument/2006/relationships/image" Target="media/image119.emf"/><Relationship Id="rId107" Type="http://schemas.openxmlformats.org/officeDocument/2006/relationships/diagramQuickStyle" Target="diagrams/quickStyle11.xml"/><Relationship Id="rId268" Type="http://schemas.openxmlformats.org/officeDocument/2006/relationships/image" Target="media/image139.png"/><Relationship Id="rId289" Type="http://schemas.openxmlformats.org/officeDocument/2006/relationships/image" Target="media/image160.emf"/><Relationship Id="rId11" Type="http://schemas.openxmlformats.org/officeDocument/2006/relationships/footer" Target="footer1.xml"/><Relationship Id="rId32" Type="http://schemas.openxmlformats.org/officeDocument/2006/relationships/diagramQuickStyle" Target="diagrams/quickStyle1.xml"/><Relationship Id="rId53" Type="http://schemas.openxmlformats.org/officeDocument/2006/relationships/diagramLayout" Target="diagrams/layout4.xml"/><Relationship Id="rId74" Type="http://schemas.openxmlformats.org/officeDocument/2006/relationships/diagramData" Target="diagrams/data7.xml"/><Relationship Id="rId128" Type="http://schemas.openxmlformats.org/officeDocument/2006/relationships/diagramLayout" Target="diagrams/layout14.xml"/><Relationship Id="rId149" Type="http://schemas.openxmlformats.org/officeDocument/2006/relationships/diagramData" Target="diagrams/data17.xml"/><Relationship Id="rId314" Type="http://schemas.openxmlformats.org/officeDocument/2006/relationships/image" Target="media/image181.emf"/><Relationship Id="rId335" Type="http://schemas.openxmlformats.org/officeDocument/2006/relationships/header" Target="header15.xml"/><Relationship Id="rId5" Type="http://schemas.openxmlformats.org/officeDocument/2006/relationships/webSettings" Target="webSettings.xml"/><Relationship Id="rId95" Type="http://schemas.openxmlformats.org/officeDocument/2006/relationships/image" Target="media/image33.emf"/><Relationship Id="rId160" Type="http://schemas.microsoft.com/office/2007/relationships/diagramDrawing" Target="diagrams/drawing18.xml"/><Relationship Id="rId181" Type="http://schemas.openxmlformats.org/officeDocument/2006/relationships/diagramLayout" Target="diagrams/layout21.xml"/><Relationship Id="rId216" Type="http://schemas.openxmlformats.org/officeDocument/2006/relationships/image" Target="media/image88.emf"/><Relationship Id="rId237" Type="http://schemas.openxmlformats.org/officeDocument/2006/relationships/image" Target="media/image109.emf"/><Relationship Id="rId258" Type="http://schemas.openxmlformats.org/officeDocument/2006/relationships/image" Target="media/image130.png"/><Relationship Id="rId279" Type="http://schemas.openxmlformats.org/officeDocument/2006/relationships/image" Target="media/image150.emf"/><Relationship Id="rId22" Type="http://schemas.openxmlformats.org/officeDocument/2006/relationships/header" Target="header5.xml"/><Relationship Id="rId43" Type="http://schemas.openxmlformats.org/officeDocument/2006/relationships/image" Target="media/image17.emf"/><Relationship Id="rId64" Type="http://schemas.microsoft.com/office/2007/relationships/diagramDrawing" Target="diagrams/drawing5.xml"/><Relationship Id="rId118" Type="http://schemas.openxmlformats.org/officeDocument/2006/relationships/image" Target="media/image41.emf"/><Relationship Id="rId139" Type="http://schemas.openxmlformats.org/officeDocument/2006/relationships/image" Target="media/image47.emf"/><Relationship Id="rId290" Type="http://schemas.openxmlformats.org/officeDocument/2006/relationships/image" Target="media/image161.emf"/><Relationship Id="rId304" Type="http://schemas.openxmlformats.org/officeDocument/2006/relationships/header" Target="header11.xml"/><Relationship Id="rId325" Type="http://schemas.openxmlformats.org/officeDocument/2006/relationships/footer" Target="footer10.xml"/><Relationship Id="rId85" Type="http://schemas.microsoft.com/office/2007/relationships/diagramDrawing" Target="diagrams/drawing8.xml"/><Relationship Id="rId150" Type="http://schemas.openxmlformats.org/officeDocument/2006/relationships/diagramLayout" Target="diagrams/layout17.xml"/><Relationship Id="rId171" Type="http://schemas.openxmlformats.org/officeDocument/2006/relationships/diagramData" Target="diagrams/data20.xml"/><Relationship Id="rId192" Type="http://schemas.openxmlformats.org/officeDocument/2006/relationships/image" Target="media/image70.emf"/><Relationship Id="rId206" Type="http://schemas.openxmlformats.org/officeDocument/2006/relationships/header" Target="header7.xml"/><Relationship Id="rId227" Type="http://schemas.openxmlformats.org/officeDocument/2006/relationships/image" Target="media/image99.emf"/><Relationship Id="rId248" Type="http://schemas.openxmlformats.org/officeDocument/2006/relationships/image" Target="media/image120.emf"/><Relationship Id="rId269" Type="http://schemas.openxmlformats.org/officeDocument/2006/relationships/image" Target="media/image140.png"/><Relationship Id="rId12" Type="http://schemas.openxmlformats.org/officeDocument/2006/relationships/footer" Target="footer2.xml"/><Relationship Id="rId33" Type="http://schemas.openxmlformats.org/officeDocument/2006/relationships/diagramColors" Target="diagrams/colors1.xml"/><Relationship Id="rId108" Type="http://schemas.openxmlformats.org/officeDocument/2006/relationships/diagramColors" Target="diagrams/colors11.xml"/><Relationship Id="rId129" Type="http://schemas.openxmlformats.org/officeDocument/2006/relationships/diagramQuickStyle" Target="diagrams/quickStyle14.xml"/><Relationship Id="rId280" Type="http://schemas.openxmlformats.org/officeDocument/2006/relationships/image" Target="media/image151.emf"/><Relationship Id="rId315" Type="http://schemas.openxmlformats.org/officeDocument/2006/relationships/image" Target="media/image182.emf"/><Relationship Id="rId336" Type="http://schemas.openxmlformats.org/officeDocument/2006/relationships/footer" Target="footer11.xml"/><Relationship Id="rId54" Type="http://schemas.openxmlformats.org/officeDocument/2006/relationships/diagramQuickStyle" Target="diagrams/quickStyle4.xml"/><Relationship Id="rId75" Type="http://schemas.openxmlformats.org/officeDocument/2006/relationships/diagramLayout" Target="diagrams/layout7.xml"/><Relationship Id="rId96" Type="http://schemas.openxmlformats.org/officeDocument/2006/relationships/image" Target="media/image34.emf"/><Relationship Id="rId140" Type="http://schemas.openxmlformats.org/officeDocument/2006/relationships/image" Target="media/image48.emf"/><Relationship Id="rId161" Type="http://schemas.openxmlformats.org/officeDocument/2006/relationships/image" Target="media/image54.emf"/><Relationship Id="rId182" Type="http://schemas.openxmlformats.org/officeDocument/2006/relationships/diagramQuickStyle" Target="diagrams/quickStyle21.xml"/><Relationship Id="rId217" Type="http://schemas.openxmlformats.org/officeDocument/2006/relationships/image" Target="media/image89.emf"/><Relationship Id="rId6" Type="http://schemas.openxmlformats.org/officeDocument/2006/relationships/footnotes" Target="footnotes.xml"/><Relationship Id="rId238" Type="http://schemas.openxmlformats.org/officeDocument/2006/relationships/image" Target="media/image110.emf"/><Relationship Id="rId259" Type="http://schemas.openxmlformats.org/officeDocument/2006/relationships/image" Target="media/image131.png"/><Relationship Id="rId23" Type="http://schemas.openxmlformats.org/officeDocument/2006/relationships/footer" Target="footer4.xml"/><Relationship Id="rId119" Type="http://schemas.openxmlformats.org/officeDocument/2006/relationships/image" Target="media/image42.emf"/><Relationship Id="rId270" Type="http://schemas.openxmlformats.org/officeDocument/2006/relationships/image" Target="media/image141.png"/><Relationship Id="rId291" Type="http://schemas.openxmlformats.org/officeDocument/2006/relationships/image" Target="media/image162.emf"/><Relationship Id="rId305" Type="http://schemas.openxmlformats.org/officeDocument/2006/relationships/header" Target="header12.xml"/><Relationship Id="rId326" Type="http://schemas.openxmlformats.org/officeDocument/2006/relationships/image" Target="media/image189.emf"/><Relationship Id="rId44" Type="http://schemas.openxmlformats.org/officeDocument/2006/relationships/diagramData" Target="diagrams/data3.xml"/><Relationship Id="rId65" Type="http://schemas.openxmlformats.org/officeDocument/2006/relationships/image" Target="media/image23.emf"/><Relationship Id="rId86" Type="http://schemas.openxmlformats.org/officeDocument/2006/relationships/image" Target="media/image29.emf"/><Relationship Id="rId130" Type="http://schemas.openxmlformats.org/officeDocument/2006/relationships/diagramColors" Target="diagrams/colors14.xml"/><Relationship Id="rId151" Type="http://schemas.openxmlformats.org/officeDocument/2006/relationships/diagramQuickStyle" Target="diagrams/quickStyle17.xml"/><Relationship Id="rId172" Type="http://schemas.openxmlformats.org/officeDocument/2006/relationships/diagramLayout" Target="diagrams/layout20.xml"/><Relationship Id="rId193" Type="http://schemas.openxmlformats.org/officeDocument/2006/relationships/image" Target="media/image71.emf"/><Relationship Id="rId207" Type="http://schemas.openxmlformats.org/officeDocument/2006/relationships/image" Target="media/image84.emf"/><Relationship Id="rId228" Type="http://schemas.openxmlformats.org/officeDocument/2006/relationships/image" Target="media/image100.emf"/><Relationship Id="rId249" Type="http://schemas.openxmlformats.org/officeDocument/2006/relationships/image" Target="media/image121.emf"/><Relationship Id="rId13" Type="http://schemas.openxmlformats.org/officeDocument/2006/relationships/image" Target="media/image2.emf"/><Relationship Id="rId109" Type="http://schemas.microsoft.com/office/2007/relationships/diagramDrawing" Target="diagrams/drawing11.xml"/><Relationship Id="rId260" Type="http://schemas.openxmlformats.org/officeDocument/2006/relationships/image" Target="media/image132.emf"/><Relationship Id="rId281" Type="http://schemas.openxmlformats.org/officeDocument/2006/relationships/image" Target="media/image152.emf"/><Relationship Id="rId316" Type="http://schemas.openxmlformats.org/officeDocument/2006/relationships/image" Target="media/image183.emf"/><Relationship Id="rId337" Type="http://schemas.openxmlformats.org/officeDocument/2006/relationships/fontTable" Target="fontTable.xml"/><Relationship Id="rId34" Type="http://schemas.microsoft.com/office/2007/relationships/diagramDrawing" Target="diagrams/drawing1.xml"/><Relationship Id="rId55" Type="http://schemas.openxmlformats.org/officeDocument/2006/relationships/diagramColors" Target="diagrams/colors4.xml"/><Relationship Id="rId76" Type="http://schemas.openxmlformats.org/officeDocument/2006/relationships/diagramQuickStyle" Target="diagrams/quickStyle7.xml"/><Relationship Id="rId97" Type="http://schemas.openxmlformats.org/officeDocument/2006/relationships/diagramData" Target="diagrams/data10.xml"/><Relationship Id="rId120" Type="http://schemas.openxmlformats.org/officeDocument/2006/relationships/diagramData" Target="diagrams/data13.xml"/><Relationship Id="rId141" Type="http://schemas.openxmlformats.org/officeDocument/2006/relationships/diagramData" Target="diagrams/data16.xml"/><Relationship Id="rId7" Type="http://schemas.openxmlformats.org/officeDocument/2006/relationships/endnotes" Target="endnotes.xml"/><Relationship Id="rId162" Type="http://schemas.openxmlformats.org/officeDocument/2006/relationships/image" Target="media/image55.emf"/><Relationship Id="rId183" Type="http://schemas.openxmlformats.org/officeDocument/2006/relationships/diagramColors" Target="diagrams/colors21.xml"/><Relationship Id="rId218" Type="http://schemas.openxmlformats.org/officeDocument/2006/relationships/image" Target="media/image90.emf"/><Relationship Id="rId239" Type="http://schemas.openxmlformats.org/officeDocument/2006/relationships/image" Target="media/image111.emf"/><Relationship Id="rId250" Type="http://schemas.openxmlformats.org/officeDocument/2006/relationships/image" Target="media/image122.emf"/><Relationship Id="rId271" Type="http://schemas.openxmlformats.org/officeDocument/2006/relationships/image" Target="media/image142.png"/><Relationship Id="rId292" Type="http://schemas.openxmlformats.org/officeDocument/2006/relationships/image" Target="media/image163.emf"/><Relationship Id="rId306" Type="http://schemas.openxmlformats.org/officeDocument/2006/relationships/footer" Target="footer7.xml"/><Relationship Id="rId24" Type="http://schemas.openxmlformats.org/officeDocument/2006/relationships/image" Target="media/image8.emf"/><Relationship Id="rId45" Type="http://schemas.openxmlformats.org/officeDocument/2006/relationships/diagramLayout" Target="diagrams/layout3.xml"/><Relationship Id="rId66" Type="http://schemas.openxmlformats.org/officeDocument/2006/relationships/image" Target="media/image24.emf"/><Relationship Id="rId87" Type="http://schemas.openxmlformats.org/officeDocument/2006/relationships/image" Target="media/image30.emf"/><Relationship Id="rId110" Type="http://schemas.openxmlformats.org/officeDocument/2006/relationships/image" Target="media/image38.emf"/><Relationship Id="rId131" Type="http://schemas.microsoft.com/office/2007/relationships/diagramDrawing" Target="diagrams/drawing14.xml"/><Relationship Id="rId327" Type="http://schemas.openxmlformats.org/officeDocument/2006/relationships/image" Target="media/image190.emf"/><Relationship Id="rId152" Type="http://schemas.openxmlformats.org/officeDocument/2006/relationships/diagramColors" Target="diagrams/colors17.xml"/><Relationship Id="rId173" Type="http://schemas.openxmlformats.org/officeDocument/2006/relationships/diagramQuickStyle" Target="diagrams/quickStyle20.xml"/><Relationship Id="rId194" Type="http://schemas.openxmlformats.org/officeDocument/2006/relationships/image" Target="media/image72.emf"/><Relationship Id="rId208" Type="http://schemas.openxmlformats.org/officeDocument/2006/relationships/image" Target="media/image85.emf"/><Relationship Id="rId229" Type="http://schemas.openxmlformats.org/officeDocument/2006/relationships/image" Target="media/image101.emf"/><Relationship Id="rId240" Type="http://schemas.openxmlformats.org/officeDocument/2006/relationships/image" Target="media/image112.emf"/><Relationship Id="rId261" Type="http://schemas.openxmlformats.org/officeDocument/2006/relationships/image" Target="media/image133.emf"/><Relationship Id="rId14" Type="http://schemas.openxmlformats.org/officeDocument/2006/relationships/image" Target="media/image3.emf"/><Relationship Id="rId35" Type="http://schemas.openxmlformats.org/officeDocument/2006/relationships/image" Target="media/image14.emf"/><Relationship Id="rId56" Type="http://schemas.microsoft.com/office/2007/relationships/diagramDrawing" Target="diagrams/drawing4.xml"/><Relationship Id="rId77" Type="http://schemas.openxmlformats.org/officeDocument/2006/relationships/diagramColors" Target="diagrams/colors7.xml"/><Relationship Id="rId100" Type="http://schemas.openxmlformats.org/officeDocument/2006/relationships/diagramColors" Target="diagrams/colors10.xml"/><Relationship Id="rId282" Type="http://schemas.openxmlformats.org/officeDocument/2006/relationships/image" Target="media/image153.emf"/><Relationship Id="rId317" Type="http://schemas.openxmlformats.org/officeDocument/2006/relationships/image" Target="media/image184.emf"/><Relationship Id="rId338" Type="http://schemas.openxmlformats.org/officeDocument/2006/relationships/theme" Target="theme/theme1.xml"/><Relationship Id="rId8" Type="http://schemas.openxmlformats.org/officeDocument/2006/relationships/image" Target="media/image1.jpeg"/><Relationship Id="rId98" Type="http://schemas.openxmlformats.org/officeDocument/2006/relationships/diagramLayout" Target="diagrams/layout10.xml"/><Relationship Id="rId121" Type="http://schemas.openxmlformats.org/officeDocument/2006/relationships/diagramLayout" Target="diagrams/layout13.xml"/><Relationship Id="rId142" Type="http://schemas.openxmlformats.org/officeDocument/2006/relationships/diagramLayout" Target="diagrams/layout16.xml"/><Relationship Id="rId163" Type="http://schemas.openxmlformats.org/officeDocument/2006/relationships/diagramData" Target="diagrams/data19.xml"/><Relationship Id="rId184" Type="http://schemas.microsoft.com/office/2007/relationships/diagramDrawing" Target="diagrams/drawing21.xml"/><Relationship Id="rId219" Type="http://schemas.openxmlformats.org/officeDocument/2006/relationships/image" Target="media/image91.emf"/><Relationship Id="rId3" Type="http://schemas.microsoft.com/office/2007/relationships/stylesWithEffects" Target="stylesWithEffects.xml"/><Relationship Id="rId214" Type="http://schemas.openxmlformats.org/officeDocument/2006/relationships/footer" Target="footer5.xml"/><Relationship Id="rId230" Type="http://schemas.openxmlformats.org/officeDocument/2006/relationships/image" Target="media/image102.emf"/><Relationship Id="rId235" Type="http://schemas.openxmlformats.org/officeDocument/2006/relationships/image" Target="media/image107.emf"/><Relationship Id="rId251" Type="http://schemas.openxmlformats.org/officeDocument/2006/relationships/image" Target="media/image123.emf"/><Relationship Id="rId256" Type="http://schemas.openxmlformats.org/officeDocument/2006/relationships/image" Target="media/image128.emf"/><Relationship Id="rId277" Type="http://schemas.openxmlformats.org/officeDocument/2006/relationships/image" Target="media/image148.png"/><Relationship Id="rId298" Type="http://schemas.openxmlformats.org/officeDocument/2006/relationships/image" Target="media/image169.emf"/><Relationship Id="rId25" Type="http://schemas.openxmlformats.org/officeDocument/2006/relationships/image" Target="media/image9.emf"/><Relationship Id="rId46" Type="http://schemas.openxmlformats.org/officeDocument/2006/relationships/diagramQuickStyle" Target="diagrams/quickStyle3.xml"/><Relationship Id="rId67" Type="http://schemas.openxmlformats.org/officeDocument/2006/relationships/diagramData" Target="diagrams/data6.xml"/><Relationship Id="rId116" Type="http://schemas.microsoft.com/office/2007/relationships/diagramDrawing" Target="diagrams/drawing12.xml"/><Relationship Id="rId137" Type="http://schemas.openxmlformats.org/officeDocument/2006/relationships/diagramColors" Target="diagrams/colors15.xml"/><Relationship Id="rId158" Type="http://schemas.openxmlformats.org/officeDocument/2006/relationships/diagramQuickStyle" Target="diagrams/quickStyle18.xml"/><Relationship Id="rId272" Type="http://schemas.openxmlformats.org/officeDocument/2006/relationships/image" Target="media/image143.png"/><Relationship Id="rId293" Type="http://schemas.openxmlformats.org/officeDocument/2006/relationships/image" Target="media/image164.emf"/><Relationship Id="rId302" Type="http://schemas.openxmlformats.org/officeDocument/2006/relationships/image" Target="media/image173.emf"/><Relationship Id="rId307" Type="http://schemas.openxmlformats.org/officeDocument/2006/relationships/footer" Target="footer8.xml"/><Relationship Id="rId323" Type="http://schemas.openxmlformats.org/officeDocument/2006/relationships/header" Target="header14.xml"/><Relationship Id="rId328" Type="http://schemas.openxmlformats.org/officeDocument/2006/relationships/image" Target="media/image191.emf"/><Relationship Id="rId20" Type="http://schemas.openxmlformats.org/officeDocument/2006/relationships/header" Target="header4.xml"/><Relationship Id="rId41" Type="http://schemas.microsoft.com/office/2007/relationships/diagramDrawing" Target="diagrams/drawing2.xml"/><Relationship Id="rId62" Type="http://schemas.openxmlformats.org/officeDocument/2006/relationships/diagramQuickStyle" Target="diagrams/quickStyle5.xml"/><Relationship Id="rId83" Type="http://schemas.openxmlformats.org/officeDocument/2006/relationships/diagramQuickStyle" Target="diagrams/quickStyle8.xml"/><Relationship Id="rId88" Type="http://schemas.openxmlformats.org/officeDocument/2006/relationships/diagramData" Target="diagrams/data9.xml"/><Relationship Id="rId111" Type="http://schemas.openxmlformats.org/officeDocument/2006/relationships/image" Target="media/image39.emf"/><Relationship Id="rId132" Type="http://schemas.openxmlformats.org/officeDocument/2006/relationships/image" Target="media/image45.emf"/><Relationship Id="rId153" Type="http://schemas.microsoft.com/office/2007/relationships/diagramDrawing" Target="diagrams/drawing17.xml"/><Relationship Id="rId174" Type="http://schemas.openxmlformats.org/officeDocument/2006/relationships/diagramColors" Target="diagrams/colors20.xml"/><Relationship Id="rId179" Type="http://schemas.openxmlformats.org/officeDocument/2006/relationships/image" Target="media/image62.emf"/><Relationship Id="rId195" Type="http://schemas.openxmlformats.org/officeDocument/2006/relationships/image" Target="media/image73.emf"/><Relationship Id="rId209" Type="http://schemas.openxmlformats.org/officeDocument/2006/relationships/header" Target="header8.xml"/><Relationship Id="rId190" Type="http://schemas.openxmlformats.org/officeDocument/2006/relationships/image" Target="media/image68.emf"/><Relationship Id="rId204" Type="http://schemas.openxmlformats.org/officeDocument/2006/relationships/image" Target="media/image82.emf"/><Relationship Id="rId220" Type="http://schemas.openxmlformats.org/officeDocument/2006/relationships/image" Target="media/image92.emf"/><Relationship Id="rId225" Type="http://schemas.openxmlformats.org/officeDocument/2006/relationships/image" Target="media/image97.emf"/><Relationship Id="rId241" Type="http://schemas.openxmlformats.org/officeDocument/2006/relationships/image" Target="media/image113.emf"/><Relationship Id="rId246" Type="http://schemas.openxmlformats.org/officeDocument/2006/relationships/image" Target="media/image118.emf"/><Relationship Id="rId267" Type="http://schemas.openxmlformats.org/officeDocument/2006/relationships/image" Target="media/image138.emf"/><Relationship Id="rId288" Type="http://schemas.openxmlformats.org/officeDocument/2006/relationships/image" Target="media/image159.emf"/><Relationship Id="rId15" Type="http://schemas.openxmlformats.org/officeDocument/2006/relationships/image" Target="media/image4.emf"/><Relationship Id="rId36" Type="http://schemas.openxmlformats.org/officeDocument/2006/relationships/image" Target="media/image15.emf"/><Relationship Id="rId57" Type="http://schemas.openxmlformats.org/officeDocument/2006/relationships/image" Target="media/image21.emf"/><Relationship Id="rId106" Type="http://schemas.openxmlformats.org/officeDocument/2006/relationships/diagramLayout" Target="diagrams/layout11.xml"/><Relationship Id="rId127" Type="http://schemas.openxmlformats.org/officeDocument/2006/relationships/diagramData" Target="diagrams/data14.xml"/><Relationship Id="rId262" Type="http://schemas.openxmlformats.org/officeDocument/2006/relationships/image" Target="media/image134.emf"/><Relationship Id="rId283" Type="http://schemas.openxmlformats.org/officeDocument/2006/relationships/image" Target="media/image154.png"/><Relationship Id="rId313" Type="http://schemas.openxmlformats.org/officeDocument/2006/relationships/image" Target="media/image180.emf"/><Relationship Id="rId318" Type="http://schemas.openxmlformats.org/officeDocument/2006/relationships/image" Target="media/image185.emf"/><Relationship Id="rId10" Type="http://schemas.openxmlformats.org/officeDocument/2006/relationships/header" Target="header2.xml"/><Relationship Id="rId31" Type="http://schemas.openxmlformats.org/officeDocument/2006/relationships/diagramLayout" Target="diagrams/layout1.xml"/><Relationship Id="rId52" Type="http://schemas.openxmlformats.org/officeDocument/2006/relationships/diagramData" Target="diagrams/data4.xml"/><Relationship Id="rId73" Type="http://schemas.openxmlformats.org/officeDocument/2006/relationships/image" Target="media/image26.emf"/><Relationship Id="rId78" Type="http://schemas.microsoft.com/office/2007/relationships/diagramDrawing" Target="diagrams/drawing7.xml"/><Relationship Id="rId94" Type="http://schemas.openxmlformats.org/officeDocument/2006/relationships/image" Target="media/image32.emf"/><Relationship Id="rId99" Type="http://schemas.openxmlformats.org/officeDocument/2006/relationships/diagramQuickStyle" Target="diagrams/quickStyle10.xml"/><Relationship Id="rId101" Type="http://schemas.microsoft.com/office/2007/relationships/diagramDrawing" Target="diagrams/drawing10.xml"/><Relationship Id="rId122" Type="http://schemas.openxmlformats.org/officeDocument/2006/relationships/diagramQuickStyle" Target="diagrams/quickStyle13.xml"/><Relationship Id="rId143" Type="http://schemas.openxmlformats.org/officeDocument/2006/relationships/diagramQuickStyle" Target="diagrams/quickStyle16.xml"/><Relationship Id="rId148" Type="http://schemas.openxmlformats.org/officeDocument/2006/relationships/image" Target="media/image51.png"/><Relationship Id="rId164" Type="http://schemas.openxmlformats.org/officeDocument/2006/relationships/diagramLayout" Target="diagrams/layout19.xml"/><Relationship Id="rId169" Type="http://schemas.openxmlformats.org/officeDocument/2006/relationships/image" Target="media/image57.emf"/><Relationship Id="rId185" Type="http://schemas.openxmlformats.org/officeDocument/2006/relationships/image" Target="media/image63.emf"/><Relationship Id="rId334" Type="http://schemas.openxmlformats.org/officeDocument/2006/relationships/image" Target="media/image197.emf"/><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diagramData" Target="diagrams/data21.xml"/><Relationship Id="rId210" Type="http://schemas.openxmlformats.org/officeDocument/2006/relationships/image" Target="media/image86.emf"/><Relationship Id="rId215" Type="http://schemas.openxmlformats.org/officeDocument/2006/relationships/footer" Target="footer6.xml"/><Relationship Id="rId236" Type="http://schemas.openxmlformats.org/officeDocument/2006/relationships/image" Target="media/image108.emf"/><Relationship Id="rId257" Type="http://schemas.openxmlformats.org/officeDocument/2006/relationships/image" Target="media/image129.emf"/><Relationship Id="rId278" Type="http://schemas.openxmlformats.org/officeDocument/2006/relationships/image" Target="media/image149.emf"/><Relationship Id="rId26" Type="http://schemas.openxmlformats.org/officeDocument/2006/relationships/image" Target="media/image10.emf"/><Relationship Id="rId231" Type="http://schemas.openxmlformats.org/officeDocument/2006/relationships/image" Target="media/image103.emf"/><Relationship Id="rId252" Type="http://schemas.openxmlformats.org/officeDocument/2006/relationships/image" Target="media/image124.emf"/><Relationship Id="rId273" Type="http://schemas.openxmlformats.org/officeDocument/2006/relationships/image" Target="media/image144.emf"/><Relationship Id="rId294" Type="http://schemas.openxmlformats.org/officeDocument/2006/relationships/image" Target="media/image165.emf"/><Relationship Id="rId308" Type="http://schemas.openxmlformats.org/officeDocument/2006/relationships/image" Target="media/image175.emf"/><Relationship Id="rId329" Type="http://schemas.openxmlformats.org/officeDocument/2006/relationships/image" Target="media/image192.emf"/><Relationship Id="rId47" Type="http://schemas.openxmlformats.org/officeDocument/2006/relationships/diagramColors" Target="diagrams/colors3.xml"/><Relationship Id="rId68" Type="http://schemas.openxmlformats.org/officeDocument/2006/relationships/diagramLayout" Target="diagrams/layout6.xml"/><Relationship Id="rId89" Type="http://schemas.openxmlformats.org/officeDocument/2006/relationships/diagramLayout" Target="diagrams/layout9.xml"/><Relationship Id="rId112" Type="http://schemas.openxmlformats.org/officeDocument/2006/relationships/diagramData" Target="diagrams/data12.xml"/><Relationship Id="rId133" Type="http://schemas.openxmlformats.org/officeDocument/2006/relationships/image" Target="media/image46.emf"/><Relationship Id="rId154" Type="http://schemas.openxmlformats.org/officeDocument/2006/relationships/image" Target="media/image52.emf"/><Relationship Id="rId175" Type="http://schemas.microsoft.com/office/2007/relationships/diagramDrawing" Target="diagrams/drawing20.xml"/><Relationship Id="rId196" Type="http://schemas.openxmlformats.org/officeDocument/2006/relationships/image" Target="media/image74.emf"/><Relationship Id="rId200" Type="http://schemas.openxmlformats.org/officeDocument/2006/relationships/image" Target="media/image78.emf"/><Relationship Id="rId16" Type="http://schemas.openxmlformats.org/officeDocument/2006/relationships/image" Target="media/image5.emf"/><Relationship Id="rId221" Type="http://schemas.openxmlformats.org/officeDocument/2006/relationships/image" Target="media/image93.emf"/><Relationship Id="rId242" Type="http://schemas.openxmlformats.org/officeDocument/2006/relationships/image" Target="media/image114.emf"/><Relationship Id="rId263" Type="http://schemas.openxmlformats.org/officeDocument/2006/relationships/image" Target="media/image135.png"/><Relationship Id="rId284" Type="http://schemas.openxmlformats.org/officeDocument/2006/relationships/image" Target="media/image155.emf"/><Relationship Id="rId319" Type="http://schemas.openxmlformats.org/officeDocument/2006/relationships/image" Target="media/image186.emf"/><Relationship Id="rId37" Type="http://schemas.openxmlformats.org/officeDocument/2006/relationships/diagramData" Target="diagrams/data2.xml"/><Relationship Id="rId58" Type="http://schemas.openxmlformats.org/officeDocument/2006/relationships/image" Target="media/image22.emf"/><Relationship Id="rId79" Type="http://schemas.openxmlformats.org/officeDocument/2006/relationships/image" Target="media/image27.emf"/><Relationship Id="rId102" Type="http://schemas.openxmlformats.org/officeDocument/2006/relationships/image" Target="media/image35.emf"/><Relationship Id="rId123" Type="http://schemas.openxmlformats.org/officeDocument/2006/relationships/diagramColors" Target="diagrams/colors13.xml"/><Relationship Id="rId144" Type="http://schemas.openxmlformats.org/officeDocument/2006/relationships/diagramColors" Target="diagrams/colors16.xml"/><Relationship Id="rId330" Type="http://schemas.openxmlformats.org/officeDocument/2006/relationships/image" Target="media/image193.emf"/><Relationship Id="rId90" Type="http://schemas.openxmlformats.org/officeDocument/2006/relationships/diagramQuickStyle" Target="diagrams/quickStyle9.xml"/><Relationship Id="rId165" Type="http://schemas.openxmlformats.org/officeDocument/2006/relationships/diagramQuickStyle" Target="diagrams/quickStyle19.xml"/><Relationship Id="rId186" Type="http://schemas.openxmlformats.org/officeDocument/2006/relationships/image" Target="media/image64.emf"/><Relationship Id="rId211" Type="http://schemas.openxmlformats.org/officeDocument/2006/relationships/image" Target="media/image87.emf"/><Relationship Id="rId232" Type="http://schemas.openxmlformats.org/officeDocument/2006/relationships/image" Target="media/image104.emf"/><Relationship Id="rId253" Type="http://schemas.openxmlformats.org/officeDocument/2006/relationships/image" Target="media/image125.emf"/><Relationship Id="rId274" Type="http://schemas.openxmlformats.org/officeDocument/2006/relationships/image" Target="media/image145.png"/><Relationship Id="rId295" Type="http://schemas.openxmlformats.org/officeDocument/2006/relationships/image" Target="media/image166.emf"/><Relationship Id="rId309" Type="http://schemas.openxmlformats.org/officeDocument/2006/relationships/image" Target="media/image176.emf"/><Relationship Id="rId27" Type="http://schemas.openxmlformats.org/officeDocument/2006/relationships/image" Target="media/image11.emf"/><Relationship Id="rId48" Type="http://schemas.microsoft.com/office/2007/relationships/diagramDrawing" Target="diagrams/drawing3.xml"/><Relationship Id="rId69" Type="http://schemas.openxmlformats.org/officeDocument/2006/relationships/diagramQuickStyle" Target="diagrams/quickStyle6.xml"/><Relationship Id="rId113" Type="http://schemas.openxmlformats.org/officeDocument/2006/relationships/diagramLayout" Target="diagrams/layout12.xml"/><Relationship Id="rId134" Type="http://schemas.openxmlformats.org/officeDocument/2006/relationships/diagramData" Target="diagrams/data15.xml"/><Relationship Id="rId320" Type="http://schemas.openxmlformats.org/officeDocument/2006/relationships/image" Target="media/image187.emf"/><Relationship Id="rId80" Type="http://schemas.openxmlformats.org/officeDocument/2006/relationships/image" Target="media/image28.emf"/><Relationship Id="rId155" Type="http://schemas.openxmlformats.org/officeDocument/2006/relationships/image" Target="media/image53.emf"/><Relationship Id="rId176" Type="http://schemas.openxmlformats.org/officeDocument/2006/relationships/image" Target="media/image59.emf"/><Relationship Id="rId197" Type="http://schemas.openxmlformats.org/officeDocument/2006/relationships/image" Target="media/image75.emf"/><Relationship Id="rId201" Type="http://schemas.openxmlformats.org/officeDocument/2006/relationships/image" Target="media/image79.emf"/><Relationship Id="rId222" Type="http://schemas.openxmlformats.org/officeDocument/2006/relationships/image" Target="media/image94.emf"/><Relationship Id="rId243" Type="http://schemas.openxmlformats.org/officeDocument/2006/relationships/image" Target="media/image115.emf"/><Relationship Id="rId264" Type="http://schemas.openxmlformats.org/officeDocument/2006/relationships/image" Target="media/image136.png"/><Relationship Id="rId285" Type="http://schemas.openxmlformats.org/officeDocument/2006/relationships/image" Target="media/image156.emf"/><Relationship Id="rId17" Type="http://schemas.openxmlformats.org/officeDocument/2006/relationships/image" Target="media/image6.emf"/><Relationship Id="rId38" Type="http://schemas.openxmlformats.org/officeDocument/2006/relationships/diagramLayout" Target="diagrams/layout2.xml"/><Relationship Id="rId59" Type="http://schemas.openxmlformats.org/officeDocument/2006/relationships/header" Target="header6.xml"/><Relationship Id="rId103" Type="http://schemas.openxmlformats.org/officeDocument/2006/relationships/image" Target="media/image36.emf"/><Relationship Id="rId124" Type="http://schemas.microsoft.com/office/2007/relationships/diagramDrawing" Target="diagrams/drawing13.xml"/><Relationship Id="rId310" Type="http://schemas.openxmlformats.org/officeDocument/2006/relationships/image" Target="media/image177.emf"/><Relationship Id="rId70" Type="http://schemas.openxmlformats.org/officeDocument/2006/relationships/diagramColors" Target="diagrams/colors6.xml"/><Relationship Id="rId91" Type="http://schemas.openxmlformats.org/officeDocument/2006/relationships/diagramColors" Target="diagrams/colors9.xml"/><Relationship Id="rId145" Type="http://schemas.microsoft.com/office/2007/relationships/diagramDrawing" Target="diagrams/drawing16.xml"/><Relationship Id="rId166" Type="http://schemas.openxmlformats.org/officeDocument/2006/relationships/diagramColors" Target="diagrams/colors19.xml"/><Relationship Id="rId187" Type="http://schemas.openxmlformats.org/officeDocument/2006/relationships/image" Target="media/image65.emf"/><Relationship Id="rId331" Type="http://schemas.openxmlformats.org/officeDocument/2006/relationships/image" Target="media/image194.emf"/><Relationship Id="rId1" Type="http://schemas.openxmlformats.org/officeDocument/2006/relationships/numbering" Target="numbering.xml"/><Relationship Id="rId212" Type="http://schemas.openxmlformats.org/officeDocument/2006/relationships/header" Target="header9.xml"/><Relationship Id="rId233" Type="http://schemas.openxmlformats.org/officeDocument/2006/relationships/image" Target="media/image105.emf"/><Relationship Id="rId254" Type="http://schemas.openxmlformats.org/officeDocument/2006/relationships/image" Target="media/image126.emf"/><Relationship Id="rId28" Type="http://schemas.openxmlformats.org/officeDocument/2006/relationships/image" Target="media/image12.emf"/><Relationship Id="rId49" Type="http://schemas.openxmlformats.org/officeDocument/2006/relationships/image" Target="media/image18.emf"/><Relationship Id="rId114" Type="http://schemas.openxmlformats.org/officeDocument/2006/relationships/diagramQuickStyle" Target="diagrams/quickStyle12.xml"/><Relationship Id="rId275" Type="http://schemas.openxmlformats.org/officeDocument/2006/relationships/image" Target="media/image146.png"/><Relationship Id="rId296" Type="http://schemas.openxmlformats.org/officeDocument/2006/relationships/image" Target="media/image167.emf"/><Relationship Id="rId300" Type="http://schemas.openxmlformats.org/officeDocument/2006/relationships/image" Target="media/image171.emf"/><Relationship Id="rId60" Type="http://schemas.openxmlformats.org/officeDocument/2006/relationships/diagramData" Target="diagrams/data5.xml"/><Relationship Id="rId81" Type="http://schemas.openxmlformats.org/officeDocument/2006/relationships/diagramData" Target="diagrams/data8.xml"/><Relationship Id="rId135" Type="http://schemas.openxmlformats.org/officeDocument/2006/relationships/diagramLayout" Target="diagrams/layout15.xml"/><Relationship Id="rId156" Type="http://schemas.openxmlformats.org/officeDocument/2006/relationships/diagramData" Target="diagrams/data18.xml"/><Relationship Id="rId177" Type="http://schemas.openxmlformats.org/officeDocument/2006/relationships/image" Target="media/image60.emf"/><Relationship Id="rId198" Type="http://schemas.openxmlformats.org/officeDocument/2006/relationships/image" Target="media/image76.emf"/><Relationship Id="rId321" Type="http://schemas.openxmlformats.org/officeDocument/2006/relationships/image" Target="media/image188.emf"/><Relationship Id="rId202" Type="http://schemas.openxmlformats.org/officeDocument/2006/relationships/image" Target="media/image80.emf"/><Relationship Id="rId223" Type="http://schemas.openxmlformats.org/officeDocument/2006/relationships/image" Target="media/image95.emf"/><Relationship Id="rId244" Type="http://schemas.openxmlformats.org/officeDocument/2006/relationships/image" Target="media/image116.emf"/><Relationship Id="rId18" Type="http://schemas.openxmlformats.org/officeDocument/2006/relationships/image" Target="media/image7.emf"/><Relationship Id="rId39" Type="http://schemas.openxmlformats.org/officeDocument/2006/relationships/diagramQuickStyle" Target="diagrams/quickStyle2.xml"/><Relationship Id="rId265" Type="http://schemas.openxmlformats.org/officeDocument/2006/relationships/oleObject" Target="embeddings/oleObject1.bin"/><Relationship Id="rId286" Type="http://schemas.openxmlformats.org/officeDocument/2006/relationships/image" Target="media/image157.emf"/><Relationship Id="rId50" Type="http://schemas.openxmlformats.org/officeDocument/2006/relationships/image" Target="media/image19.emf"/><Relationship Id="rId104" Type="http://schemas.openxmlformats.org/officeDocument/2006/relationships/image" Target="media/image37.emf"/><Relationship Id="rId125" Type="http://schemas.openxmlformats.org/officeDocument/2006/relationships/image" Target="media/image43.emf"/><Relationship Id="rId146" Type="http://schemas.openxmlformats.org/officeDocument/2006/relationships/image" Target="media/image49.emf"/><Relationship Id="rId167" Type="http://schemas.microsoft.com/office/2007/relationships/diagramDrawing" Target="diagrams/drawing19.xml"/><Relationship Id="rId188" Type="http://schemas.openxmlformats.org/officeDocument/2006/relationships/image" Target="media/image66.emf"/><Relationship Id="rId311" Type="http://schemas.openxmlformats.org/officeDocument/2006/relationships/image" Target="media/image178.emf"/><Relationship Id="rId332" Type="http://schemas.openxmlformats.org/officeDocument/2006/relationships/image" Target="media/image195.emf"/><Relationship Id="rId71" Type="http://schemas.microsoft.com/office/2007/relationships/diagramDrawing" Target="diagrams/drawing6.xml"/><Relationship Id="rId92" Type="http://schemas.microsoft.com/office/2007/relationships/diagramDrawing" Target="diagrams/drawing9.xml"/><Relationship Id="rId213" Type="http://schemas.openxmlformats.org/officeDocument/2006/relationships/header" Target="header10.xml"/><Relationship Id="rId234" Type="http://schemas.openxmlformats.org/officeDocument/2006/relationships/image" Target="media/image106.emf"/><Relationship Id="rId2" Type="http://schemas.openxmlformats.org/officeDocument/2006/relationships/styles" Target="styles.xml"/><Relationship Id="rId29" Type="http://schemas.openxmlformats.org/officeDocument/2006/relationships/image" Target="media/image13.emf"/><Relationship Id="rId255" Type="http://schemas.openxmlformats.org/officeDocument/2006/relationships/image" Target="media/image127.emf"/><Relationship Id="rId276" Type="http://schemas.openxmlformats.org/officeDocument/2006/relationships/image" Target="media/image147.png"/><Relationship Id="rId297" Type="http://schemas.openxmlformats.org/officeDocument/2006/relationships/image" Target="media/image168.png"/><Relationship Id="rId40" Type="http://schemas.openxmlformats.org/officeDocument/2006/relationships/diagramColors" Target="diagrams/colors2.xml"/><Relationship Id="rId115" Type="http://schemas.openxmlformats.org/officeDocument/2006/relationships/diagramColors" Target="diagrams/colors12.xml"/><Relationship Id="rId136" Type="http://schemas.openxmlformats.org/officeDocument/2006/relationships/diagramQuickStyle" Target="diagrams/quickStyle15.xml"/><Relationship Id="rId157" Type="http://schemas.openxmlformats.org/officeDocument/2006/relationships/diagramLayout" Target="diagrams/layout18.xml"/><Relationship Id="rId178" Type="http://schemas.openxmlformats.org/officeDocument/2006/relationships/image" Target="media/image61.emf"/><Relationship Id="rId301" Type="http://schemas.openxmlformats.org/officeDocument/2006/relationships/image" Target="media/image172.emf"/><Relationship Id="rId322" Type="http://schemas.openxmlformats.org/officeDocument/2006/relationships/header" Target="header13.xml"/><Relationship Id="rId61" Type="http://schemas.openxmlformats.org/officeDocument/2006/relationships/diagramLayout" Target="diagrams/layout5.xml"/><Relationship Id="rId82" Type="http://schemas.openxmlformats.org/officeDocument/2006/relationships/diagramLayout" Target="diagrams/layout8.xml"/><Relationship Id="rId199" Type="http://schemas.openxmlformats.org/officeDocument/2006/relationships/image" Target="media/image77.emf"/><Relationship Id="rId203" Type="http://schemas.openxmlformats.org/officeDocument/2006/relationships/image" Target="media/image81.emf"/><Relationship Id="rId19" Type="http://schemas.openxmlformats.org/officeDocument/2006/relationships/header" Target="header3.xml"/><Relationship Id="rId224" Type="http://schemas.openxmlformats.org/officeDocument/2006/relationships/image" Target="media/image96.emf"/><Relationship Id="rId245" Type="http://schemas.openxmlformats.org/officeDocument/2006/relationships/image" Target="media/image117.emf"/><Relationship Id="rId266" Type="http://schemas.openxmlformats.org/officeDocument/2006/relationships/image" Target="media/image137.png"/><Relationship Id="rId287" Type="http://schemas.openxmlformats.org/officeDocument/2006/relationships/image" Target="media/image158.emf"/><Relationship Id="rId30" Type="http://schemas.openxmlformats.org/officeDocument/2006/relationships/diagramData" Target="diagrams/data1.xml"/><Relationship Id="rId105" Type="http://schemas.openxmlformats.org/officeDocument/2006/relationships/diagramData" Target="diagrams/data11.xml"/><Relationship Id="rId126" Type="http://schemas.openxmlformats.org/officeDocument/2006/relationships/image" Target="media/image44.emf"/><Relationship Id="rId147" Type="http://schemas.openxmlformats.org/officeDocument/2006/relationships/image" Target="media/image50.emf"/><Relationship Id="rId168" Type="http://schemas.openxmlformats.org/officeDocument/2006/relationships/image" Target="media/image56.emf"/><Relationship Id="rId312" Type="http://schemas.openxmlformats.org/officeDocument/2006/relationships/image" Target="media/image179.emf"/><Relationship Id="rId333" Type="http://schemas.openxmlformats.org/officeDocument/2006/relationships/image" Target="media/image196.emf"/><Relationship Id="rId51" Type="http://schemas.openxmlformats.org/officeDocument/2006/relationships/image" Target="media/image20.emf"/><Relationship Id="rId72" Type="http://schemas.openxmlformats.org/officeDocument/2006/relationships/image" Target="media/image25.emf"/><Relationship Id="rId93" Type="http://schemas.openxmlformats.org/officeDocument/2006/relationships/image" Target="media/image31.emf"/><Relationship Id="rId189" Type="http://schemas.openxmlformats.org/officeDocument/2006/relationships/image" Target="media/image67.emf"/></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5%20(S).dotm"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2E3765-25B6-48F8-B902-5C026C284173}"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15A8A4C-3386-41CB-B004-75AA2E0C8E7E}">
      <dgm:prSet phldrT="[Text]" custT="1"/>
      <dgm:spPr>
        <a:xfrm>
          <a:off x="2435300" y="805713"/>
          <a:ext cx="1030037" cy="479432"/>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 </a:t>
          </a:r>
        </a:p>
      </dgm:t>
    </dgm:pt>
    <dgm:pt modelId="{E2BD043E-B694-4760-8FC3-4BE59593050C}" type="parTrans" cxnId="{E55333C4-687C-4186-B8C3-1AC5CE56517A}">
      <dgm:prSet/>
      <dgm:spPr/>
      <dgm:t>
        <a:bodyPr/>
        <a:lstStyle/>
        <a:p>
          <a:endParaRPr lang="en-US"/>
        </a:p>
      </dgm:t>
    </dgm:pt>
    <dgm:pt modelId="{A7B35DF3-2893-4CFA-8C75-4D2DB5615E44}" type="sibTrans" cxnId="{E55333C4-687C-4186-B8C3-1AC5CE56517A}">
      <dgm:prSet/>
      <dgm:spPr/>
      <dgm:t>
        <a:bodyPr/>
        <a:lstStyle/>
        <a:p>
          <a:endParaRPr lang="en-US"/>
        </a:p>
      </dgm:t>
    </dgm:pt>
    <dgm:pt modelId="{C1693A50-4E68-4912-9A70-0C97C87B3D7E}">
      <dgm:prSet phldrT="[Text]" custT="1"/>
      <dgm:spPr>
        <a:xfrm>
          <a:off x="2492451" y="-9592"/>
          <a:ext cx="915735" cy="47943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 </a:t>
          </a:r>
        </a:p>
      </dgm:t>
    </dgm:pt>
    <dgm:pt modelId="{CF74A6F9-BA34-45B8-91B4-D30611FDBA60}" type="parTrans" cxnId="{9A60E343-BDF2-491A-A7D5-5299DFF2BE0A}">
      <dgm:prSet/>
      <dgm:spPr>
        <a:xfrm rot="16200000">
          <a:off x="2782382" y="630516"/>
          <a:ext cx="335872" cy="1451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B485C48-2801-485C-A89E-B43F912DB680}" type="sibTrans" cxnId="{9A60E343-BDF2-491A-A7D5-5299DFF2BE0A}">
      <dgm:prSet/>
      <dgm:spPr/>
      <dgm:t>
        <a:bodyPr/>
        <a:lstStyle/>
        <a:p>
          <a:endParaRPr lang="en-US"/>
        </a:p>
      </dgm:t>
    </dgm:pt>
    <dgm:pt modelId="{FB911F09-22D9-48A7-A087-AEF5110B6682}">
      <dgm:prSet phldrT="[Text]" custT="1"/>
      <dgm:spPr>
        <a:xfrm>
          <a:off x="3343565" y="308015"/>
          <a:ext cx="896241" cy="49838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8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C.A.D.</a:t>
          </a:r>
        </a:p>
      </dgm:t>
    </dgm:pt>
    <dgm:pt modelId="{0E1FEA62-81EE-4117-997B-69ED8651A7D0}" type="parTrans" cxnId="{1763FEA0-AAF8-4DB3-8B21-253B8F239228}">
      <dgm:prSet/>
      <dgm:spPr>
        <a:xfrm rot="19792485">
          <a:off x="3256246" y="790522"/>
          <a:ext cx="241706" cy="1451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8ACE05E-CC42-4FE0-BC36-110025A6B590}" type="sibTrans" cxnId="{1763FEA0-AAF8-4DB3-8B21-253B8F239228}">
      <dgm:prSet/>
      <dgm:spPr/>
      <dgm:t>
        <a:bodyPr/>
        <a:lstStyle/>
        <a:p>
          <a:endParaRPr lang="en-US"/>
        </a:p>
      </dgm:t>
    </dgm:pt>
    <dgm:pt modelId="{447D5D1D-0860-4B1B-A10A-5D7EC9B637D8}">
      <dgm:prSet phldrT="[Text]" custT="1"/>
      <dgm:spPr>
        <a:xfrm>
          <a:off x="4465461" y="776964"/>
          <a:ext cx="1136236" cy="53694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solidFill>
              <a:latin typeface="Arial" panose="020B0604020202020204" pitchFamily="34" charset="0"/>
              <a:ea typeface="+mn-ea"/>
              <a:cs typeface="Arial" panose="020B0604020202020204" pitchFamily="34" charset="0"/>
            </a:rPr>
            <a:t>Programa 9</a:t>
          </a:r>
        </a:p>
        <a:p>
          <a:r>
            <a:rPr lang="en-US" sz="800">
              <a:solidFill>
                <a:sysClr val="windowText" lastClr="000000"/>
              </a:solidFill>
              <a:latin typeface="Arial" panose="020B0604020202020204" pitchFamily="34" charset="0"/>
              <a:ea typeface="+mn-ea"/>
              <a:cs typeface="Arial" panose="020B0604020202020204" pitchFamily="34" charset="0"/>
            </a:rPr>
            <a:t>Oficinas regionales en la sede</a:t>
          </a:r>
        </a:p>
      </dgm:t>
    </dgm:pt>
    <dgm:pt modelId="{069AD1A8-1718-4E51-AEE7-85B69D54F950}" type="parTrans" cxnId="{4B8455E7-4B99-4C1B-A85F-368F4A08E0BE}">
      <dgm:prSet/>
      <dgm:spPr>
        <a:xfrm rot="13">
          <a:off x="3465337" y="1038173"/>
          <a:ext cx="1000123" cy="1451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55AF909-31D3-4065-ABB3-82005C9FEF4C}" type="sibTrans" cxnId="{4B8455E7-4B99-4C1B-A85F-368F4A08E0BE}">
      <dgm:prSet/>
      <dgm:spPr/>
      <dgm:t>
        <a:bodyPr/>
        <a:lstStyle/>
        <a:p>
          <a:endParaRPr lang="en-US"/>
        </a:p>
      </dgm:t>
    </dgm:pt>
    <dgm:pt modelId="{DAF30ECC-CB4B-483A-93C7-47A100649D5D}">
      <dgm:prSet phldrT="[Text]" custT="1"/>
      <dgm:spPr>
        <a:xfrm>
          <a:off x="3437543" y="1288304"/>
          <a:ext cx="1045407" cy="49068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r>
            <a:rPr lang="es-ES_tradnl" sz="900">
              <a:latin typeface="Arial" panose="020B0604020202020204" pitchFamily="34" charset="0"/>
              <a:cs typeface="Arial" panose="020B0604020202020204" pitchFamily="34" charset="0"/>
            </a:rPr>
            <a:t>Países T/D</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F0719816-4AC2-4964-8797-61135BEDA83D}" type="parTrans" cxnId="{4E68C5E6-4E50-45B6-9E23-A7A97C86ED5E}">
      <dgm:prSet/>
      <dgm:spPr>
        <a:xfrm rot="1548005">
          <a:off x="3291555" y="1280610"/>
          <a:ext cx="320548" cy="1451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39B8447-5FC4-4D01-8936-0F63CFB1E3F9}" type="sibTrans" cxnId="{4E68C5E6-4E50-45B6-9E23-A7A97C86ED5E}">
      <dgm:prSet/>
      <dgm:spPr/>
      <dgm:t>
        <a:bodyPr/>
        <a:lstStyle/>
        <a:p>
          <a:endParaRPr lang="en-US"/>
        </a:p>
      </dgm:t>
    </dgm:pt>
    <dgm:pt modelId="{17173E60-1AB7-4219-9E5D-2EB707D4762A}">
      <dgm:prSet phldrT="[Text]" custT="1"/>
      <dgm:spPr>
        <a:xfrm>
          <a:off x="1493142" y="284089"/>
          <a:ext cx="1103188" cy="56229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20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Relaciones exteriores</a:t>
          </a:r>
        </a:p>
      </dgm:t>
    </dgm:pt>
    <dgm:pt modelId="{6FBFA200-28B9-441C-9603-B958FB3D45CE}" type="parTrans" cxnId="{427458F4-2128-4535-BC60-2C807BAEAB78}">
      <dgm:prSet/>
      <dgm:spPr>
        <a:xfrm rot="12476106">
          <a:off x="2414883" y="809342"/>
          <a:ext cx="207789" cy="1451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E9757A6-6A62-4D49-A0CB-E147D06AE7B1}" type="sibTrans" cxnId="{427458F4-2128-4535-BC60-2C807BAEAB78}">
      <dgm:prSet/>
      <dgm:spPr/>
      <dgm:t>
        <a:bodyPr/>
        <a:lstStyle/>
        <a:p>
          <a:endParaRPr lang="en-US"/>
        </a:p>
      </dgm:t>
    </dgm:pt>
    <dgm:pt modelId="{06E8F230-0A46-4973-959C-5518A0F634E1}">
      <dgm:prSet phldrT="[Text]" custT="1"/>
      <dgm:spPr>
        <a:xfrm>
          <a:off x="2424012" y="1586590"/>
          <a:ext cx="1052613" cy="54828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a:t>
          </a:r>
        </a:p>
      </dgm:t>
    </dgm:pt>
    <dgm:pt modelId="{4DA931F6-88AF-4B28-AA68-7BB47161ABA9}" type="parTrans" cxnId="{070AEFE9-55EF-4F5A-B707-AF0518F7B8C6}">
      <dgm:prSet/>
      <dgm:spPr>
        <a:xfrm rot="5400000">
          <a:off x="2799596" y="1428608"/>
          <a:ext cx="301444" cy="1451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05D557FB-EE62-41BD-A184-12A99A228BF1}" type="sibTrans" cxnId="{070AEFE9-55EF-4F5A-B707-AF0518F7B8C6}">
      <dgm:prSet/>
      <dgm:spPr/>
      <dgm:t>
        <a:bodyPr/>
        <a:lstStyle/>
        <a:p>
          <a:endParaRPr lang="en-US"/>
        </a:p>
      </dgm:t>
    </dgm:pt>
    <dgm:pt modelId="{CFBCC7A9-248E-440C-A926-28CC42C6B860}">
      <dgm:prSet phldrT="[Text]" custT="1"/>
      <dgm:spPr>
        <a:xfrm>
          <a:off x="1314449" y="1209674"/>
          <a:ext cx="1139903" cy="58373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Economía y estadística </a:t>
          </a:r>
        </a:p>
      </dgm:t>
    </dgm:pt>
    <dgm:pt modelId="{FEDE4186-485A-46BD-B210-B0BD4480CB16}" type="parTrans" cxnId="{1AA9EDCB-7AF6-406C-9BE6-B90918B1AE07}">
      <dgm:prSet/>
      <dgm:spPr>
        <a:xfrm rot="9410013">
          <a:off x="2310824" y="1253771"/>
          <a:ext cx="271289" cy="1451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5FBEBF4-A458-477D-AE50-1E5F0800CC74}" type="sibTrans" cxnId="{1AA9EDCB-7AF6-406C-9BE6-B90918B1AE07}">
      <dgm:prSet/>
      <dgm:spPr/>
      <dgm:t>
        <a:bodyPr/>
        <a:lstStyle/>
        <a:p>
          <a:endParaRPr lang="en-US"/>
        </a:p>
      </dgm:t>
    </dgm:pt>
    <dgm:pt modelId="{C8838BF5-4657-4DB6-B70A-DBA4AB5B97EE}">
      <dgm:prSet phldrT="[Text]" custT="1"/>
      <dgm:spPr>
        <a:xfrm>
          <a:off x="300990" y="811288"/>
          <a:ext cx="1050312" cy="46828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18</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La P.I. y los desafíos mundiales</a:t>
          </a:r>
        </a:p>
      </dgm:t>
    </dgm:pt>
    <dgm:pt modelId="{BD2843B5-7E3E-4680-8A25-01BA23D8CE69}" type="parTrans" cxnId="{64EB48A2-0615-4134-85EB-A4DAE785AB7D}">
      <dgm:prSet/>
      <dgm:spPr>
        <a:xfrm rot="10800000">
          <a:off x="1351302" y="1038169"/>
          <a:ext cx="1083997" cy="1451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9C251D-3EE6-4D89-8EC9-77FF6FC72E05}" type="sibTrans" cxnId="{64EB48A2-0615-4134-85EB-A4DAE785AB7D}">
      <dgm:prSet/>
      <dgm:spPr/>
      <dgm:t>
        <a:bodyPr/>
        <a:lstStyle/>
        <a:p>
          <a:endParaRPr lang="en-US"/>
        </a:p>
      </dgm:t>
    </dgm:pt>
    <dgm:pt modelId="{4B42C994-9F34-48FA-B0E9-245578FAC1C6}" type="pres">
      <dgm:prSet presAssocID="{DD2E3765-25B6-48F8-B902-5C026C284173}" presName="cycle" presStyleCnt="0">
        <dgm:presLayoutVars>
          <dgm:chMax val="1"/>
          <dgm:dir/>
          <dgm:animLvl val="ctr"/>
          <dgm:resizeHandles val="exact"/>
        </dgm:presLayoutVars>
      </dgm:prSet>
      <dgm:spPr/>
      <dgm:t>
        <a:bodyPr/>
        <a:lstStyle/>
        <a:p>
          <a:endParaRPr lang="en-US"/>
        </a:p>
      </dgm:t>
    </dgm:pt>
    <dgm:pt modelId="{262D173F-A40A-406A-BA41-067F590F5B00}" type="pres">
      <dgm:prSet presAssocID="{615A8A4C-3386-41CB-B004-75AA2E0C8E7E}" presName="centerShape" presStyleLbl="node0" presStyleIdx="0" presStyleCnt="1" custScaleX="249930"/>
      <dgm:spPr>
        <a:prstGeom prst="ellipse">
          <a:avLst/>
        </a:prstGeom>
      </dgm:spPr>
      <dgm:t>
        <a:bodyPr/>
        <a:lstStyle/>
        <a:p>
          <a:endParaRPr lang="en-US"/>
        </a:p>
      </dgm:t>
    </dgm:pt>
    <dgm:pt modelId="{2E00D982-49D5-455F-888E-68E4C81A2365}" type="pres">
      <dgm:prSet presAssocID="{CF74A6F9-BA34-45B8-91B4-D30611FDBA60}" presName="Name9" presStyleLbl="parChTrans1D2" presStyleIdx="0" presStyleCnt="8"/>
      <dgm:spPr>
        <a:custGeom>
          <a:avLst/>
          <a:gdLst/>
          <a:ahLst/>
          <a:cxnLst/>
          <a:rect l="0" t="0" r="0" b="0"/>
          <a:pathLst>
            <a:path>
              <a:moveTo>
                <a:pt x="0" y="7259"/>
              </a:moveTo>
              <a:lnTo>
                <a:pt x="355250" y="7259"/>
              </a:lnTo>
            </a:path>
          </a:pathLst>
        </a:custGeom>
      </dgm:spPr>
      <dgm:t>
        <a:bodyPr/>
        <a:lstStyle/>
        <a:p>
          <a:endParaRPr lang="en-US"/>
        </a:p>
      </dgm:t>
    </dgm:pt>
    <dgm:pt modelId="{B7B7A49F-5E78-4AC5-B18E-2DC80AECCF08}" type="pres">
      <dgm:prSet presAssocID="{CF74A6F9-BA34-45B8-91B4-D30611FDBA60}" presName="connTx" presStyleLbl="parChTrans1D2" presStyleIdx="0" presStyleCnt="8"/>
      <dgm:spPr/>
      <dgm:t>
        <a:bodyPr/>
        <a:lstStyle/>
        <a:p>
          <a:endParaRPr lang="en-US"/>
        </a:p>
      </dgm:t>
    </dgm:pt>
    <dgm:pt modelId="{44473C27-A9A3-4167-AEAF-A01C156E33F0}" type="pres">
      <dgm:prSet presAssocID="{C1693A50-4E68-4912-9A70-0C97C87B3D7E}" presName="node" presStyleLbl="node1" presStyleIdx="0" presStyleCnt="8" custScaleX="208984">
        <dgm:presLayoutVars>
          <dgm:bulletEnabled val="1"/>
        </dgm:presLayoutVars>
      </dgm:prSet>
      <dgm:spPr>
        <a:prstGeom prst="ellipse">
          <a:avLst/>
        </a:prstGeom>
      </dgm:spPr>
      <dgm:t>
        <a:bodyPr/>
        <a:lstStyle/>
        <a:p>
          <a:endParaRPr lang="en-US"/>
        </a:p>
      </dgm:t>
    </dgm:pt>
    <dgm:pt modelId="{3FE6E2C5-0D84-4EA6-8A7C-D44D396A169E}" type="pres">
      <dgm:prSet presAssocID="{0E1FEA62-81EE-4117-997B-69ED8651A7D0}" presName="Name9" presStyleLbl="parChTrans1D2" presStyleIdx="1" presStyleCnt="8"/>
      <dgm:spPr>
        <a:custGeom>
          <a:avLst/>
          <a:gdLst/>
          <a:ahLst/>
          <a:cxnLst/>
          <a:rect l="0" t="0" r="0" b="0"/>
          <a:pathLst>
            <a:path>
              <a:moveTo>
                <a:pt x="0" y="7259"/>
              </a:moveTo>
              <a:lnTo>
                <a:pt x="255651" y="7259"/>
              </a:lnTo>
            </a:path>
          </a:pathLst>
        </a:custGeom>
      </dgm:spPr>
      <dgm:t>
        <a:bodyPr/>
        <a:lstStyle/>
        <a:p>
          <a:endParaRPr lang="en-US"/>
        </a:p>
      </dgm:t>
    </dgm:pt>
    <dgm:pt modelId="{C8361934-9E8A-4B07-8048-7D48F9D9FCA9}" type="pres">
      <dgm:prSet presAssocID="{0E1FEA62-81EE-4117-997B-69ED8651A7D0}" presName="connTx" presStyleLbl="parChTrans1D2" presStyleIdx="1" presStyleCnt="8"/>
      <dgm:spPr/>
      <dgm:t>
        <a:bodyPr/>
        <a:lstStyle/>
        <a:p>
          <a:endParaRPr lang="en-US"/>
        </a:p>
      </dgm:t>
    </dgm:pt>
    <dgm:pt modelId="{5F1C34CD-B8DF-45F7-A431-2126D61FFACC}" type="pres">
      <dgm:prSet presAssocID="{FB911F09-22D9-48A7-A087-AEF5110B6682}" presName="node" presStyleLbl="node1" presStyleIdx="1" presStyleCnt="8" custScaleX="209755" custScaleY="103954" custRadScaleRad="119312" custRadScaleInc="66110">
        <dgm:presLayoutVars>
          <dgm:bulletEnabled val="1"/>
        </dgm:presLayoutVars>
      </dgm:prSet>
      <dgm:spPr>
        <a:prstGeom prst="ellipse">
          <a:avLst/>
        </a:prstGeom>
      </dgm:spPr>
      <dgm:t>
        <a:bodyPr/>
        <a:lstStyle/>
        <a:p>
          <a:endParaRPr lang="en-US"/>
        </a:p>
      </dgm:t>
    </dgm:pt>
    <dgm:pt modelId="{93B3BE9E-D237-4DD9-937C-973455BC3658}" type="pres">
      <dgm:prSet presAssocID="{069AD1A8-1718-4E51-AEE7-85B69D54F950}" presName="Name9" presStyleLbl="parChTrans1D2" presStyleIdx="2" presStyleCnt="8"/>
      <dgm:spPr>
        <a:custGeom>
          <a:avLst/>
          <a:gdLst/>
          <a:ahLst/>
          <a:cxnLst/>
          <a:rect l="0" t="0" r="0" b="0"/>
          <a:pathLst>
            <a:path>
              <a:moveTo>
                <a:pt x="0" y="7259"/>
              </a:moveTo>
              <a:lnTo>
                <a:pt x="1061555" y="7259"/>
              </a:lnTo>
            </a:path>
          </a:pathLst>
        </a:custGeom>
      </dgm:spPr>
      <dgm:t>
        <a:bodyPr/>
        <a:lstStyle/>
        <a:p>
          <a:endParaRPr lang="en-US"/>
        </a:p>
      </dgm:t>
    </dgm:pt>
    <dgm:pt modelId="{E7C370CD-4B70-470B-B819-7260C176B479}" type="pres">
      <dgm:prSet presAssocID="{069AD1A8-1718-4E51-AEE7-85B69D54F950}" presName="connTx" presStyleLbl="parChTrans1D2" presStyleIdx="2" presStyleCnt="8"/>
      <dgm:spPr/>
      <dgm:t>
        <a:bodyPr/>
        <a:lstStyle/>
        <a:p>
          <a:endParaRPr lang="en-US"/>
        </a:p>
      </dgm:t>
    </dgm:pt>
    <dgm:pt modelId="{3A26272E-8DBD-422F-ABA2-A3DA0C9B3C69}" type="pres">
      <dgm:prSet presAssocID="{447D5D1D-0860-4B1B-A10A-5D7EC9B637D8}" presName="node" presStyleLbl="node1" presStyleIdx="2" presStyleCnt="8" custScaleX="272074" custScaleY="107620" custRadScaleRad="255519" custRadScaleInc="1">
        <dgm:presLayoutVars>
          <dgm:bulletEnabled val="1"/>
        </dgm:presLayoutVars>
      </dgm:prSet>
      <dgm:spPr>
        <a:prstGeom prst="ellipse">
          <a:avLst/>
        </a:prstGeom>
      </dgm:spPr>
      <dgm:t>
        <a:bodyPr/>
        <a:lstStyle/>
        <a:p>
          <a:endParaRPr lang="en-US"/>
        </a:p>
      </dgm:t>
    </dgm:pt>
    <dgm:pt modelId="{7F30A5E4-3531-49F3-AC3C-8F1D2236451A}" type="pres">
      <dgm:prSet presAssocID="{F0719816-4AC2-4964-8797-61135BEDA83D}" presName="Name9" presStyleLbl="parChTrans1D2" presStyleIdx="3" presStyleCnt="8"/>
      <dgm:spPr>
        <a:custGeom>
          <a:avLst/>
          <a:gdLst/>
          <a:ahLst/>
          <a:cxnLst/>
          <a:rect l="0" t="0" r="0" b="0"/>
          <a:pathLst>
            <a:path>
              <a:moveTo>
                <a:pt x="0" y="7259"/>
              </a:moveTo>
              <a:lnTo>
                <a:pt x="339042" y="7259"/>
              </a:lnTo>
            </a:path>
          </a:pathLst>
        </a:custGeom>
      </dgm:spPr>
      <dgm:t>
        <a:bodyPr/>
        <a:lstStyle/>
        <a:p>
          <a:endParaRPr lang="en-US"/>
        </a:p>
      </dgm:t>
    </dgm:pt>
    <dgm:pt modelId="{93F2ABB5-3A44-45ED-A792-C294D6962C8F}" type="pres">
      <dgm:prSet presAssocID="{F0719816-4AC2-4964-8797-61135BEDA83D}" presName="connTx" presStyleLbl="parChTrans1D2" presStyleIdx="3" presStyleCnt="8"/>
      <dgm:spPr/>
      <dgm:t>
        <a:bodyPr/>
        <a:lstStyle/>
        <a:p>
          <a:endParaRPr lang="en-US"/>
        </a:p>
      </dgm:t>
    </dgm:pt>
    <dgm:pt modelId="{E01DCF12-19AC-4734-9210-5F881573D3F5}" type="pres">
      <dgm:prSet presAssocID="{DAF30ECC-CB4B-483A-93C7-47A100649D5D}" presName="node" presStyleLbl="node1" presStyleIdx="3" presStyleCnt="8" custScaleX="232732" custScaleY="102348" custRadScaleRad="138971" custRadScaleInc="-83382">
        <dgm:presLayoutVars>
          <dgm:bulletEnabled val="1"/>
        </dgm:presLayoutVars>
      </dgm:prSet>
      <dgm:spPr>
        <a:prstGeom prst="ellipse">
          <a:avLst/>
        </a:prstGeom>
      </dgm:spPr>
      <dgm:t>
        <a:bodyPr/>
        <a:lstStyle/>
        <a:p>
          <a:endParaRPr lang="en-US"/>
        </a:p>
      </dgm:t>
    </dgm:pt>
    <dgm:pt modelId="{9350C245-A165-4791-BD7A-BFCED0BB0361}" type="pres">
      <dgm:prSet presAssocID="{4DA931F6-88AF-4B28-AA68-7BB47161ABA9}" presName="Name9" presStyleLbl="parChTrans1D2" presStyleIdx="4" presStyleCnt="8"/>
      <dgm:spPr>
        <a:custGeom>
          <a:avLst/>
          <a:gdLst/>
          <a:ahLst/>
          <a:cxnLst/>
          <a:rect l="0" t="0" r="0" b="0"/>
          <a:pathLst>
            <a:path>
              <a:moveTo>
                <a:pt x="0" y="7259"/>
              </a:moveTo>
              <a:lnTo>
                <a:pt x="327479" y="7259"/>
              </a:lnTo>
            </a:path>
          </a:pathLst>
        </a:custGeom>
      </dgm:spPr>
      <dgm:t>
        <a:bodyPr/>
        <a:lstStyle/>
        <a:p>
          <a:endParaRPr lang="en-US"/>
        </a:p>
      </dgm:t>
    </dgm:pt>
    <dgm:pt modelId="{E19A1787-F640-4D8D-A88F-51D710E321CA}" type="pres">
      <dgm:prSet presAssocID="{4DA931F6-88AF-4B28-AA68-7BB47161ABA9}" presName="connTx" presStyleLbl="parChTrans1D2" presStyleIdx="4" presStyleCnt="8"/>
      <dgm:spPr/>
      <dgm:t>
        <a:bodyPr/>
        <a:lstStyle/>
        <a:p>
          <a:endParaRPr lang="en-US"/>
        </a:p>
      </dgm:t>
    </dgm:pt>
    <dgm:pt modelId="{C7416AF2-49A6-451C-80C3-A5143C86D045}" type="pres">
      <dgm:prSet presAssocID="{06E8F230-0A46-4973-959C-5518A0F634E1}" presName="node" presStyleLbl="node1" presStyleIdx="4" presStyleCnt="8" custScaleX="238450" custScaleY="142041">
        <dgm:presLayoutVars>
          <dgm:bulletEnabled val="1"/>
        </dgm:presLayoutVars>
      </dgm:prSet>
      <dgm:spPr>
        <a:prstGeom prst="ellipse">
          <a:avLst/>
        </a:prstGeom>
      </dgm:spPr>
      <dgm:t>
        <a:bodyPr/>
        <a:lstStyle/>
        <a:p>
          <a:endParaRPr lang="en-US"/>
        </a:p>
      </dgm:t>
    </dgm:pt>
    <dgm:pt modelId="{2A6DC4FF-B426-4171-A201-27B83DA94370}" type="pres">
      <dgm:prSet presAssocID="{FEDE4186-485A-46BD-B210-B0BD4480CB16}" presName="Name9" presStyleLbl="parChTrans1D2" presStyleIdx="5" presStyleCnt="8"/>
      <dgm:spPr>
        <a:custGeom>
          <a:avLst/>
          <a:gdLst/>
          <a:ahLst/>
          <a:cxnLst/>
          <a:rect l="0" t="0" r="0" b="0"/>
          <a:pathLst>
            <a:path>
              <a:moveTo>
                <a:pt x="0" y="7259"/>
              </a:moveTo>
              <a:lnTo>
                <a:pt x="328427" y="7259"/>
              </a:lnTo>
            </a:path>
          </a:pathLst>
        </a:custGeom>
      </dgm:spPr>
      <dgm:t>
        <a:bodyPr/>
        <a:lstStyle/>
        <a:p>
          <a:endParaRPr lang="en-US"/>
        </a:p>
      </dgm:t>
    </dgm:pt>
    <dgm:pt modelId="{CB1335D7-B771-475A-BE82-89C2F00DAF8B}" type="pres">
      <dgm:prSet presAssocID="{FEDE4186-485A-46BD-B210-B0BD4480CB16}" presName="connTx" presStyleLbl="parChTrans1D2" presStyleIdx="5" presStyleCnt="8"/>
      <dgm:spPr/>
      <dgm:t>
        <a:bodyPr/>
        <a:lstStyle/>
        <a:p>
          <a:endParaRPr lang="en-US"/>
        </a:p>
      </dgm:t>
    </dgm:pt>
    <dgm:pt modelId="{353BAFE4-0977-4589-9534-7471241857D7}" type="pres">
      <dgm:prSet presAssocID="{CFBCC7A9-248E-440C-A926-28CC42C6B860}" presName="node" presStyleLbl="node1" presStyleIdx="5" presStyleCnt="8" custScaleX="237761" custScaleY="121756" custRadScaleRad="142205" custRadScaleInc="97038">
        <dgm:presLayoutVars>
          <dgm:bulletEnabled val="1"/>
        </dgm:presLayoutVars>
      </dgm:prSet>
      <dgm:spPr>
        <a:prstGeom prst="ellipse">
          <a:avLst/>
        </a:prstGeom>
      </dgm:spPr>
      <dgm:t>
        <a:bodyPr/>
        <a:lstStyle/>
        <a:p>
          <a:endParaRPr lang="en-US"/>
        </a:p>
      </dgm:t>
    </dgm:pt>
    <dgm:pt modelId="{D3C62D02-BD66-40AA-8598-E6F03FA4330E}" type="pres">
      <dgm:prSet presAssocID="{BD2843B5-7E3E-4680-8A25-01BA23D8CE69}" presName="Name9" presStyleLbl="parChTrans1D2" presStyleIdx="6" presStyleCnt="8"/>
      <dgm:spPr>
        <a:custGeom>
          <a:avLst/>
          <a:gdLst/>
          <a:ahLst/>
          <a:cxnLst/>
          <a:rect l="0" t="0" r="0" b="0"/>
          <a:pathLst>
            <a:path>
              <a:moveTo>
                <a:pt x="0" y="7259"/>
              </a:moveTo>
              <a:lnTo>
                <a:pt x="1146536" y="7259"/>
              </a:lnTo>
            </a:path>
          </a:pathLst>
        </a:custGeom>
      </dgm:spPr>
      <dgm:t>
        <a:bodyPr/>
        <a:lstStyle/>
        <a:p>
          <a:endParaRPr lang="en-US"/>
        </a:p>
      </dgm:t>
    </dgm:pt>
    <dgm:pt modelId="{37A775CB-7592-434E-A233-9CA00876798D}" type="pres">
      <dgm:prSet presAssocID="{BD2843B5-7E3E-4680-8A25-01BA23D8CE69}" presName="connTx" presStyleLbl="parChTrans1D2" presStyleIdx="6" presStyleCnt="8"/>
      <dgm:spPr/>
      <dgm:t>
        <a:bodyPr/>
        <a:lstStyle/>
        <a:p>
          <a:endParaRPr lang="en-US"/>
        </a:p>
      </dgm:t>
    </dgm:pt>
    <dgm:pt modelId="{694C81C6-3E54-45BC-9ED9-5944CBD672A7}" type="pres">
      <dgm:prSet presAssocID="{C8838BF5-4657-4DB6-B70A-DBA4AB5B97EE}" presName="node" presStyleLbl="node1" presStyleIdx="6" presStyleCnt="8" custScaleX="290239" custScaleY="147917" custRadScaleRad="260537">
        <dgm:presLayoutVars>
          <dgm:bulletEnabled val="1"/>
        </dgm:presLayoutVars>
      </dgm:prSet>
      <dgm:spPr>
        <a:prstGeom prst="ellipse">
          <a:avLst/>
        </a:prstGeom>
      </dgm:spPr>
      <dgm:t>
        <a:bodyPr/>
        <a:lstStyle/>
        <a:p>
          <a:endParaRPr lang="en-US"/>
        </a:p>
      </dgm:t>
    </dgm:pt>
    <dgm:pt modelId="{98E66AFE-BCED-48F2-B78A-230BF42B9FFC}" type="pres">
      <dgm:prSet presAssocID="{6FBFA200-28B9-441C-9603-B958FB3D45CE}" presName="Name9" presStyleLbl="parChTrans1D2" presStyleIdx="7" presStyleCnt="8"/>
      <dgm:spPr>
        <a:custGeom>
          <a:avLst/>
          <a:gdLst/>
          <a:ahLst/>
          <a:cxnLst/>
          <a:rect l="0" t="0" r="0" b="0"/>
          <a:pathLst>
            <a:path>
              <a:moveTo>
                <a:pt x="0" y="7259"/>
              </a:moveTo>
              <a:lnTo>
                <a:pt x="219777" y="7259"/>
              </a:lnTo>
            </a:path>
          </a:pathLst>
        </a:custGeom>
      </dgm:spPr>
      <dgm:t>
        <a:bodyPr/>
        <a:lstStyle/>
        <a:p>
          <a:endParaRPr lang="en-US"/>
        </a:p>
      </dgm:t>
    </dgm:pt>
    <dgm:pt modelId="{7244ABB3-7BCC-4145-8C19-8C33F0A4C35F}" type="pres">
      <dgm:prSet presAssocID="{6FBFA200-28B9-441C-9603-B958FB3D45CE}" presName="connTx" presStyleLbl="parChTrans1D2" presStyleIdx="7" presStyleCnt="8"/>
      <dgm:spPr/>
      <dgm:t>
        <a:bodyPr/>
        <a:lstStyle/>
        <a:p>
          <a:endParaRPr lang="en-US"/>
        </a:p>
      </dgm:t>
    </dgm:pt>
    <dgm:pt modelId="{A8CAB3F2-A4A1-434C-9CB4-641DE8526482}" type="pres">
      <dgm:prSet presAssocID="{17173E60-1AB7-4219-9E5D-2EB707D4762A}" presName="node" presStyleLbl="node1" presStyleIdx="7" presStyleCnt="8" custScaleX="230516" custScaleY="126607" custRadScaleRad="125722" custRadScaleInc="-75844">
        <dgm:presLayoutVars>
          <dgm:bulletEnabled val="1"/>
        </dgm:presLayoutVars>
      </dgm:prSet>
      <dgm:spPr>
        <a:prstGeom prst="ellipse">
          <a:avLst/>
        </a:prstGeom>
      </dgm:spPr>
      <dgm:t>
        <a:bodyPr/>
        <a:lstStyle/>
        <a:p>
          <a:endParaRPr lang="en-US"/>
        </a:p>
      </dgm:t>
    </dgm:pt>
  </dgm:ptLst>
  <dgm:cxnLst>
    <dgm:cxn modelId="{1763FEA0-AAF8-4DB3-8B21-253B8F239228}" srcId="{615A8A4C-3386-41CB-B004-75AA2E0C8E7E}" destId="{FB911F09-22D9-48A7-A087-AEF5110B6682}" srcOrd="1" destOrd="0" parTransId="{0E1FEA62-81EE-4117-997B-69ED8651A7D0}" sibTransId="{98ACE05E-CC42-4FE0-BC36-110025A6B590}"/>
    <dgm:cxn modelId="{88E711CF-6044-4E4D-AF13-1EAE4698B60B}" type="presOf" srcId="{FB911F09-22D9-48A7-A087-AEF5110B6682}" destId="{5F1C34CD-B8DF-45F7-A431-2126D61FFACC}" srcOrd="0" destOrd="0" presId="urn:microsoft.com/office/officeart/2005/8/layout/radial1"/>
    <dgm:cxn modelId="{FE4486B9-0950-4099-BD83-ADEFAFD612A4}" type="presOf" srcId="{FEDE4186-485A-46BD-B210-B0BD4480CB16}" destId="{2A6DC4FF-B426-4171-A201-27B83DA94370}" srcOrd="0" destOrd="0" presId="urn:microsoft.com/office/officeart/2005/8/layout/radial1"/>
    <dgm:cxn modelId="{1A50382B-5220-4D90-80D2-DA1D0D74A610}" type="presOf" srcId="{069AD1A8-1718-4E51-AEE7-85B69D54F950}" destId="{93B3BE9E-D237-4DD9-937C-973455BC3658}" srcOrd="0" destOrd="0" presId="urn:microsoft.com/office/officeart/2005/8/layout/radial1"/>
    <dgm:cxn modelId="{A2956FE9-2873-4172-BF51-567D60CA3804}" type="presOf" srcId="{C8838BF5-4657-4DB6-B70A-DBA4AB5B97EE}" destId="{694C81C6-3E54-45BC-9ED9-5944CBD672A7}" srcOrd="0" destOrd="0" presId="urn:microsoft.com/office/officeart/2005/8/layout/radial1"/>
    <dgm:cxn modelId="{92AEF8EC-9120-4660-BAF8-14B118B62911}" type="presOf" srcId="{615A8A4C-3386-41CB-B004-75AA2E0C8E7E}" destId="{262D173F-A40A-406A-BA41-067F590F5B00}" srcOrd="0" destOrd="0" presId="urn:microsoft.com/office/officeart/2005/8/layout/radial1"/>
    <dgm:cxn modelId="{070AEFE9-55EF-4F5A-B707-AF0518F7B8C6}" srcId="{615A8A4C-3386-41CB-B004-75AA2E0C8E7E}" destId="{06E8F230-0A46-4973-959C-5518A0F634E1}" srcOrd="4" destOrd="0" parTransId="{4DA931F6-88AF-4B28-AA68-7BB47161ABA9}" sibTransId="{05D557FB-EE62-41BD-A184-12A99A228BF1}"/>
    <dgm:cxn modelId="{D4FD3A9A-8172-4379-974E-B013D44C3629}" type="presOf" srcId="{4DA931F6-88AF-4B28-AA68-7BB47161ABA9}" destId="{E19A1787-F640-4D8D-A88F-51D710E321CA}" srcOrd="1" destOrd="0" presId="urn:microsoft.com/office/officeart/2005/8/layout/radial1"/>
    <dgm:cxn modelId="{2169D082-0982-46CF-A74C-1C79BB95BFA1}" type="presOf" srcId="{BD2843B5-7E3E-4680-8A25-01BA23D8CE69}" destId="{37A775CB-7592-434E-A233-9CA00876798D}" srcOrd="1" destOrd="0" presId="urn:microsoft.com/office/officeart/2005/8/layout/radial1"/>
    <dgm:cxn modelId="{A481EE74-8AB8-4E3E-891F-C1AF1F806047}" type="presOf" srcId="{DD2E3765-25B6-48F8-B902-5C026C284173}" destId="{4B42C994-9F34-48FA-B0E9-245578FAC1C6}" srcOrd="0" destOrd="0" presId="urn:microsoft.com/office/officeart/2005/8/layout/radial1"/>
    <dgm:cxn modelId="{1F78CC13-3ECE-40F9-B4C9-BA6A4C06B35F}" type="presOf" srcId="{CF74A6F9-BA34-45B8-91B4-D30611FDBA60}" destId="{2E00D982-49D5-455F-888E-68E4C81A2365}" srcOrd="0" destOrd="0" presId="urn:microsoft.com/office/officeart/2005/8/layout/radial1"/>
    <dgm:cxn modelId="{E55333C4-687C-4186-B8C3-1AC5CE56517A}" srcId="{DD2E3765-25B6-48F8-B902-5C026C284173}" destId="{615A8A4C-3386-41CB-B004-75AA2E0C8E7E}" srcOrd="0" destOrd="0" parTransId="{E2BD043E-B694-4760-8FC3-4BE59593050C}" sibTransId="{A7B35DF3-2893-4CFA-8C75-4D2DB5615E44}"/>
    <dgm:cxn modelId="{9A60E343-BDF2-491A-A7D5-5299DFF2BE0A}" srcId="{615A8A4C-3386-41CB-B004-75AA2E0C8E7E}" destId="{C1693A50-4E68-4912-9A70-0C97C87B3D7E}" srcOrd="0" destOrd="0" parTransId="{CF74A6F9-BA34-45B8-91B4-D30611FDBA60}" sibTransId="{4B485C48-2801-485C-A89E-B43F912DB680}"/>
    <dgm:cxn modelId="{6C141C60-9C1C-427D-BCAA-FE99B33DB7A7}" type="presOf" srcId="{069AD1A8-1718-4E51-AEE7-85B69D54F950}" destId="{E7C370CD-4B70-470B-B819-7260C176B479}" srcOrd="1" destOrd="0" presId="urn:microsoft.com/office/officeart/2005/8/layout/radial1"/>
    <dgm:cxn modelId="{BDD603E5-32A8-4357-A645-15FCDD99E4E8}" type="presOf" srcId="{6FBFA200-28B9-441C-9603-B958FB3D45CE}" destId="{98E66AFE-BCED-48F2-B78A-230BF42B9FFC}" srcOrd="0" destOrd="0" presId="urn:microsoft.com/office/officeart/2005/8/layout/radial1"/>
    <dgm:cxn modelId="{64EB48A2-0615-4134-85EB-A4DAE785AB7D}" srcId="{615A8A4C-3386-41CB-B004-75AA2E0C8E7E}" destId="{C8838BF5-4657-4DB6-B70A-DBA4AB5B97EE}" srcOrd="6" destOrd="0" parTransId="{BD2843B5-7E3E-4680-8A25-01BA23D8CE69}" sibTransId="{899C251D-3EE6-4D89-8EC9-77FF6FC72E05}"/>
    <dgm:cxn modelId="{4DB7015B-B530-4DB6-B124-FE1E5A1F269B}" type="presOf" srcId="{6FBFA200-28B9-441C-9603-B958FB3D45CE}" destId="{7244ABB3-7BCC-4145-8C19-8C33F0A4C35F}" srcOrd="1" destOrd="0" presId="urn:microsoft.com/office/officeart/2005/8/layout/radial1"/>
    <dgm:cxn modelId="{817BB0EE-1515-446C-816E-51072AC47E68}" type="presOf" srcId="{FEDE4186-485A-46BD-B210-B0BD4480CB16}" destId="{CB1335D7-B771-475A-BE82-89C2F00DAF8B}" srcOrd="1" destOrd="0" presId="urn:microsoft.com/office/officeart/2005/8/layout/radial1"/>
    <dgm:cxn modelId="{427458F4-2128-4535-BC60-2C807BAEAB78}" srcId="{615A8A4C-3386-41CB-B004-75AA2E0C8E7E}" destId="{17173E60-1AB7-4219-9E5D-2EB707D4762A}" srcOrd="7" destOrd="0" parTransId="{6FBFA200-28B9-441C-9603-B958FB3D45CE}" sibTransId="{4E9757A6-6A62-4D49-A0CB-E147D06AE7B1}"/>
    <dgm:cxn modelId="{42B369F7-C30A-4FDC-ADE3-E6B5687F39BC}" type="presOf" srcId="{BD2843B5-7E3E-4680-8A25-01BA23D8CE69}" destId="{D3C62D02-BD66-40AA-8598-E6F03FA4330E}" srcOrd="0" destOrd="0" presId="urn:microsoft.com/office/officeart/2005/8/layout/radial1"/>
    <dgm:cxn modelId="{641003EF-2952-487D-8C73-5F263FC31F12}" type="presOf" srcId="{DAF30ECC-CB4B-483A-93C7-47A100649D5D}" destId="{E01DCF12-19AC-4734-9210-5F881573D3F5}" srcOrd="0" destOrd="0" presId="urn:microsoft.com/office/officeart/2005/8/layout/radial1"/>
    <dgm:cxn modelId="{D8B87C58-CDF9-4C24-AC01-5D63E0E88864}" type="presOf" srcId="{F0719816-4AC2-4964-8797-61135BEDA83D}" destId="{93F2ABB5-3A44-45ED-A792-C294D6962C8F}" srcOrd="1" destOrd="0" presId="urn:microsoft.com/office/officeart/2005/8/layout/radial1"/>
    <dgm:cxn modelId="{4B8455E7-4B99-4C1B-A85F-368F4A08E0BE}" srcId="{615A8A4C-3386-41CB-B004-75AA2E0C8E7E}" destId="{447D5D1D-0860-4B1B-A10A-5D7EC9B637D8}" srcOrd="2" destOrd="0" parTransId="{069AD1A8-1718-4E51-AEE7-85B69D54F950}" sibTransId="{855AF909-31D3-4065-ABB3-82005C9FEF4C}"/>
    <dgm:cxn modelId="{2BA3231B-FE8B-49C5-8483-18468A22B927}" type="presOf" srcId="{4DA931F6-88AF-4B28-AA68-7BB47161ABA9}" destId="{9350C245-A165-4791-BD7A-BFCED0BB0361}" srcOrd="0" destOrd="0" presId="urn:microsoft.com/office/officeart/2005/8/layout/radial1"/>
    <dgm:cxn modelId="{2DEB034E-2A54-4247-9423-EAE96766DDA1}" type="presOf" srcId="{447D5D1D-0860-4B1B-A10A-5D7EC9B637D8}" destId="{3A26272E-8DBD-422F-ABA2-A3DA0C9B3C69}" srcOrd="0" destOrd="0" presId="urn:microsoft.com/office/officeart/2005/8/layout/radial1"/>
    <dgm:cxn modelId="{DE756BB2-8672-40F4-BF4A-AF28AEB8E433}" type="presOf" srcId="{F0719816-4AC2-4964-8797-61135BEDA83D}" destId="{7F30A5E4-3531-49F3-AC3C-8F1D2236451A}" srcOrd="0" destOrd="0" presId="urn:microsoft.com/office/officeart/2005/8/layout/radial1"/>
    <dgm:cxn modelId="{52CD2FF9-A1F8-4D56-80D2-9E930CAB3881}" type="presOf" srcId="{0E1FEA62-81EE-4117-997B-69ED8651A7D0}" destId="{C8361934-9E8A-4B07-8048-7D48F9D9FCA9}" srcOrd="1" destOrd="0" presId="urn:microsoft.com/office/officeart/2005/8/layout/radial1"/>
    <dgm:cxn modelId="{4E68C5E6-4E50-45B6-9E23-A7A97C86ED5E}" srcId="{615A8A4C-3386-41CB-B004-75AA2E0C8E7E}" destId="{DAF30ECC-CB4B-483A-93C7-47A100649D5D}" srcOrd="3" destOrd="0" parTransId="{F0719816-4AC2-4964-8797-61135BEDA83D}" sibTransId="{939B8447-5FC4-4D01-8936-0F63CFB1E3F9}"/>
    <dgm:cxn modelId="{CBE63974-079C-430D-99EA-D235205EAEA8}" type="presOf" srcId="{0E1FEA62-81EE-4117-997B-69ED8651A7D0}" destId="{3FE6E2C5-0D84-4EA6-8A7C-D44D396A169E}" srcOrd="0" destOrd="0" presId="urn:microsoft.com/office/officeart/2005/8/layout/radial1"/>
    <dgm:cxn modelId="{F44872ED-C25C-4213-AF1F-F434935D7863}" type="presOf" srcId="{06E8F230-0A46-4973-959C-5518A0F634E1}" destId="{C7416AF2-49A6-451C-80C3-A5143C86D045}" srcOrd="0" destOrd="0" presId="urn:microsoft.com/office/officeart/2005/8/layout/radial1"/>
    <dgm:cxn modelId="{1AA9EDCB-7AF6-406C-9BE6-B90918B1AE07}" srcId="{615A8A4C-3386-41CB-B004-75AA2E0C8E7E}" destId="{CFBCC7A9-248E-440C-A926-28CC42C6B860}" srcOrd="5" destOrd="0" parTransId="{FEDE4186-485A-46BD-B210-B0BD4480CB16}" sibTransId="{85FBEBF4-A458-477D-AE50-1E5F0800CC74}"/>
    <dgm:cxn modelId="{C81A6509-055A-476C-97B1-5E9850706572}" type="presOf" srcId="{17173E60-1AB7-4219-9E5D-2EB707D4762A}" destId="{A8CAB3F2-A4A1-434C-9CB4-641DE8526482}" srcOrd="0" destOrd="0" presId="urn:microsoft.com/office/officeart/2005/8/layout/radial1"/>
    <dgm:cxn modelId="{F0346E48-F9FA-4167-A15C-8E346FE31CD8}" type="presOf" srcId="{C1693A50-4E68-4912-9A70-0C97C87B3D7E}" destId="{44473C27-A9A3-4167-AEAF-A01C156E33F0}" srcOrd="0" destOrd="0" presId="urn:microsoft.com/office/officeart/2005/8/layout/radial1"/>
    <dgm:cxn modelId="{260B1DCA-EA11-483E-B8F2-CDE8EC7D5C44}" type="presOf" srcId="{CFBCC7A9-248E-440C-A926-28CC42C6B860}" destId="{353BAFE4-0977-4589-9534-7471241857D7}" srcOrd="0" destOrd="0" presId="urn:microsoft.com/office/officeart/2005/8/layout/radial1"/>
    <dgm:cxn modelId="{729721F4-46ED-4753-B009-C02A23C64D87}" type="presOf" srcId="{CF74A6F9-BA34-45B8-91B4-D30611FDBA60}" destId="{B7B7A49F-5E78-4AC5-B18E-2DC80AECCF08}" srcOrd="1" destOrd="0" presId="urn:microsoft.com/office/officeart/2005/8/layout/radial1"/>
    <dgm:cxn modelId="{846F9320-94D8-4AFA-949A-629E82DDD3B4}" type="presParOf" srcId="{4B42C994-9F34-48FA-B0E9-245578FAC1C6}" destId="{262D173F-A40A-406A-BA41-067F590F5B00}" srcOrd="0" destOrd="0" presId="urn:microsoft.com/office/officeart/2005/8/layout/radial1"/>
    <dgm:cxn modelId="{DC1D66B3-DF1A-4DD3-8988-BE6273C47C92}" type="presParOf" srcId="{4B42C994-9F34-48FA-B0E9-245578FAC1C6}" destId="{2E00D982-49D5-455F-888E-68E4C81A2365}" srcOrd="1" destOrd="0" presId="urn:microsoft.com/office/officeart/2005/8/layout/radial1"/>
    <dgm:cxn modelId="{01484A29-25B6-4A4A-A7C7-F2B6CF08ACD9}" type="presParOf" srcId="{2E00D982-49D5-455F-888E-68E4C81A2365}" destId="{B7B7A49F-5E78-4AC5-B18E-2DC80AECCF08}" srcOrd="0" destOrd="0" presId="urn:microsoft.com/office/officeart/2005/8/layout/radial1"/>
    <dgm:cxn modelId="{9B302FAC-610E-425E-A277-FFB59E810296}" type="presParOf" srcId="{4B42C994-9F34-48FA-B0E9-245578FAC1C6}" destId="{44473C27-A9A3-4167-AEAF-A01C156E33F0}" srcOrd="2" destOrd="0" presId="urn:microsoft.com/office/officeart/2005/8/layout/radial1"/>
    <dgm:cxn modelId="{739123E4-4903-44DD-9C60-7D410B2686F8}" type="presParOf" srcId="{4B42C994-9F34-48FA-B0E9-245578FAC1C6}" destId="{3FE6E2C5-0D84-4EA6-8A7C-D44D396A169E}" srcOrd="3" destOrd="0" presId="urn:microsoft.com/office/officeart/2005/8/layout/radial1"/>
    <dgm:cxn modelId="{7C464CF9-08B3-42C1-8C8A-333A3D715FBC}" type="presParOf" srcId="{3FE6E2C5-0D84-4EA6-8A7C-D44D396A169E}" destId="{C8361934-9E8A-4B07-8048-7D48F9D9FCA9}" srcOrd="0" destOrd="0" presId="urn:microsoft.com/office/officeart/2005/8/layout/radial1"/>
    <dgm:cxn modelId="{A674D480-D1E1-49FF-B2F3-699392905AF5}" type="presParOf" srcId="{4B42C994-9F34-48FA-B0E9-245578FAC1C6}" destId="{5F1C34CD-B8DF-45F7-A431-2126D61FFACC}" srcOrd="4" destOrd="0" presId="urn:microsoft.com/office/officeart/2005/8/layout/radial1"/>
    <dgm:cxn modelId="{01639802-989C-4C4A-A114-CC2C464632F8}" type="presParOf" srcId="{4B42C994-9F34-48FA-B0E9-245578FAC1C6}" destId="{93B3BE9E-D237-4DD9-937C-973455BC3658}" srcOrd="5" destOrd="0" presId="urn:microsoft.com/office/officeart/2005/8/layout/radial1"/>
    <dgm:cxn modelId="{695A400D-BB36-4F4F-BA52-C9262545D8DB}" type="presParOf" srcId="{93B3BE9E-D237-4DD9-937C-973455BC3658}" destId="{E7C370CD-4B70-470B-B819-7260C176B479}" srcOrd="0" destOrd="0" presId="urn:microsoft.com/office/officeart/2005/8/layout/radial1"/>
    <dgm:cxn modelId="{9F8E3616-3756-4DF0-97B8-3E877D734C16}" type="presParOf" srcId="{4B42C994-9F34-48FA-B0E9-245578FAC1C6}" destId="{3A26272E-8DBD-422F-ABA2-A3DA0C9B3C69}" srcOrd="6" destOrd="0" presId="urn:microsoft.com/office/officeart/2005/8/layout/radial1"/>
    <dgm:cxn modelId="{69114E3B-F4F0-4ECC-B540-35ACB0120E34}" type="presParOf" srcId="{4B42C994-9F34-48FA-B0E9-245578FAC1C6}" destId="{7F30A5E4-3531-49F3-AC3C-8F1D2236451A}" srcOrd="7" destOrd="0" presId="urn:microsoft.com/office/officeart/2005/8/layout/radial1"/>
    <dgm:cxn modelId="{1DC18107-4658-436B-A1A8-A6D6260C5CEB}" type="presParOf" srcId="{7F30A5E4-3531-49F3-AC3C-8F1D2236451A}" destId="{93F2ABB5-3A44-45ED-A792-C294D6962C8F}" srcOrd="0" destOrd="0" presId="urn:microsoft.com/office/officeart/2005/8/layout/radial1"/>
    <dgm:cxn modelId="{5BFF2EE0-FC2F-4579-ADDE-6913B9A8B97A}" type="presParOf" srcId="{4B42C994-9F34-48FA-B0E9-245578FAC1C6}" destId="{E01DCF12-19AC-4734-9210-5F881573D3F5}" srcOrd="8" destOrd="0" presId="urn:microsoft.com/office/officeart/2005/8/layout/radial1"/>
    <dgm:cxn modelId="{E24F6FB6-A9E2-42EA-93EC-777359588759}" type="presParOf" srcId="{4B42C994-9F34-48FA-B0E9-245578FAC1C6}" destId="{9350C245-A165-4791-BD7A-BFCED0BB0361}" srcOrd="9" destOrd="0" presId="urn:microsoft.com/office/officeart/2005/8/layout/radial1"/>
    <dgm:cxn modelId="{0935FE72-F4C2-441E-9FC3-C043DA157083}" type="presParOf" srcId="{9350C245-A165-4791-BD7A-BFCED0BB0361}" destId="{E19A1787-F640-4D8D-A88F-51D710E321CA}" srcOrd="0" destOrd="0" presId="urn:microsoft.com/office/officeart/2005/8/layout/radial1"/>
    <dgm:cxn modelId="{7091BFBF-F70E-4A82-85C1-3FD55AE4E2C4}" type="presParOf" srcId="{4B42C994-9F34-48FA-B0E9-245578FAC1C6}" destId="{C7416AF2-49A6-451C-80C3-A5143C86D045}" srcOrd="10" destOrd="0" presId="urn:microsoft.com/office/officeart/2005/8/layout/radial1"/>
    <dgm:cxn modelId="{4BBC196E-9A80-445B-AF2B-04105691EC51}" type="presParOf" srcId="{4B42C994-9F34-48FA-B0E9-245578FAC1C6}" destId="{2A6DC4FF-B426-4171-A201-27B83DA94370}" srcOrd="11" destOrd="0" presId="urn:microsoft.com/office/officeart/2005/8/layout/radial1"/>
    <dgm:cxn modelId="{12BD4A4A-25A8-43DF-B711-CA8317E47D61}" type="presParOf" srcId="{2A6DC4FF-B426-4171-A201-27B83DA94370}" destId="{CB1335D7-B771-475A-BE82-89C2F00DAF8B}" srcOrd="0" destOrd="0" presId="urn:microsoft.com/office/officeart/2005/8/layout/radial1"/>
    <dgm:cxn modelId="{6FEA03DB-0345-4CD1-A183-925822FFF66F}" type="presParOf" srcId="{4B42C994-9F34-48FA-B0E9-245578FAC1C6}" destId="{353BAFE4-0977-4589-9534-7471241857D7}" srcOrd="12" destOrd="0" presId="urn:microsoft.com/office/officeart/2005/8/layout/radial1"/>
    <dgm:cxn modelId="{5F4E8B1D-7139-4096-88FD-CACC01780065}" type="presParOf" srcId="{4B42C994-9F34-48FA-B0E9-245578FAC1C6}" destId="{D3C62D02-BD66-40AA-8598-E6F03FA4330E}" srcOrd="13" destOrd="0" presId="urn:microsoft.com/office/officeart/2005/8/layout/radial1"/>
    <dgm:cxn modelId="{8FF728D5-6B77-4A7A-9B09-8F17D70526D7}" type="presParOf" srcId="{D3C62D02-BD66-40AA-8598-E6F03FA4330E}" destId="{37A775CB-7592-434E-A233-9CA00876798D}" srcOrd="0" destOrd="0" presId="urn:microsoft.com/office/officeart/2005/8/layout/radial1"/>
    <dgm:cxn modelId="{43B749EF-56B1-4961-A43D-5ACBC5A71142}" type="presParOf" srcId="{4B42C994-9F34-48FA-B0E9-245578FAC1C6}" destId="{694C81C6-3E54-45BC-9ED9-5944CBD672A7}" srcOrd="14" destOrd="0" presId="urn:microsoft.com/office/officeart/2005/8/layout/radial1"/>
    <dgm:cxn modelId="{CBE839B7-1C5F-42D7-BCE9-CD8F09588A59}" type="presParOf" srcId="{4B42C994-9F34-48FA-B0E9-245578FAC1C6}" destId="{98E66AFE-BCED-48F2-B78A-230BF42B9FFC}" srcOrd="15" destOrd="0" presId="urn:microsoft.com/office/officeart/2005/8/layout/radial1"/>
    <dgm:cxn modelId="{80CF35A4-AFF9-4AA4-9B26-C8CEF5059707}" type="presParOf" srcId="{98E66AFE-BCED-48F2-B78A-230BF42B9FFC}" destId="{7244ABB3-7BCC-4145-8C19-8C33F0A4C35F}" srcOrd="0" destOrd="0" presId="urn:microsoft.com/office/officeart/2005/8/layout/radial1"/>
    <dgm:cxn modelId="{12618A34-DFA1-447B-8008-9A6539A57DC2}" type="presParOf" srcId="{4B42C994-9F34-48FA-B0E9-245578FAC1C6}" destId="{A8CAB3F2-A4A1-434C-9CB4-641DE8526482}" srcOrd="16" destOrd="0" presId="urn:microsoft.com/office/officeart/2005/8/layout/radial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a:xfrm>
          <a:off x="2441834" y="1150842"/>
          <a:ext cx="1133517" cy="360182"/>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 </a:t>
          </a: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xfrm>
          <a:off x="289379" y="1550502"/>
          <a:ext cx="1495796" cy="52047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17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Fomentar respeto por la P.I.</a:t>
          </a: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a:xfrm rot="9979233">
          <a:off x="1636864" y="1544622"/>
          <a:ext cx="935057"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4FBC2E2-D754-42C1-BEE4-690296442511}">
      <dgm:prSet phldrT="[Text]" custT="1"/>
      <dgm:spPr>
        <a:xfrm>
          <a:off x="1222730" y="2032861"/>
          <a:ext cx="1159697" cy="56416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15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Soluciones operativas OPI </a:t>
          </a: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a:xfrm rot="8447303">
          <a:off x="1997313" y="1779315"/>
          <a:ext cx="907817"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628F477-2289-4CEE-9618-96DDAFCD4291}">
      <dgm:prSet phldrT="[Text]" custT="1"/>
      <dgm:spPr>
        <a:xfrm>
          <a:off x="2447134" y="2072758"/>
          <a:ext cx="1077113" cy="55411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14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Acceso info. y conocimientos </a:t>
          </a: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a:xfrm rot="5477262">
          <a:off x="2717282" y="1785510"/>
          <a:ext cx="561898"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C1FA040-4399-40F0-866F-845B7914F68D}">
      <dgm:prSet phldrT="[Text]" custT="1"/>
      <dgm:spPr>
        <a:xfrm>
          <a:off x="3532266" y="2023944"/>
          <a:ext cx="1214440" cy="48400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 </a:t>
          </a: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a:xfrm rot="2375020">
          <a:off x="3113147" y="1767105"/>
          <a:ext cx="861437"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4602118-D739-48CC-85E0-791974AFA995}">
      <dgm:prSet phldrT="[Text]" custT="1"/>
      <dgm:spPr>
        <a:xfrm>
          <a:off x="4448169" y="1686861"/>
          <a:ext cx="1253034" cy="47358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Sistema de Madrid </a:t>
          </a: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a:xfrm rot="960427">
          <a:off x="3406149" y="1609665"/>
          <a:ext cx="1192617"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B0D84B1-C440-4746-9EEF-F1ED71D64DD2}">
      <dgm:prSet phldrT="[Text]" custT="1"/>
      <dgm:spPr>
        <a:xfrm>
          <a:off x="4861967" y="1186240"/>
          <a:ext cx="928493" cy="39540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PCT</a:t>
          </a: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a:xfrm rot="78616">
          <a:off x="3573721" y="1352214"/>
          <a:ext cx="1289083"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DAE892F-3F2D-42A5-BB1C-58D0E6BD9A47}">
      <dgm:prSet phldrT="[Text]" custT="1"/>
      <dgm:spPr>
        <a:xfrm>
          <a:off x="4649286" y="598035"/>
          <a:ext cx="1216220" cy="45073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4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CC.TT., ECT y RR.GG.</a:t>
          </a: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a:xfrm rot="20836922">
          <a:off x="3454724" y="1077248"/>
          <a:ext cx="1299228"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0FE4372-65E6-4D92-B9B0-D2B79F26FB27}">
      <dgm:prSet phldrT="[Text]" custT="1"/>
      <dgm:spPr>
        <a:xfrm>
          <a:off x="4416704" y="154134"/>
          <a:ext cx="915618" cy="42824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D.A.D.C.</a:t>
          </a:r>
        </a:p>
      </dgm:t>
    </dgm:pt>
    <dgm:pt modelId="{E2B06661-55BE-4022-AD18-067DB2509F93}" type="sibTrans" cxnId="{1229807D-6A59-498C-A707-9DD6CEEA0C8D}">
      <dgm:prSet/>
      <dgm:spPr/>
      <dgm:t>
        <a:bodyPr/>
        <a:lstStyle/>
        <a:p>
          <a:endParaRPr lang="en-US"/>
        </a:p>
      </dgm:t>
    </dgm:pt>
    <dgm:pt modelId="{D94B5549-C2D2-4629-ACDF-33C6E334FA3A}" type="parTrans" cxnId="{1229807D-6A59-498C-A707-9DD6CEEA0C8D}">
      <dgm:prSet/>
      <dgm:spPr>
        <a:xfrm rot="19962579">
          <a:off x="3226827" y="845857"/>
          <a:ext cx="1419184"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8446A3-EA8C-4C13-8A65-DF8A110D0838}">
      <dgm:prSet phldrT="[Text]" custT="1"/>
      <dgm:spPr>
        <a:xfrm>
          <a:off x="3489517" y="0"/>
          <a:ext cx="937272" cy="48243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Marcas, dis. e indic. geo.</a:t>
          </a: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a:xfrm rot="18664098">
          <a:off x="3001474" y="802953"/>
          <a:ext cx="923251"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8A5766F-115C-487E-B7CB-4ADE150678D1}">
      <dgm:prSet phldrT="[Text]" custT="1"/>
      <dgm:spPr>
        <a:xfrm>
          <a:off x="2550099" y="-15506"/>
          <a:ext cx="900487" cy="39791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Der. patentes</a:t>
          </a: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a:xfrm rot="16175284">
          <a:off x="2620307" y="760236"/>
          <a:ext cx="768458"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65A13E9-3C79-4155-B943-C33E81DAC317}">
      <dgm:prSet phldrT="[Text]" custT="1"/>
      <dgm:spPr>
        <a:xfrm>
          <a:off x="179289" y="1025413"/>
          <a:ext cx="1347725" cy="49136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20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Relaciones exteriores</a:t>
          </a:r>
        </a:p>
      </dgm:t>
    </dgm:pt>
    <dgm:pt modelId="{98B9F8AD-7347-45A5-BC2B-65EB3DDF63CC}" type="parTrans" cxnId="{DF9EB478-C224-42F7-822E-5C2EA98D82E9}">
      <dgm:prSet/>
      <dgm:spPr>
        <a:xfrm rot="10895414">
          <a:off x="1524893" y="1296116"/>
          <a:ext cx="919269"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5C76345-3C56-4B13-AF62-A1F968209579}" type="sibTrans" cxnId="{DF9EB478-C224-42F7-822E-5C2EA98D82E9}">
      <dgm:prSet/>
      <dgm:spPr/>
      <dgm:t>
        <a:bodyPr/>
        <a:lstStyle/>
        <a:p>
          <a:endParaRPr lang="en-US"/>
        </a:p>
      </dgm:t>
    </dgm:pt>
    <dgm:pt modelId="{AAAA106F-E487-47CE-9BAB-D684E19C81DF}">
      <dgm:prSet phldrT="[Text]" custT="1"/>
      <dgm:spPr>
        <a:xfrm>
          <a:off x="281296" y="401731"/>
          <a:ext cx="1431718" cy="53909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Programa 30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Pymes y cap. empresarial</a:t>
          </a:r>
        </a:p>
      </dgm:t>
    </dgm:pt>
    <dgm:pt modelId="{ED17F2E8-0F2C-4806-A165-056066C1285B}" type="parTrans" cxnId="{A38B847D-D226-4A6D-B270-7F561245ACC8}">
      <dgm:prSet/>
      <dgm:spPr>
        <a:xfrm rot="11889421">
          <a:off x="1508745" y="1018566"/>
          <a:ext cx="1133691"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B1A6F93-EA70-4B77-B04E-0D667670E9A6}" type="sibTrans" cxnId="{A38B847D-D226-4A6D-B270-7F561245ACC8}">
      <dgm:prSet/>
      <dgm:spPr/>
      <dgm:t>
        <a:bodyPr/>
        <a:lstStyle/>
        <a:p>
          <a:endParaRPr lang="en-US"/>
        </a:p>
      </dgm:t>
    </dgm:pt>
    <dgm:pt modelId="{89E3D9F6-D117-4291-BEA9-20650ACA1140}">
      <dgm:prSet phldrT="[Text]" custT="1"/>
      <dgm:spPr>
        <a:xfrm>
          <a:off x="1423290" y="86279"/>
          <a:ext cx="1113395" cy="41635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32</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Lisboa </a:t>
          </a:r>
        </a:p>
      </dgm:t>
    </dgm:pt>
    <dgm:pt modelId="{7C5C21B7-8D79-4BDB-811A-C14C2BB877FA}" type="parTrans" cxnId="{2DE14BB3-C787-476D-8AEB-8D5E3558BC6C}">
      <dgm:prSet/>
      <dgm:spPr>
        <a:xfrm rot="13513101">
          <a:off x="2034263" y="818018"/>
          <a:ext cx="943295"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F079A65-A81B-4CBE-B331-67DE498DE623}" type="sibTrans" cxnId="{2DE14BB3-C787-476D-8AEB-8D5E3558BC6C}">
      <dgm:prSet/>
      <dgm:spPr/>
      <dgm:t>
        <a:bodyPr/>
        <a:lstStyle/>
        <a:p>
          <a:endParaRPr lang="en-US"/>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287249" custScaleY="85383"/>
      <dgm:spPr>
        <a:prstGeom prst="ellipse">
          <a:avLst/>
        </a:prstGeom>
      </dgm:spPr>
      <dgm:t>
        <a:bodyPr/>
        <a:lstStyle/>
        <a:p>
          <a:endParaRPr lang="en-US"/>
        </a:p>
      </dgm:t>
    </dgm:pt>
    <dgm:pt modelId="{E6ACA703-0949-41B3-BE6B-C702E5C7275F}" type="pres">
      <dgm:prSet presAssocID="{BA28F4A6-AD16-499D-88C1-DBE004B28175}" presName="Name9" presStyleLbl="parChTrans1D2" presStyleIdx="0" presStyleCnt="13"/>
      <dgm:spPr>
        <a:custGeom>
          <a:avLst/>
          <a:gdLst/>
          <a:ahLst/>
          <a:cxnLst/>
          <a:rect l="0" t="0" r="0" b="0"/>
          <a:pathLst>
            <a:path>
              <a:moveTo>
                <a:pt x="0" y="6387"/>
              </a:moveTo>
              <a:lnTo>
                <a:pt x="768373" y="6387"/>
              </a:lnTo>
            </a:path>
          </a:pathLst>
        </a:custGeom>
      </dgm:spPr>
      <dgm:t>
        <a:bodyPr/>
        <a:lstStyle/>
        <a:p>
          <a:endParaRPr lang="en-US"/>
        </a:p>
      </dgm:t>
    </dgm:pt>
    <dgm:pt modelId="{B06AADB2-5D51-41DC-8677-C0CC2357518B}" type="pres">
      <dgm:prSet presAssocID="{BA28F4A6-AD16-499D-88C1-DBE004B28175}" presName="connTx" presStyleLbl="parChTrans1D2" presStyleIdx="0" presStyleCnt="13"/>
      <dgm:spPr/>
      <dgm:t>
        <a:bodyPr/>
        <a:lstStyle/>
        <a:p>
          <a:endParaRPr lang="en-US"/>
        </a:p>
      </dgm:t>
    </dgm:pt>
    <dgm:pt modelId="{AFD0CC05-9AD4-4A51-8739-4FB4CA1E4ACE}" type="pres">
      <dgm:prSet presAssocID="{68A5766F-115C-487E-B7CB-4ADE150678D1}" presName="node" presStyleLbl="node1" presStyleIdx="0" presStyleCnt="13" custScaleX="252792" custScaleY="94327" custRadScaleRad="100308" custRadScaleInc="-2966">
        <dgm:presLayoutVars>
          <dgm:bulletEnabled val="1"/>
        </dgm:presLayoutVars>
      </dgm:prSet>
      <dgm:spPr>
        <a:prstGeom prst="ellipse">
          <a:avLst/>
        </a:prstGeom>
      </dgm:spPr>
      <dgm:t>
        <a:bodyPr/>
        <a:lstStyle/>
        <a:p>
          <a:endParaRPr lang="en-US"/>
        </a:p>
      </dgm:t>
    </dgm:pt>
    <dgm:pt modelId="{34515D96-C834-4D67-AF5C-3B293601CBC3}" type="pres">
      <dgm:prSet presAssocID="{DB9FEC62-86A7-454A-89B3-F32F1907C71A}" presName="Name9" presStyleLbl="parChTrans1D2" presStyleIdx="1" presStyleCnt="13"/>
      <dgm:spPr>
        <a:custGeom>
          <a:avLst/>
          <a:gdLst/>
          <a:ahLst/>
          <a:cxnLst/>
          <a:rect l="0" t="0" r="0" b="0"/>
          <a:pathLst>
            <a:path>
              <a:moveTo>
                <a:pt x="0" y="6387"/>
              </a:moveTo>
              <a:lnTo>
                <a:pt x="921958" y="6387"/>
              </a:lnTo>
            </a:path>
          </a:pathLst>
        </a:custGeom>
      </dgm:spPr>
      <dgm:t>
        <a:bodyPr/>
        <a:lstStyle/>
        <a:p>
          <a:endParaRPr lang="en-US"/>
        </a:p>
      </dgm:t>
    </dgm:pt>
    <dgm:pt modelId="{A8CF68B1-7D91-429E-8C8D-53007288E1DC}" type="pres">
      <dgm:prSet presAssocID="{DB9FEC62-86A7-454A-89B3-F32F1907C71A}" presName="connTx" presStyleLbl="parChTrans1D2" presStyleIdx="1" presStyleCnt="13"/>
      <dgm:spPr/>
      <dgm:t>
        <a:bodyPr/>
        <a:lstStyle/>
        <a:p>
          <a:endParaRPr lang="en-US"/>
        </a:p>
      </dgm:t>
    </dgm:pt>
    <dgm:pt modelId="{D9366F31-B7D7-4B43-830C-AD5E2193A794}" type="pres">
      <dgm:prSet presAssocID="{898446A3-EA8C-4C13-8A65-DF8A110D0838}" presName="node" presStyleLbl="node1" presStyleIdx="1" presStyleCnt="13" custScaleX="252881" custScaleY="114363" custRadScaleRad="126703" custRadScaleInc="94499">
        <dgm:presLayoutVars>
          <dgm:bulletEnabled val="1"/>
        </dgm:presLayoutVars>
      </dgm:prSet>
      <dgm:spPr>
        <a:prstGeom prst="ellipse">
          <a:avLst/>
        </a:prstGeom>
      </dgm:spPr>
      <dgm:t>
        <a:bodyPr/>
        <a:lstStyle/>
        <a:p>
          <a:endParaRPr lang="en-US"/>
        </a:p>
      </dgm:t>
    </dgm:pt>
    <dgm:pt modelId="{3F0F15B6-4D5A-493B-B03E-AE8141DC3DCE}" type="pres">
      <dgm:prSet presAssocID="{D94B5549-C2D2-4629-ACDF-33C6E334FA3A}" presName="Name9" presStyleLbl="parChTrans1D2" presStyleIdx="2" presStyleCnt="13"/>
      <dgm:spPr>
        <a:custGeom>
          <a:avLst/>
          <a:gdLst/>
          <a:ahLst/>
          <a:cxnLst/>
          <a:rect l="0" t="0" r="0" b="0"/>
          <a:pathLst>
            <a:path>
              <a:moveTo>
                <a:pt x="0" y="6387"/>
              </a:moveTo>
              <a:lnTo>
                <a:pt x="1419030" y="6387"/>
              </a:lnTo>
            </a:path>
          </a:pathLst>
        </a:custGeom>
      </dgm:spPr>
      <dgm:t>
        <a:bodyPr/>
        <a:lstStyle/>
        <a:p>
          <a:endParaRPr lang="en-US"/>
        </a:p>
      </dgm:t>
    </dgm:pt>
    <dgm:pt modelId="{905DF954-A0B6-4A5F-9CE2-F1C3ADBDD0C1}" type="pres">
      <dgm:prSet presAssocID="{D94B5549-C2D2-4629-ACDF-33C6E334FA3A}" presName="connTx" presStyleLbl="parChTrans1D2" presStyleIdx="2" presStyleCnt="13"/>
      <dgm:spPr/>
      <dgm:t>
        <a:bodyPr/>
        <a:lstStyle/>
        <a:p>
          <a:endParaRPr lang="en-US"/>
        </a:p>
      </dgm:t>
    </dgm:pt>
    <dgm:pt modelId="{ECD2D13D-466C-468B-BD6C-1B646D8E5B8E}" type="pres">
      <dgm:prSet presAssocID="{F0FE4372-65E6-4D92-B9B0-D2B79F26FB27}" presName="node" presStyleLbl="node1" presStyleIdx="2" presStyleCnt="13" custScaleX="261554" custScaleY="101518" custRadScaleRad="182976" custRadScaleInc="52903">
        <dgm:presLayoutVars>
          <dgm:bulletEnabled val="1"/>
        </dgm:presLayoutVars>
      </dgm:prSet>
      <dgm:spPr>
        <a:prstGeom prst="ellipse">
          <a:avLst/>
        </a:prstGeom>
      </dgm:spPr>
      <dgm:t>
        <a:bodyPr/>
        <a:lstStyle/>
        <a:p>
          <a:endParaRPr lang="en-US"/>
        </a:p>
      </dgm:t>
    </dgm:pt>
    <dgm:pt modelId="{5CF8296B-0142-429D-A71A-20799D2EB74B}" type="pres">
      <dgm:prSet presAssocID="{D22DE764-173E-47DF-9480-722F8D8EA62C}" presName="Name9" presStyleLbl="parChTrans1D2" presStyleIdx="3" presStyleCnt="13"/>
      <dgm:spPr>
        <a:custGeom>
          <a:avLst/>
          <a:gdLst/>
          <a:ahLst/>
          <a:cxnLst/>
          <a:rect l="0" t="0" r="0" b="0"/>
          <a:pathLst>
            <a:path>
              <a:moveTo>
                <a:pt x="0" y="6387"/>
              </a:moveTo>
              <a:lnTo>
                <a:pt x="1299059" y="6387"/>
              </a:lnTo>
            </a:path>
          </a:pathLst>
        </a:custGeom>
      </dgm:spPr>
      <dgm:t>
        <a:bodyPr/>
        <a:lstStyle/>
        <a:p>
          <a:endParaRPr lang="en-US"/>
        </a:p>
      </dgm:t>
    </dgm:pt>
    <dgm:pt modelId="{48797E66-4F8B-4B79-BCA7-6F88E85CF835}" type="pres">
      <dgm:prSet presAssocID="{D22DE764-173E-47DF-9480-722F8D8EA62C}" presName="connTx" presStyleLbl="parChTrans1D2" presStyleIdx="3" presStyleCnt="13"/>
      <dgm:spPr/>
      <dgm:t>
        <a:bodyPr/>
        <a:lstStyle/>
        <a:p>
          <a:endParaRPr lang="en-US"/>
        </a:p>
      </dgm:t>
    </dgm:pt>
    <dgm:pt modelId="{7E7DDE23-6C04-407D-AAB6-669511EA704E}" type="pres">
      <dgm:prSet presAssocID="{6DAE892F-3F2D-42A5-BB1C-58D0E6BD9A47}" presName="node" presStyleLbl="node1" presStyleIdx="3" presStyleCnt="13" custScaleX="288311" custScaleY="106849" custRadScaleRad="200906" custRadScaleInc="-41852">
        <dgm:presLayoutVars>
          <dgm:bulletEnabled val="1"/>
        </dgm:presLayoutVars>
      </dgm:prSet>
      <dgm:spPr>
        <a:prstGeom prst="ellipse">
          <a:avLst/>
        </a:prstGeom>
      </dgm:spPr>
      <dgm:t>
        <a:bodyPr/>
        <a:lstStyle/>
        <a:p>
          <a:endParaRPr lang="en-US"/>
        </a:p>
      </dgm:t>
    </dgm:pt>
    <dgm:pt modelId="{DC281168-2DBC-4CFB-B21D-C54E9628B383}" type="pres">
      <dgm:prSet presAssocID="{9E510621-404D-46D6-8EB3-39712C8626D4}" presName="Name9" presStyleLbl="parChTrans1D2" presStyleIdx="4" presStyleCnt="13"/>
      <dgm:spPr>
        <a:custGeom>
          <a:avLst/>
          <a:gdLst/>
          <a:ahLst/>
          <a:cxnLst/>
          <a:rect l="0" t="0" r="0" b="0"/>
          <a:pathLst>
            <a:path>
              <a:moveTo>
                <a:pt x="0" y="6387"/>
              </a:moveTo>
              <a:lnTo>
                <a:pt x="1312010" y="6387"/>
              </a:lnTo>
            </a:path>
          </a:pathLst>
        </a:custGeom>
      </dgm:spPr>
      <dgm:t>
        <a:bodyPr/>
        <a:lstStyle/>
        <a:p>
          <a:endParaRPr lang="en-US"/>
        </a:p>
      </dgm:t>
    </dgm:pt>
    <dgm:pt modelId="{0D3BFC0A-5ED4-4CCF-A336-A529B3363890}" type="pres">
      <dgm:prSet presAssocID="{9E510621-404D-46D6-8EB3-39712C8626D4}" presName="connTx" presStyleLbl="parChTrans1D2" presStyleIdx="4" presStyleCnt="13"/>
      <dgm:spPr/>
      <dgm:t>
        <a:bodyPr/>
        <a:lstStyle/>
        <a:p>
          <a:endParaRPr lang="en-US"/>
        </a:p>
      </dgm:t>
    </dgm:pt>
    <dgm:pt modelId="{66DADE40-99AE-41BE-B997-129EED231064}" type="pres">
      <dgm:prSet presAssocID="{DB0D84B1-C440-4746-9EEF-F1ED71D64DD2}" presName="node" presStyleLbl="node1" presStyleIdx="4" presStyleCnt="13" custScaleX="243732" custScaleY="93733" custRadScaleRad="202027" custRadScaleInc="-140537">
        <dgm:presLayoutVars>
          <dgm:bulletEnabled val="1"/>
        </dgm:presLayoutVars>
      </dgm:prSet>
      <dgm:spPr>
        <a:prstGeom prst="ellipse">
          <a:avLst/>
        </a:prstGeom>
      </dgm:spPr>
      <dgm:t>
        <a:bodyPr/>
        <a:lstStyle/>
        <a:p>
          <a:endParaRPr lang="en-US"/>
        </a:p>
      </dgm:t>
    </dgm:pt>
    <dgm:pt modelId="{4DF1B0BE-A63A-4BEA-9EE5-4168481CC99E}" type="pres">
      <dgm:prSet presAssocID="{3F89048A-3F9F-4897-8631-4599F4976029}" presName="Name9" presStyleLbl="parChTrans1D2" presStyleIdx="5" presStyleCnt="13"/>
      <dgm:spPr>
        <a:custGeom>
          <a:avLst/>
          <a:gdLst/>
          <a:ahLst/>
          <a:cxnLst/>
          <a:rect l="0" t="0" r="0" b="0"/>
          <a:pathLst>
            <a:path>
              <a:moveTo>
                <a:pt x="0" y="6387"/>
              </a:moveTo>
              <a:lnTo>
                <a:pt x="1192460" y="6387"/>
              </a:lnTo>
            </a:path>
          </a:pathLst>
        </a:custGeom>
      </dgm:spPr>
      <dgm:t>
        <a:bodyPr/>
        <a:lstStyle/>
        <a:p>
          <a:endParaRPr lang="en-US"/>
        </a:p>
      </dgm:t>
    </dgm:pt>
    <dgm:pt modelId="{32B4D7AF-BD29-4AC4-BA11-37F2AE9561F4}" type="pres">
      <dgm:prSet presAssocID="{3F89048A-3F9F-4897-8631-4599F4976029}" presName="connTx" presStyleLbl="parChTrans1D2" presStyleIdx="5" presStyleCnt="13"/>
      <dgm:spPr/>
      <dgm:t>
        <a:bodyPr/>
        <a:lstStyle/>
        <a:p>
          <a:endParaRPr lang="en-US"/>
        </a:p>
      </dgm:t>
    </dgm:pt>
    <dgm:pt modelId="{DB594876-4070-4577-942D-67F5CD4D6A19}" type="pres">
      <dgm:prSet presAssocID="{14602118-D739-48CC-85E0-791974AFA995}" presName="node" presStyleLbl="node1" presStyleIdx="5" presStyleCnt="13" custScaleX="362972" custScaleY="112266" custRadScaleRad="187317" custRadScaleInc="-234393">
        <dgm:presLayoutVars>
          <dgm:bulletEnabled val="1"/>
        </dgm:presLayoutVars>
      </dgm:prSet>
      <dgm:spPr>
        <a:prstGeom prst="ellipse">
          <a:avLst/>
        </a:prstGeom>
      </dgm:spPr>
      <dgm:t>
        <a:bodyPr/>
        <a:lstStyle/>
        <a:p>
          <a:endParaRPr lang="en-US"/>
        </a:p>
      </dgm:t>
    </dgm:pt>
    <dgm:pt modelId="{E49C447F-3477-4311-B10B-FFFA7DE7209F}" type="pres">
      <dgm:prSet presAssocID="{98585C11-761C-43C4-979D-FB1B8BABF102}" presName="Name9" presStyleLbl="parChTrans1D2" presStyleIdx="6" presStyleCnt="13"/>
      <dgm:spPr>
        <a:custGeom>
          <a:avLst/>
          <a:gdLst/>
          <a:ahLst/>
          <a:cxnLst/>
          <a:rect l="0" t="0" r="0" b="0"/>
          <a:pathLst>
            <a:path>
              <a:moveTo>
                <a:pt x="0" y="6387"/>
              </a:moveTo>
              <a:lnTo>
                <a:pt x="873734" y="6387"/>
              </a:lnTo>
            </a:path>
          </a:pathLst>
        </a:custGeom>
      </dgm:spPr>
      <dgm:t>
        <a:bodyPr/>
        <a:lstStyle/>
        <a:p>
          <a:endParaRPr lang="en-US"/>
        </a:p>
      </dgm:t>
    </dgm:pt>
    <dgm:pt modelId="{B930024E-8665-4782-9C41-36517A71FCD4}" type="pres">
      <dgm:prSet presAssocID="{98585C11-761C-43C4-979D-FB1B8BABF102}" presName="connTx" presStyleLbl="parChTrans1D2" presStyleIdx="6" presStyleCnt="13"/>
      <dgm:spPr/>
      <dgm:t>
        <a:bodyPr/>
        <a:lstStyle/>
        <a:p>
          <a:endParaRPr lang="en-US"/>
        </a:p>
      </dgm:t>
    </dgm:pt>
    <dgm:pt modelId="{69F18085-0AC3-4BAE-9B16-F8478FFBD61E}" type="pres">
      <dgm:prSet presAssocID="{7C1FA040-4399-40F0-866F-845B7914F68D}" presName="node" presStyleLbl="node1" presStyleIdx="6" presStyleCnt="13" custScaleX="287889" custScaleY="114736" custRadScaleRad="127877" custRadScaleInc="-264118">
        <dgm:presLayoutVars>
          <dgm:bulletEnabled val="1"/>
        </dgm:presLayoutVars>
      </dgm:prSet>
      <dgm:spPr>
        <a:prstGeom prst="ellipse">
          <a:avLst/>
        </a:prstGeom>
      </dgm:spPr>
      <dgm:t>
        <a:bodyPr/>
        <a:lstStyle/>
        <a:p>
          <a:endParaRPr lang="en-US"/>
        </a:p>
      </dgm:t>
    </dgm:pt>
    <dgm:pt modelId="{FCC14444-D5E7-4E9C-B980-A27CD799E442}" type="pres">
      <dgm:prSet presAssocID="{DEF73824-C893-4963-9504-7E97D2FF5253}" presName="Name9" presStyleLbl="parChTrans1D2" presStyleIdx="7" presStyleCnt="13"/>
      <dgm:spPr>
        <a:custGeom>
          <a:avLst/>
          <a:gdLst/>
          <a:ahLst/>
          <a:cxnLst/>
          <a:rect l="0" t="0" r="0" b="0"/>
          <a:pathLst>
            <a:path>
              <a:moveTo>
                <a:pt x="0" y="6387"/>
              </a:moveTo>
              <a:lnTo>
                <a:pt x="561823" y="6387"/>
              </a:lnTo>
            </a:path>
          </a:pathLst>
        </a:custGeom>
      </dgm:spPr>
      <dgm:t>
        <a:bodyPr/>
        <a:lstStyle/>
        <a:p>
          <a:endParaRPr lang="en-US"/>
        </a:p>
      </dgm:t>
    </dgm:pt>
    <dgm:pt modelId="{3EA6B60F-F2E8-4D48-9EC1-CAAE09243949}" type="pres">
      <dgm:prSet presAssocID="{DEF73824-C893-4963-9504-7E97D2FF5253}" presName="connTx" presStyleLbl="parChTrans1D2" presStyleIdx="7" presStyleCnt="13"/>
      <dgm:spPr/>
      <dgm:t>
        <a:bodyPr/>
        <a:lstStyle/>
        <a:p>
          <a:endParaRPr lang="en-US"/>
        </a:p>
      </dgm:t>
    </dgm:pt>
    <dgm:pt modelId="{49C45DFA-0A15-4DAA-80DC-CAE4ABCC6B43}" type="pres">
      <dgm:prSet presAssocID="{2628F477-2289-4CEE-9618-96DDAFCD4291}" presName="node" presStyleLbl="node1" presStyleIdx="7" presStyleCnt="13" custScaleX="255335" custScaleY="131355" custRadScaleRad="88815" custRadScaleInc="-90700">
        <dgm:presLayoutVars>
          <dgm:bulletEnabled val="1"/>
        </dgm:presLayoutVars>
      </dgm:prSet>
      <dgm:spPr>
        <a:prstGeom prst="ellipse">
          <a:avLst/>
        </a:prstGeom>
      </dgm:spPr>
      <dgm:t>
        <a:bodyPr/>
        <a:lstStyle/>
        <a:p>
          <a:endParaRPr lang="en-US"/>
        </a:p>
      </dgm:t>
    </dgm:pt>
    <dgm:pt modelId="{7B59CB2C-C82F-41EE-B3CF-ADD4878ADBA6}" type="pres">
      <dgm:prSet presAssocID="{2F72DDEE-62D3-48A5-836A-4C87596541F0}" presName="Name9" presStyleLbl="parChTrans1D2" presStyleIdx="8" presStyleCnt="13"/>
      <dgm:spPr>
        <a:custGeom>
          <a:avLst/>
          <a:gdLst/>
          <a:ahLst/>
          <a:cxnLst/>
          <a:rect l="0" t="0" r="0" b="0"/>
          <a:pathLst>
            <a:path>
              <a:moveTo>
                <a:pt x="0" y="6387"/>
              </a:moveTo>
              <a:lnTo>
                <a:pt x="907703" y="6387"/>
              </a:lnTo>
            </a:path>
          </a:pathLst>
        </a:custGeom>
      </dgm:spPr>
      <dgm:t>
        <a:bodyPr/>
        <a:lstStyle/>
        <a:p>
          <a:endParaRPr lang="en-US"/>
        </a:p>
      </dgm:t>
    </dgm:pt>
    <dgm:pt modelId="{280B3AB5-4999-4B99-8BE9-E09C9DF5D482}" type="pres">
      <dgm:prSet presAssocID="{2F72DDEE-62D3-48A5-836A-4C87596541F0}" presName="connTx" presStyleLbl="parChTrans1D2" presStyleIdx="8" presStyleCnt="13"/>
      <dgm:spPr/>
      <dgm:t>
        <a:bodyPr/>
        <a:lstStyle/>
        <a:p>
          <a:endParaRPr lang="en-US"/>
        </a:p>
      </dgm:t>
    </dgm:pt>
    <dgm:pt modelId="{402B25BB-F397-46B5-AAB7-C38C2276BF82}" type="pres">
      <dgm:prSet presAssocID="{44FBC2E2-D754-42C1-BEE4-690296442511}" presName="node" presStyleLbl="node1" presStyleIdx="8" presStyleCnt="13" custScaleX="274912" custScaleY="133737" custRadScaleRad="135646" custRadScaleInc="66805">
        <dgm:presLayoutVars>
          <dgm:bulletEnabled val="1"/>
        </dgm:presLayoutVars>
      </dgm:prSet>
      <dgm:spPr>
        <a:prstGeom prst="ellipse">
          <a:avLst/>
        </a:prstGeom>
      </dgm:spPr>
      <dgm:t>
        <a:bodyPr/>
        <a:lstStyle/>
        <a:p>
          <a:endParaRPr lang="en-US"/>
        </a:p>
      </dgm:t>
    </dgm:pt>
    <dgm:pt modelId="{EFB9CB5A-411C-454B-96B1-9ED988829CBE}" type="pres">
      <dgm:prSet presAssocID="{B4A5C031-92B2-438E-80BC-EAA05F5C7CF7}" presName="Name9" presStyleLbl="parChTrans1D2" presStyleIdx="9" presStyleCnt="13"/>
      <dgm:spPr>
        <a:custGeom>
          <a:avLst/>
          <a:gdLst/>
          <a:ahLst/>
          <a:cxnLst/>
          <a:rect l="0" t="0" r="0" b="0"/>
          <a:pathLst>
            <a:path>
              <a:moveTo>
                <a:pt x="0" y="6387"/>
              </a:moveTo>
              <a:lnTo>
                <a:pt x="934908" y="6387"/>
              </a:lnTo>
            </a:path>
          </a:pathLst>
        </a:custGeom>
      </dgm:spPr>
      <dgm:t>
        <a:bodyPr/>
        <a:lstStyle/>
        <a:p>
          <a:endParaRPr lang="en-US"/>
        </a:p>
      </dgm:t>
    </dgm:pt>
    <dgm:pt modelId="{A140118B-14B1-45A7-9CF9-17E4D006F84D}" type="pres">
      <dgm:prSet presAssocID="{B4A5C031-92B2-438E-80BC-EAA05F5C7CF7}" presName="connTx" presStyleLbl="parChTrans1D2" presStyleIdx="9" presStyleCnt="13"/>
      <dgm:spPr/>
      <dgm:t>
        <a:bodyPr/>
        <a:lstStyle/>
        <a:p>
          <a:endParaRPr lang="en-US"/>
        </a:p>
      </dgm:t>
    </dgm:pt>
    <dgm:pt modelId="{5AF8D9AC-0C15-4D1B-BCD3-7FFCFF0A581D}" type="pres">
      <dgm:prSet presAssocID="{D460D018-736B-4CE5-A14B-061F8EFE829B}" presName="node" presStyleLbl="node1" presStyleIdx="9" presStyleCnt="13" custScaleX="354586" custScaleY="123381" custRadScaleRad="176810" custRadScaleInc="51204">
        <dgm:presLayoutVars>
          <dgm:bulletEnabled val="1"/>
        </dgm:presLayoutVars>
      </dgm:prSet>
      <dgm:spPr>
        <a:prstGeom prst="ellipse">
          <a:avLst/>
        </a:prstGeom>
      </dgm:spPr>
      <dgm:t>
        <a:bodyPr/>
        <a:lstStyle/>
        <a:p>
          <a:endParaRPr lang="en-US"/>
        </a:p>
      </dgm:t>
    </dgm:pt>
    <dgm:pt modelId="{701CC827-3AE5-4421-983B-6398C783C82F}" type="pres">
      <dgm:prSet presAssocID="{98B9F8AD-7347-45A5-BC2B-65EB3DDF63CC}" presName="Name9" presStyleLbl="parChTrans1D2" presStyleIdx="10" presStyleCnt="13"/>
      <dgm:spPr>
        <a:custGeom>
          <a:avLst/>
          <a:gdLst/>
          <a:ahLst/>
          <a:cxnLst/>
          <a:rect l="0" t="0" r="0" b="0"/>
          <a:pathLst>
            <a:path>
              <a:moveTo>
                <a:pt x="0" y="6736"/>
              </a:moveTo>
              <a:lnTo>
                <a:pt x="1187912" y="6736"/>
              </a:lnTo>
            </a:path>
          </a:pathLst>
        </a:custGeom>
      </dgm:spPr>
      <dgm:t>
        <a:bodyPr/>
        <a:lstStyle/>
        <a:p>
          <a:endParaRPr lang="en-US"/>
        </a:p>
      </dgm:t>
    </dgm:pt>
    <dgm:pt modelId="{282CA825-226C-4E92-9F37-4F68B159DB24}" type="pres">
      <dgm:prSet presAssocID="{98B9F8AD-7347-45A5-BC2B-65EB3DDF63CC}" presName="connTx" presStyleLbl="parChTrans1D2" presStyleIdx="10" presStyleCnt="13"/>
      <dgm:spPr/>
      <dgm:t>
        <a:bodyPr/>
        <a:lstStyle/>
        <a:p>
          <a:endParaRPr lang="en-US"/>
        </a:p>
      </dgm:t>
    </dgm:pt>
    <dgm:pt modelId="{A86195D8-E78B-4F8B-B1C4-EFBBA8999B88}" type="pres">
      <dgm:prSet presAssocID="{D65A13E9-3C79-4155-B943-C33E81DAC317}" presName="node" presStyleLbl="node1" presStyleIdx="10" presStyleCnt="13" custScaleX="319485" custScaleY="116480" custRadScaleRad="187913" custRadScaleInc="-38515">
        <dgm:presLayoutVars>
          <dgm:bulletEnabled val="1"/>
        </dgm:presLayoutVars>
      </dgm:prSet>
      <dgm:spPr>
        <a:prstGeom prst="ellipse">
          <a:avLst/>
        </a:prstGeom>
      </dgm:spPr>
      <dgm:t>
        <a:bodyPr/>
        <a:lstStyle/>
        <a:p>
          <a:endParaRPr lang="en-US"/>
        </a:p>
      </dgm:t>
    </dgm:pt>
    <dgm:pt modelId="{48D8EFE9-A375-4136-B36E-91EB3A5F0349}" type="pres">
      <dgm:prSet presAssocID="{ED17F2E8-0F2C-4806-A165-056066C1285B}" presName="Name9" presStyleLbl="parChTrans1D2" presStyleIdx="11" presStyleCnt="13"/>
      <dgm:spPr>
        <a:custGeom>
          <a:avLst/>
          <a:gdLst/>
          <a:ahLst/>
          <a:cxnLst/>
          <a:rect l="0" t="0" r="0" b="0"/>
          <a:pathLst>
            <a:path>
              <a:moveTo>
                <a:pt x="0" y="6387"/>
              </a:moveTo>
              <a:lnTo>
                <a:pt x="1133536" y="6387"/>
              </a:lnTo>
            </a:path>
          </a:pathLst>
        </a:custGeom>
      </dgm:spPr>
      <dgm:t>
        <a:bodyPr/>
        <a:lstStyle/>
        <a:p>
          <a:endParaRPr lang="en-US"/>
        </a:p>
      </dgm:t>
    </dgm:pt>
    <dgm:pt modelId="{3534FF94-72C6-43FB-8F21-668E71284740}" type="pres">
      <dgm:prSet presAssocID="{ED17F2E8-0F2C-4806-A165-056066C1285B}" presName="connTx" presStyleLbl="parChTrans1D2" presStyleIdx="11" presStyleCnt="13"/>
      <dgm:spPr/>
      <dgm:t>
        <a:bodyPr/>
        <a:lstStyle/>
        <a:p>
          <a:endParaRPr lang="en-US"/>
        </a:p>
      </dgm:t>
    </dgm:pt>
    <dgm:pt modelId="{2CC81EFE-1B09-4239-A772-C0141AEBEE08}" type="pres">
      <dgm:prSet presAssocID="{AAAA106F-E487-47CE-9BAB-D684E19C81DF}" presName="node" presStyleLbl="node1" presStyleIdx="11" presStyleCnt="13" custScaleX="339396" custScaleY="127795" custRadScaleRad="184477" custRadScaleInc="-118866">
        <dgm:presLayoutVars>
          <dgm:bulletEnabled val="1"/>
        </dgm:presLayoutVars>
      </dgm:prSet>
      <dgm:spPr>
        <a:prstGeom prst="ellipse">
          <a:avLst/>
        </a:prstGeom>
      </dgm:spPr>
      <dgm:t>
        <a:bodyPr/>
        <a:lstStyle/>
        <a:p>
          <a:endParaRPr lang="en-US"/>
        </a:p>
      </dgm:t>
    </dgm:pt>
    <dgm:pt modelId="{78727A99-0CB1-4013-8BE2-594D8BE4FB83}" type="pres">
      <dgm:prSet presAssocID="{7C5C21B7-8D79-4BDB-811A-C14C2BB877FA}" presName="Name9" presStyleLbl="parChTrans1D2" presStyleIdx="12" presStyleCnt="13"/>
      <dgm:spPr>
        <a:custGeom>
          <a:avLst/>
          <a:gdLst/>
          <a:ahLst/>
          <a:cxnLst/>
          <a:rect l="0" t="0" r="0" b="0"/>
          <a:pathLst>
            <a:path>
              <a:moveTo>
                <a:pt x="0" y="6387"/>
              </a:moveTo>
              <a:lnTo>
                <a:pt x="943188" y="6387"/>
              </a:lnTo>
            </a:path>
          </a:pathLst>
        </a:custGeom>
      </dgm:spPr>
      <dgm:t>
        <a:bodyPr/>
        <a:lstStyle/>
        <a:p>
          <a:endParaRPr lang="en-US"/>
        </a:p>
      </dgm:t>
    </dgm:pt>
    <dgm:pt modelId="{1DAD8E4C-6C91-4FCE-99C0-D5C0A3F24C17}" type="pres">
      <dgm:prSet presAssocID="{7C5C21B7-8D79-4BDB-811A-C14C2BB877FA}" presName="connTx" presStyleLbl="parChTrans1D2" presStyleIdx="12" presStyleCnt="13"/>
      <dgm:spPr/>
      <dgm:t>
        <a:bodyPr/>
        <a:lstStyle/>
        <a:p>
          <a:endParaRPr lang="en-US"/>
        </a:p>
      </dgm:t>
    </dgm:pt>
    <dgm:pt modelId="{098A803A-AAEA-485A-AF14-F5A0A7B3607E}" type="pres">
      <dgm:prSet presAssocID="{89E3D9F6-D117-4291-BEA9-20650ACA1140}" presName="node" presStyleLbl="node1" presStyleIdx="12" presStyleCnt="13" custScaleX="255462" custScaleY="98700" custRadScaleRad="127256" custRadScaleInc="-123423">
        <dgm:presLayoutVars>
          <dgm:bulletEnabled val="1"/>
        </dgm:presLayoutVars>
      </dgm:prSet>
      <dgm:spPr>
        <a:prstGeom prst="ellipse">
          <a:avLst/>
        </a:prstGeom>
      </dgm:spPr>
      <dgm:t>
        <a:bodyPr/>
        <a:lstStyle/>
        <a:p>
          <a:endParaRPr lang="en-US"/>
        </a:p>
      </dgm:t>
    </dgm:pt>
  </dgm:ptLst>
  <dgm:cxnLst>
    <dgm:cxn modelId="{A376E1F9-DD6B-4493-A029-542FDD6F6544}" type="presOf" srcId="{F0FE4372-65E6-4D92-B9B0-D2B79F26FB27}" destId="{ECD2D13D-466C-468B-BD6C-1B646D8E5B8E}" srcOrd="0" destOrd="0" presId="urn:microsoft.com/office/officeart/2005/8/layout/radial1"/>
    <dgm:cxn modelId="{FE1169E0-24DF-4FBB-A1C9-8F332C85663A}" srcId="{A7516A72-1FC0-46ED-AAC4-AF0F7063F737}" destId="{6DAE892F-3F2D-42A5-BB1C-58D0E6BD9A47}" srcOrd="3" destOrd="0" parTransId="{D22DE764-173E-47DF-9480-722F8D8EA62C}" sibTransId="{28BD2EB6-8814-456D-B684-C7C0E2C0705F}"/>
    <dgm:cxn modelId="{F3B806FB-102B-486C-B609-F9F792A46A76}" type="presOf" srcId="{7C5C21B7-8D79-4BDB-811A-C14C2BB877FA}" destId="{78727A99-0CB1-4013-8BE2-594D8BE4FB83}" srcOrd="0" destOrd="0" presId="urn:microsoft.com/office/officeart/2005/8/layout/radial1"/>
    <dgm:cxn modelId="{643C3714-22C0-4C66-9427-2F9A610C3E48}" type="presOf" srcId="{D65A13E9-3C79-4155-B943-C33E81DAC317}" destId="{A86195D8-E78B-4F8B-B1C4-EFBBA8999B88}" srcOrd="0" destOrd="0" presId="urn:microsoft.com/office/officeart/2005/8/layout/radial1"/>
    <dgm:cxn modelId="{514EAEA6-2C1A-44A9-AB66-20363A2BDB85}" type="presOf" srcId="{D94B5549-C2D2-4629-ACDF-33C6E334FA3A}" destId="{905DF954-A0B6-4A5F-9CE2-F1C3ADBDD0C1}" srcOrd="1" destOrd="0" presId="urn:microsoft.com/office/officeart/2005/8/layout/radial1"/>
    <dgm:cxn modelId="{FB34E54A-164B-4BCE-B93A-0E448DD26A9D}" type="presOf" srcId="{9E510621-404D-46D6-8EB3-39712C8626D4}" destId="{0D3BFC0A-5ED4-4CCF-A336-A529B3363890}" srcOrd="1" destOrd="0" presId="urn:microsoft.com/office/officeart/2005/8/layout/radial1"/>
    <dgm:cxn modelId="{AC79D9FE-7A25-4ED1-BDED-2CB201647509}" type="presOf" srcId="{898446A3-EA8C-4C13-8A65-DF8A110D0838}" destId="{D9366F31-B7D7-4B43-830C-AD5E2193A794}" srcOrd="0" destOrd="0" presId="urn:microsoft.com/office/officeart/2005/8/layout/radial1"/>
    <dgm:cxn modelId="{9D710B8A-EB19-4989-B566-99B9E0D7632D}" type="presOf" srcId="{2F72DDEE-62D3-48A5-836A-4C87596541F0}" destId="{280B3AB5-4999-4B99-8BE9-E09C9DF5D482}" srcOrd="1" destOrd="0" presId="urn:microsoft.com/office/officeart/2005/8/layout/radial1"/>
    <dgm:cxn modelId="{19F9E48C-9412-4B91-9C35-12DC574488BC}" type="presOf" srcId="{6DAE892F-3F2D-42A5-BB1C-58D0E6BD9A47}" destId="{7E7DDE23-6C04-407D-AAB6-669511EA704E}" srcOrd="0" destOrd="0" presId="urn:microsoft.com/office/officeart/2005/8/layout/radial1"/>
    <dgm:cxn modelId="{599D20AF-DCD3-4FC3-8B62-521B1063B650}" type="presOf" srcId="{B4A5C031-92B2-438E-80BC-EAA05F5C7CF7}" destId="{A140118B-14B1-45A7-9CF9-17E4D006F84D}" srcOrd="1" destOrd="0" presId="urn:microsoft.com/office/officeart/2005/8/layout/radial1"/>
    <dgm:cxn modelId="{152A2FAC-3246-4186-B2A8-0A54149DB67F}" type="presOf" srcId="{DB9FEC62-86A7-454A-89B3-F32F1907C71A}" destId="{A8CF68B1-7D91-429E-8C8D-53007288E1DC}" srcOrd="1" destOrd="0" presId="urn:microsoft.com/office/officeart/2005/8/layout/radial1"/>
    <dgm:cxn modelId="{359B5B1D-7BE5-4396-AD9A-027B56B16DFC}" type="presOf" srcId="{DEF73824-C893-4963-9504-7E97D2FF5253}" destId="{3EA6B60F-F2E8-4D48-9EC1-CAAE09243949}" srcOrd="1" destOrd="0" presId="urn:microsoft.com/office/officeart/2005/8/layout/radial1"/>
    <dgm:cxn modelId="{63E65BCD-DC54-4011-A982-832E59D1FA54}" type="presOf" srcId="{7C1FA040-4399-40F0-866F-845B7914F68D}" destId="{69F18085-0AC3-4BAE-9B16-F8478FFBD61E}" srcOrd="0" destOrd="0" presId="urn:microsoft.com/office/officeart/2005/8/layout/radial1"/>
    <dgm:cxn modelId="{E17B82C1-60E9-4730-8280-F63461EA5371}" type="presOf" srcId="{D22DE764-173E-47DF-9480-722F8D8EA62C}" destId="{5CF8296B-0142-429D-A71A-20799D2EB74B}" srcOrd="0" destOrd="0" presId="urn:microsoft.com/office/officeart/2005/8/layout/radial1"/>
    <dgm:cxn modelId="{AC363163-E45F-467E-871A-FF62887B8C0B}" type="presOf" srcId="{D981426F-5B7B-4AA5-957A-6E8C9E1A2487}" destId="{9D8B49BD-1DF7-4888-9A7E-2CFD4320CC2B}" srcOrd="0" destOrd="0" presId="urn:microsoft.com/office/officeart/2005/8/layout/radial1"/>
    <dgm:cxn modelId="{3A4DBFCE-A1FC-4845-AE41-8167FEBA271A}" type="presOf" srcId="{68A5766F-115C-487E-B7CB-4ADE150678D1}" destId="{AFD0CC05-9AD4-4A51-8739-4FB4CA1E4ACE}" srcOrd="0" destOrd="0" presId="urn:microsoft.com/office/officeart/2005/8/layout/radial1"/>
    <dgm:cxn modelId="{6903C6C8-0A0A-4927-8359-98460D3EE618}" type="presOf" srcId="{7C5C21B7-8D79-4BDB-811A-C14C2BB877FA}" destId="{1DAD8E4C-6C91-4FCE-99C0-D5C0A3F24C17}" srcOrd="1" destOrd="0" presId="urn:microsoft.com/office/officeart/2005/8/layout/radial1"/>
    <dgm:cxn modelId="{1F82527A-7225-46DF-A52D-85EF3E4E4F6B}" type="presOf" srcId="{ED17F2E8-0F2C-4806-A165-056066C1285B}" destId="{48D8EFE9-A375-4136-B36E-91EB3A5F0349}" srcOrd="0" destOrd="0" presId="urn:microsoft.com/office/officeart/2005/8/layout/radial1"/>
    <dgm:cxn modelId="{DF9EB478-C224-42F7-822E-5C2EA98D82E9}" srcId="{A7516A72-1FC0-46ED-AAC4-AF0F7063F737}" destId="{D65A13E9-3C79-4155-B943-C33E81DAC317}" srcOrd="10" destOrd="0" parTransId="{98B9F8AD-7347-45A5-BC2B-65EB3DDF63CC}" sibTransId="{65C76345-3C56-4B13-AF62-A1F968209579}"/>
    <dgm:cxn modelId="{F2EA7724-68EA-4193-91FB-CFBACF98296E}" type="presOf" srcId="{98B9F8AD-7347-45A5-BC2B-65EB3DDF63CC}" destId="{282CA825-226C-4E92-9F37-4F68B159DB24}" srcOrd="1" destOrd="0" presId="urn:microsoft.com/office/officeart/2005/8/layout/radial1"/>
    <dgm:cxn modelId="{A1357B0A-C240-4A91-89D8-A39634308683}" srcId="{A7516A72-1FC0-46ED-AAC4-AF0F7063F737}" destId="{44FBC2E2-D754-42C1-BEE4-690296442511}" srcOrd="8" destOrd="0" parTransId="{2F72DDEE-62D3-48A5-836A-4C87596541F0}" sibTransId="{A8D506B7-E9B0-4378-B011-FCC599FE960D}"/>
    <dgm:cxn modelId="{5845BB86-7403-4922-B0B8-091DA5A24BEE}" type="presOf" srcId="{D22DE764-173E-47DF-9480-722F8D8EA62C}" destId="{48797E66-4F8B-4B79-BCA7-6F88E85CF835}" srcOrd="1" destOrd="0" presId="urn:microsoft.com/office/officeart/2005/8/layout/radial1"/>
    <dgm:cxn modelId="{D680C345-932F-4C24-9DD2-973DD02FEC3D}" type="presOf" srcId="{3F89048A-3F9F-4897-8631-4599F4976029}" destId="{32B4D7AF-BD29-4AC4-BA11-37F2AE9561F4}" srcOrd="1" destOrd="0" presId="urn:microsoft.com/office/officeart/2005/8/layout/radial1"/>
    <dgm:cxn modelId="{BF89B306-C2F0-4106-B638-87322767C209}" type="presOf" srcId="{AAAA106F-E487-47CE-9BAB-D684E19C81DF}" destId="{2CC81EFE-1B09-4239-A772-C0141AEBEE08}" srcOrd="0" destOrd="0" presId="urn:microsoft.com/office/officeart/2005/8/layout/radial1"/>
    <dgm:cxn modelId="{3DDA8C37-0078-43FB-94B1-B765DD5CE00E}" type="presOf" srcId="{A7516A72-1FC0-46ED-AAC4-AF0F7063F737}" destId="{493DA7EC-5D69-41B7-92E4-ED7ED9F48883}" srcOrd="0" destOrd="0" presId="urn:microsoft.com/office/officeart/2005/8/layout/radial1"/>
    <dgm:cxn modelId="{333E8F20-31E9-4D6F-9F31-24FBF63076E9}" srcId="{A7516A72-1FC0-46ED-AAC4-AF0F7063F737}" destId="{D460D018-736B-4CE5-A14B-061F8EFE829B}" srcOrd="9" destOrd="0" parTransId="{B4A5C031-92B2-438E-80BC-EAA05F5C7CF7}" sibTransId="{13E4242D-C1FF-4F31-B2EF-0F857644C218}"/>
    <dgm:cxn modelId="{91ACC1A7-02F0-4852-9280-ED1C2A617E02}" type="presOf" srcId="{D94B5549-C2D2-4629-ACDF-33C6E334FA3A}" destId="{3F0F15B6-4D5A-493B-B03E-AE8141DC3DCE}" srcOrd="0" destOrd="0" presId="urn:microsoft.com/office/officeart/2005/8/layout/radial1"/>
    <dgm:cxn modelId="{A38B847D-D226-4A6D-B270-7F561245ACC8}" srcId="{A7516A72-1FC0-46ED-AAC4-AF0F7063F737}" destId="{AAAA106F-E487-47CE-9BAB-D684E19C81DF}" srcOrd="11" destOrd="0" parTransId="{ED17F2E8-0F2C-4806-A165-056066C1285B}" sibTransId="{8B1A6F93-EA70-4B77-B04E-0D667670E9A6}"/>
    <dgm:cxn modelId="{3F5F7179-2C7E-436C-806B-52829133EFC9}" type="presOf" srcId="{44FBC2E2-D754-42C1-BEE4-690296442511}" destId="{402B25BB-F397-46B5-AAB7-C38C2276BF82}" srcOrd="0" destOrd="0" presId="urn:microsoft.com/office/officeart/2005/8/layout/radial1"/>
    <dgm:cxn modelId="{996B9653-906A-49F8-9E4B-3836F7905D4E}" srcId="{D981426F-5B7B-4AA5-957A-6E8C9E1A2487}" destId="{A7516A72-1FC0-46ED-AAC4-AF0F7063F737}" srcOrd="0" destOrd="0" parTransId="{D9E0AFEB-65B5-4280-ADD0-766B3ADA6CFD}" sibTransId="{6B1EB84D-437E-47A1-87CB-9027EE716AD0}"/>
    <dgm:cxn modelId="{7BEA7379-AFE2-4AA1-A979-293FE2C39CEA}" type="presOf" srcId="{BA28F4A6-AD16-499D-88C1-DBE004B28175}" destId="{E6ACA703-0949-41B3-BE6B-C702E5C7275F}" srcOrd="0" destOrd="0" presId="urn:microsoft.com/office/officeart/2005/8/layout/radial1"/>
    <dgm:cxn modelId="{8C874AFE-1E1E-43C9-A5E6-1C640621A471}" type="presOf" srcId="{2F72DDEE-62D3-48A5-836A-4C87596541F0}" destId="{7B59CB2C-C82F-41EE-B3CF-ADD4878ADBA6}" srcOrd="0" destOrd="0" presId="urn:microsoft.com/office/officeart/2005/8/layout/radial1"/>
    <dgm:cxn modelId="{0F2C0EA6-9D74-4B29-A630-CFA8BFFFA5BE}" type="presOf" srcId="{DB9FEC62-86A7-454A-89B3-F32F1907C71A}" destId="{34515D96-C834-4D67-AF5C-3B293601CBC3}" srcOrd="0" destOrd="0" presId="urn:microsoft.com/office/officeart/2005/8/layout/radial1"/>
    <dgm:cxn modelId="{84826536-FF9D-47C5-902D-DB146A527C2A}" srcId="{A7516A72-1FC0-46ED-AAC4-AF0F7063F737}" destId="{68A5766F-115C-487E-B7CB-4ADE150678D1}" srcOrd="0" destOrd="0" parTransId="{BA28F4A6-AD16-499D-88C1-DBE004B28175}" sibTransId="{BA9B1909-6561-415A-8EF0-B53DE88FCEBA}"/>
    <dgm:cxn modelId="{911F93EF-CAED-46BA-9545-39285492557A}" type="presOf" srcId="{9E510621-404D-46D6-8EB3-39712C8626D4}" destId="{DC281168-2DBC-4CFB-B21D-C54E9628B383}" srcOrd="0" destOrd="0" presId="urn:microsoft.com/office/officeart/2005/8/layout/radial1"/>
    <dgm:cxn modelId="{345C13DF-1D3F-4982-AF23-DC2641540559}" srcId="{A7516A72-1FC0-46ED-AAC4-AF0F7063F737}" destId="{7C1FA040-4399-40F0-866F-845B7914F68D}" srcOrd="6" destOrd="0" parTransId="{98585C11-761C-43C4-979D-FB1B8BABF102}" sibTransId="{82A7CC90-6A4C-422A-B221-BA4CF5B4D442}"/>
    <dgm:cxn modelId="{E3F89309-5F9F-412F-A548-4D24F610487D}" type="presOf" srcId="{D460D018-736B-4CE5-A14B-061F8EFE829B}" destId="{5AF8D9AC-0C15-4D1B-BCD3-7FFCFF0A581D}" srcOrd="0" destOrd="0" presId="urn:microsoft.com/office/officeart/2005/8/layout/radial1"/>
    <dgm:cxn modelId="{C7DD68AE-99B2-4937-A127-D654A2E99784}" srcId="{A7516A72-1FC0-46ED-AAC4-AF0F7063F737}" destId="{DB0D84B1-C440-4746-9EEF-F1ED71D64DD2}" srcOrd="4" destOrd="0" parTransId="{9E510621-404D-46D6-8EB3-39712C8626D4}" sibTransId="{99C4878C-8523-40E3-93C5-8DC55D31DB77}"/>
    <dgm:cxn modelId="{E5DD3C3F-F401-46C8-9D1F-CEE8478EFA81}" srcId="{A7516A72-1FC0-46ED-AAC4-AF0F7063F737}" destId="{2628F477-2289-4CEE-9618-96DDAFCD4291}" srcOrd="7" destOrd="0" parTransId="{DEF73824-C893-4963-9504-7E97D2FF5253}" sibTransId="{6D6ABE48-6FEB-4EAA-849C-585AC08FCF5B}"/>
    <dgm:cxn modelId="{90C2C5CA-BF38-4140-B191-51DDC452E603}" type="presOf" srcId="{2628F477-2289-4CEE-9618-96DDAFCD4291}" destId="{49C45DFA-0A15-4DAA-80DC-CAE4ABCC6B43}" srcOrd="0" destOrd="0" presId="urn:microsoft.com/office/officeart/2005/8/layout/radial1"/>
    <dgm:cxn modelId="{E0F29033-1587-4DF1-B788-9CB2EBD9C9FF}" type="presOf" srcId="{14602118-D739-48CC-85E0-791974AFA995}" destId="{DB594876-4070-4577-942D-67F5CD4D6A19}" srcOrd="0" destOrd="0" presId="urn:microsoft.com/office/officeart/2005/8/layout/radial1"/>
    <dgm:cxn modelId="{1229807D-6A59-498C-A707-9DD6CEEA0C8D}" srcId="{A7516A72-1FC0-46ED-AAC4-AF0F7063F737}" destId="{F0FE4372-65E6-4D92-B9B0-D2B79F26FB27}" srcOrd="2" destOrd="0" parTransId="{D94B5549-C2D2-4629-ACDF-33C6E334FA3A}" sibTransId="{E2B06661-55BE-4022-AD18-067DB2509F93}"/>
    <dgm:cxn modelId="{8C270F26-CE6A-4E8D-BFE1-5CC4A1C09370}" type="presOf" srcId="{B4A5C031-92B2-438E-80BC-EAA05F5C7CF7}" destId="{EFB9CB5A-411C-454B-96B1-9ED988829CBE}" srcOrd="0" destOrd="0" presId="urn:microsoft.com/office/officeart/2005/8/layout/radial1"/>
    <dgm:cxn modelId="{E451E629-80E7-49CB-9FA3-26149F26E8EC}" type="presOf" srcId="{BA28F4A6-AD16-499D-88C1-DBE004B28175}" destId="{B06AADB2-5D51-41DC-8677-C0CC2357518B}" srcOrd="1" destOrd="0" presId="urn:microsoft.com/office/officeart/2005/8/layout/radial1"/>
    <dgm:cxn modelId="{15D7195B-AF18-44DB-B28B-4C351CC4CE04}" type="presOf" srcId="{98B9F8AD-7347-45A5-BC2B-65EB3DDF63CC}" destId="{701CC827-3AE5-4421-983B-6398C783C82F}" srcOrd="0" destOrd="0" presId="urn:microsoft.com/office/officeart/2005/8/layout/radial1"/>
    <dgm:cxn modelId="{6A747BA7-44B9-4207-AFD6-03610597FDC2}" type="presOf" srcId="{DEF73824-C893-4963-9504-7E97D2FF5253}" destId="{FCC14444-D5E7-4E9C-B980-A27CD799E442}" srcOrd="0" destOrd="0" presId="urn:microsoft.com/office/officeart/2005/8/layout/radial1"/>
    <dgm:cxn modelId="{40F83152-0D65-48B7-B0E7-A252ACEB6AAA}" type="presOf" srcId="{98585C11-761C-43C4-979D-FB1B8BABF102}" destId="{B930024E-8665-4782-9C41-36517A71FCD4}" srcOrd="1" destOrd="0" presId="urn:microsoft.com/office/officeart/2005/8/layout/radial1"/>
    <dgm:cxn modelId="{FCDFB8AE-248D-4AA2-9062-61BBDACC254F}" type="presOf" srcId="{DB0D84B1-C440-4746-9EEF-F1ED71D64DD2}" destId="{66DADE40-99AE-41BE-B997-129EED231064}" srcOrd="0" destOrd="0" presId="urn:microsoft.com/office/officeart/2005/8/layout/radial1"/>
    <dgm:cxn modelId="{2A75C9C4-6418-4B07-8366-592C51EC54D6}" type="presOf" srcId="{ED17F2E8-0F2C-4806-A165-056066C1285B}" destId="{3534FF94-72C6-43FB-8F21-668E71284740}" srcOrd="1" destOrd="0" presId="urn:microsoft.com/office/officeart/2005/8/layout/radial1"/>
    <dgm:cxn modelId="{3138FD81-FCE3-4020-9313-BAD8BCAF820B}" srcId="{A7516A72-1FC0-46ED-AAC4-AF0F7063F737}" destId="{14602118-D739-48CC-85E0-791974AFA995}" srcOrd="5" destOrd="0" parTransId="{3F89048A-3F9F-4897-8631-4599F4976029}" sibTransId="{85730AA2-ED16-41DB-9898-B2A63ECD874D}"/>
    <dgm:cxn modelId="{A93C1B4A-74B5-4343-AF12-0C2C4D914189}" srcId="{A7516A72-1FC0-46ED-AAC4-AF0F7063F737}" destId="{898446A3-EA8C-4C13-8A65-DF8A110D0838}" srcOrd="1" destOrd="0" parTransId="{DB9FEC62-86A7-454A-89B3-F32F1907C71A}" sibTransId="{E56928EA-8406-4998-BE40-3F4796EA5932}"/>
    <dgm:cxn modelId="{2DE14BB3-C787-476D-8AEB-8D5E3558BC6C}" srcId="{A7516A72-1FC0-46ED-AAC4-AF0F7063F737}" destId="{89E3D9F6-D117-4291-BEA9-20650ACA1140}" srcOrd="12" destOrd="0" parTransId="{7C5C21B7-8D79-4BDB-811A-C14C2BB877FA}" sibTransId="{4F079A65-A81B-4CBE-B331-67DE498DE623}"/>
    <dgm:cxn modelId="{1531F592-E378-41A5-A01F-89586D4B71C6}" type="presOf" srcId="{98585C11-761C-43C4-979D-FB1B8BABF102}" destId="{E49C447F-3477-4311-B10B-FFFA7DE7209F}" srcOrd="0" destOrd="0" presId="urn:microsoft.com/office/officeart/2005/8/layout/radial1"/>
    <dgm:cxn modelId="{9FB5A270-EC16-4F73-ADAC-4964A3DE778C}" type="presOf" srcId="{89E3D9F6-D117-4291-BEA9-20650ACA1140}" destId="{098A803A-AAEA-485A-AF14-F5A0A7B3607E}" srcOrd="0" destOrd="0" presId="urn:microsoft.com/office/officeart/2005/8/layout/radial1"/>
    <dgm:cxn modelId="{0D824594-D120-4969-8279-A737C00E171D}" type="presOf" srcId="{3F89048A-3F9F-4897-8631-4599F4976029}" destId="{4DF1B0BE-A63A-4BEA-9EE5-4168481CC99E}" srcOrd="0" destOrd="0" presId="urn:microsoft.com/office/officeart/2005/8/layout/radial1"/>
    <dgm:cxn modelId="{578F6BFE-6899-4339-9CEB-F7BFE8C2CC25}" type="presParOf" srcId="{9D8B49BD-1DF7-4888-9A7E-2CFD4320CC2B}" destId="{493DA7EC-5D69-41B7-92E4-ED7ED9F48883}" srcOrd="0" destOrd="0" presId="urn:microsoft.com/office/officeart/2005/8/layout/radial1"/>
    <dgm:cxn modelId="{BF2833EC-E99E-4B85-AAEF-F13532001A91}" type="presParOf" srcId="{9D8B49BD-1DF7-4888-9A7E-2CFD4320CC2B}" destId="{E6ACA703-0949-41B3-BE6B-C702E5C7275F}" srcOrd="1" destOrd="0" presId="urn:microsoft.com/office/officeart/2005/8/layout/radial1"/>
    <dgm:cxn modelId="{FB302E4B-F0C8-4F6D-B587-A94DAA3B7F36}" type="presParOf" srcId="{E6ACA703-0949-41B3-BE6B-C702E5C7275F}" destId="{B06AADB2-5D51-41DC-8677-C0CC2357518B}" srcOrd="0" destOrd="0" presId="urn:microsoft.com/office/officeart/2005/8/layout/radial1"/>
    <dgm:cxn modelId="{6AED7B14-A1FF-4CEC-A7D0-D0A663163522}" type="presParOf" srcId="{9D8B49BD-1DF7-4888-9A7E-2CFD4320CC2B}" destId="{AFD0CC05-9AD4-4A51-8739-4FB4CA1E4ACE}" srcOrd="2" destOrd="0" presId="urn:microsoft.com/office/officeart/2005/8/layout/radial1"/>
    <dgm:cxn modelId="{AD790203-167D-4E60-B20D-8FDEFE17106F}" type="presParOf" srcId="{9D8B49BD-1DF7-4888-9A7E-2CFD4320CC2B}" destId="{34515D96-C834-4D67-AF5C-3B293601CBC3}" srcOrd="3" destOrd="0" presId="urn:microsoft.com/office/officeart/2005/8/layout/radial1"/>
    <dgm:cxn modelId="{826497C4-204F-4710-BD31-433651E5A9E4}" type="presParOf" srcId="{34515D96-C834-4D67-AF5C-3B293601CBC3}" destId="{A8CF68B1-7D91-429E-8C8D-53007288E1DC}" srcOrd="0" destOrd="0" presId="urn:microsoft.com/office/officeart/2005/8/layout/radial1"/>
    <dgm:cxn modelId="{78D41949-20E4-4D16-BC37-C7D8E0BD5EB5}" type="presParOf" srcId="{9D8B49BD-1DF7-4888-9A7E-2CFD4320CC2B}" destId="{D9366F31-B7D7-4B43-830C-AD5E2193A794}" srcOrd="4" destOrd="0" presId="urn:microsoft.com/office/officeart/2005/8/layout/radial1"/>
    <dgm:cxn modelId="{1AF2CE94-1545-48ED-9446-9613203A19A3}" type="presParOf" srcId="{9D8B49BD-1DF7-4888-9A7E-2CFD4320CC2B}" destId="{3F0F15B6-4D5A-493B-B03E-AE8141DC3DCE}" srcOrd="5" destOrd="0" presId="urn:microsoft.com/office/officeart/2005/8/layout/radial1"/>
    <dgm:cxn modelId="{1FD05BA3-B8A2-4126-BCB9-1CC9EAA6B85F}" type="presParOf" srcId="{3F0F15B6-4D5A-493B-B03E-AE8141DC3DCE}" destId="{905DF954-A0B6-4A5F-9CE2-F1C3ADBDD0C1}" srcOrd="0" destOrd="0" presId="urn:microsoft.com/office/officeart/2005/8/layout/radial1"/>
    <dgm:cxn modelId="{46AF5D42-1B75-45F1-8F5F-1285B6DE1970}" type="presParOf" srcId="{9D8B49BD-1DF7-4888-9A7E-2CFD4320CC2B}" destId="{ECD2D13D-466C-468B-BD6C-1B646D8E5B8E}" srcOrd="6" destOrd="0" presId="urn:microsoft.com/office/officeart/2005/8/layout/radial1"/>
    <dgm:cxn modelId="{4C6C3904-A3D3-49EA-AAF9-60AFE48CB733}" type="presParOf" srcId="{9D8B49BD-1DF7-4888-9A7E-2CFD4320CC2B}" destId="{5CF8296B-0142-429D-A71A-20799D2EB74B}" srcOrd="7" destOrd="0" presId="urn:microsoft.com/office/officeart/2005/8/layout/radial1"/>
    <dgm:cxn modelId="{2F11CD5C-E294-4C23-B782-B986429E2A86}" type="presParOf" srcId="{5CF8296B-0142-429D-A71A-20799D2EB74B}" destId="{48797E66-4F8B-4B79-BCA7-6F88E85CF835}" srcOrd="0" destOrd="0" presId="urn:microsoft.com/office/officeart/2005/8/layout/radial1"/>
    <dgm:cxn modelId="{83877676-11A5-47E7-874C-D1EC372FA8A2}" type="presParOf" srcId="{9D8B49BD-1DF7-4888-9A7E-2CFD4320CC2B}" destId="{7E7DDE23-6C04-407D-AAB6-669511EA704E}" srcOrd="8" destOrd="0" presId="urn:microsoft.com/office/officeart/2005/8/layout/radial1"/>
    <dgm:cxn modelId="{FD2E9AD4-DE15-4F03-8FE1-9911BADB5082}" type="presParOf" srcId="{9D8B49BD-1DF7-4888-9A7E-2CFD4320CC2B}" destId="{DC281168-2DBC-4CFB-B21D-C54E9628B383}" srcOrd="9" destOrd="0" presId="urn:microsoft.com/office/officeart/2005/8/layout/radial1"/>
    <dgm:cxn modelId="{CD1D36FE-1741-448C-B486-060248BF1831}" type="presParOf" srcId="{DC281168-2DBC-4CFB-B21D-C54E9628B383}" destId="{0D3BFC0A-5ED4-4CCF-A336-A529B3363890}" srcOrd="0" destOrd="0" presId="urn:microsoft.com/office/officeart/2005/8/layout/radial1"/>
    <dgm:cxn modelId="{EA77CCD9-2EB0-4EA4-86E8-E3E905D4904E}" type="presParOf" srcId="{9D8B49BD-1DF7-4888-9A7E-2CFD4320CC2B}" destId="{66DADE40-99AE-41BE-B997-129EED231064}" srcOrd="10" destOrd="0" presId="urn:microsoft.com/office/officeart/2005/8/layout/radial1"/>
    <dgm:cxn modelId="{B1BEA7B9-BBEC-4849-8FC9-E3428D11FDCC}" type="presParOf" srcId="{9D8B49BD-1DF7-4888-9A7E-2CFD4320CC2B}" destId="{4DF1B0BE-A63A-4BEA-9EE5-4168481CC99E}" srcOrd="11" destOrd="0" presId="urn:microsoft.com/office/officeart/2005/8/layout/radial1"/>
    <dgm:cxn modelId="{C5160E16-6FF3-45C4-B492-333CA2B8454A}" type="presParOf" srcId="{4DF1B0BE-A63A-4BEA-9EE5-4168481CC99E}" destId="{32B4D7AF-BD29-4AC4-BA11-37F2AE9561F4}" srcOrd="0" destOrd="0" presId="urn:microsoft.com/office/officeart/2005/8/layout/radial1"/>
    <dgm:cxn modelId="{5CFE7E6F-4217-47DB-BC4A-D029DE8C0DBE}" type="presParOf" srcId="{9D8B49BD-1DF7-4888-9A7E-2CFD4320CC2B}" destId="{DB594876-4070-4577-942D-67F5CD4D6A19}" srcOrd="12" destOrd="0" presId="urn:microsoft.com/office/officeart/2005/8/layout/radial1"/>
    <dgm:cxn modelId="{6B4AEA33-0DB1-4DA6-9F8A-CB9FF81AB41B}" type="presParOf" srcId="{9D8B49BD-1DF7-4888-9A7E-2CFD4320CC2B}" destId="{E49C447F-3477-4311-B10B-FFFA7DE7209F}" srcOrd="13" destOrd="0" presId="urn:microsoft.com/office/officeart/2005/8/layout/radial1"/>
    <dgm:cxn modelId="{33375550-BA3C-49A7-A5F7-2F671365A3CA}" type="presParOf" srcId="{E49C447F-3477-4311-B10B-FFFA7DE7209F}" destId="{B930024E-8665-4782-9C41-36517A71FCD4}" srcOrd="0" destOrd="0" presId="urn:microsoft.com/office/officeart/2005/8/layout/radial1"/>
    <dgm:cxn modelId="{D7203C82-9A09-4AFC-8FD0-3C79DAD81068}" type="presParOf" srcId="{9D8B49BD-1DF7-4888-9A7E-2CFD4320CC2B}" destId="{69F18085-0AC3-4BAE-9B16-F8478FFBD61E}" srcOrd="14" destOrd="0" presId="urn:microsoft.com/office/officeart/2005/8/layout/radial1"/>
    <dgm:cxn modelId="{7EF553A3-5175-493E-B413-69B19D1FA820}" type="presParOf" srcId="{9D8B49BD-1DF7-4888-9A7E-2CFD4320CC2B}" destId="{FCC14444-D5E7-4E9C-B980-A27CD799E442}" srcOrd="15" destOrd="0" presId="urn:microsoft.com/office/officeart/2005/8/layout/radial1"/>
    <dgm:cxn modelId="{031B23FF-4585-4EE0-B63E-1D9237502EB1}" type="presParOf" srcId="{FCC14444-D5E7-4E9C-B980-A27CD799E442}" destId="{3EA6B60F-F2E8-4D48-9EC1-CAAE09243949}" srcOrd="0" destOrd="0" presId="urn:microsoft.com/office/officeart/2005/8/layout/radial1"/>
    <dgm:cxn modelId="{1E5D49B0-89A4-4141-BC3E-F5069896A70B}" type="presParOf" srcId="{9D8B49BD-1DF7-4888-9A7E-2CFD4320CC2B}" destId="{49C45DFA-0A15-4DAA-80DC-CAE4ABCC6B43}" srcOrd="16" destOrd="0" presId="urn:microsoft.com/office/officeart/2005/8/layout/radial1"/>
    <dgm:cxn modelId="{41DB5D37-BF1A-4308-9936-F8D31E9A4D5E}" type="presParOf" srcId="{9D8B49BD-1DF7-4888-9A7E-2CFD4320CC2B}" destId="{7B59CB2C-C82F-41EE-B3CF-ADD4878ADBA6}" srcOrd="17" destOrd="0" presId="urn:microsoft.com/office/officeart/2005/8/layout/radial1"/>
    <dgm:cxn modelId="{4D810FB9-AF26-4959-802F-FB757BC25699}" type="presParOf" srcId="{7B59CB2C-C82F-41EE-B3CF-ADD4878ADBA6}" destId="{280B3AB5-4999-4B99-8BE9-E09C9DF5D482}" srcOrd="0" destOrd="0" presId="urn:microsoft.com/office/officeart/2005/8/layout/radial1"/>
    <dgm:cxn modelId="{A582D5B3-B97D-4A83-AD39-02191B40ED78}" type="presParOf" srcId="{9D8B49BD-1DF7-4888-9A7E-2CFD4320CC2B}" destId="{402B25BB-F397-46B5-AAB7-C38C2276BF82}" srcOrd="18" destOrd="0" presId="urn:microsoft.com/office/officeart/2005/8/layout/radial1"/>
    <dgm:cxn modelId="{705C1C79-81F2-4EB1-A0C3-244325CBA78E}" type="presParOf" srcId="{9D8B49BD-1DF7-4888-9A7E-2CFD4320CC2B}" destId="{EFB9CB5A-411C-454B-96B1-9ED988829CBE}" srcOrd="19" destOrd="0" presId="urn:microsoft.com/office/officeart/2005/8/layout/radial1"/>
    <dgm:cxn modelId="{E40C260B-CB6E-4E9F-8091-07E65981C93F}" type="presParOf" srcId="{EFB9CB5A-411C-454B-96B1-9ED988829CBE}" destId="{A140118B-14B1-45A7-9CF9-17E4D006F84D}" srcOrd="0" destOrd="0" presId="urn:microsoft.com/office/officeart/2005/8/layout/radial1"/>
    <dgm:cxn modelId="{37A9B222-FF02-47C0-84DB-A529A69028F7}" type="presParOf" srcId="{9D8B49BD-1DF7-4888-9A7E-2CFD4320CC2B}" destId="{5AF8D9AC-0C15-4D1B-BCD3-7FFCFF0A581D}" srcOrd="20" destOrd="0" presId="urn:microsoft.com/office/officeart/2005/8/layout/radial1"/>
    <dgm:cxn modelId="{2F6CD993-474F-4FB0-B24D-E47967123A65}" type="presParOf" srcId="{9D8B49BD-1DF7-4888-9A7E-2CFD4320CC2B}" destId="{701CC827-3AE5-4421-983B-6398C783C82F}" srcOrd="21" destOrd="0" presId="urn:microsoft.com/office/officeart/2005/8/layout/radial1"/>
    <dgm:cxn modelId="{BD87535A-09CF-4EB9-863D-BCF5C5474C0B}" type="presParOf" srcId="{701CC827-3AE5-4421-983B-6398C783C82F}" destId="{282CA825-226C-4E92-9F37-4F68B159DB24}" srcOrd="0" destOrd="0" presId="urn:microsoft.com/office/officeart/2005/8/layout/radial1"/>
    <dgm:cxn modelId="{A687EB50-201A-4DBE-85D4-CB80579C15DC}" type="presParOf" srcId="{9D8B49BD-1DF7-4888-9A7E-2CFD4320CC2B}" destId="{A86195D8-E78B-4F8B-B1C4-EFBBA8999B88}" srcOrd="22" destOrd="0" presId="urn:microsoft.com/office/officeart/2005/8/layout/radial1"/>
    <dgm:cxn modelId="{B304F324-3B1C-4274-9162-E6F67F7D7483}" type="presParOf" srcId="{9D8B49BD-1DF7-4888-9A7E-2CFD4320CC2B}" destId="{48D8EFE9-A375-4136-B36E-91EB3A5F0349}" srcOrd="23" destOrd="0" presId="urn:microsoft.com/office/officeart/2005/8/layout/radial1"/>
    <dgm:cxn modelId="{86ACF926-ED7B-4F9A-A121-07C1CE6F1E15}" type="presParOf" srcId="{48D8EFE9-A375-4136-B36E-91EB3A5F0349}" destId="{3534FF94-72C6-43FB-8F21-668E71284740}" srcOrd="0" destOrd="0" presId="urn:microsoft.com/office/officeart/2005/8/layout/radial1"/>
    <dgm:cxn modelId="{7054599A-FF45-4428-9C4A-C98DFB3E9FDB}" type="presParOf" srcId="{9D8B49BD-1DF7-4888-9A7E-2CFD4320CC2B}" destId="{2CC81EFE-1B09-4239-A772-C0141AEBEE08}" srcOrd="24" destOrd="0" presId="urn:microsoft.com/office/officeart/2005/8/layout/radial1"/>
    <dgm:cxn modelId="{3E1FB425-9444-4DF4-8374-45354B3CB748}" type="presParOf" srcId="{9D8B49BD-1DF7-4888-9A7E-2CFD4320CC2B}" destId="{78727A99-0CB1-4013-8BE2-594D8BE4FB83}" srcOrd="25" destOrd="0" presId="urn:microsoft.com/office/officeart/2005/8/layout/radial1"/>
    <dgm:cxn modelId="{0D53F7EC-4230-4892-854E-9B37399B8B69}" type="presParOf" srcId="{78727A99-0CB1-4013-8BE2-594D8BE4FB83}" destId="{1DAD8E4C-6C91-4FCE-99C0-D5C0A3F24C17}" srcOrd="0" destOrd="0" presId="urn:microsoft.com/office/officeart/2005/8/layout/radial1"/>
    <dgm:cxn modelId="{4EBA731A-ADF7-4B21-A802-0229928C3799}" type="presParOf" srcId="{9D8B49BD-1DF7-4888-9A7E-2CFD4320CC2B}" destId="{098A803A-AAEA-485A-AF14-F5A0A7B3607E}" srcOrd="26" destOrd="0" presId="urn:microsoft.com/office/officeart/2005/8/layout/radial1"/>
  </dgm:cxnLst>
  <dgm:bg>
    <a:noFill/>
  </dgm:bg>
  <dgm:whole/>
  <dgm:extLst>
    <a:ext uri="http://schemas.microsoft.com/office/drawing/2008/diagram">
      <dsp:dataModelExt xmlns:dsp="http://schemas.microsoft.com/office/drawing/2008/diagram" relId="rId101"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a:xfrm>
          <a:off x="2401442" y="1150099"/>
          <a:ext cx="1211092" cy="35998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 </a:t>
          </a: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xfrm>
          <a:off x="289413" y="1549500"/>
          <a:ext cx="1494997" cy="52019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17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Fomentar respeto por la P.I.</a:t>
          </a: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a:xfrm rot="9979233">
          <a:off x="1636455" y="1545933"/>
          <a:ext cx="914993"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4FBC2E2-D754-42C1-BEE4-690296442511}">
      <dgm:prSet phldrT="[Text]" custT="1"/>
      <dgm:spPr>
        <a:xfrm>
          <a:off x="1222193" y="2031555"/>
          <a:ext cx="1159077" cy="56385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15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Soluciones operativas OPI </a:t>
          </a: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a:xfrm rot="8447303">
          <a:off x="1996627" y="1778885"/>
          <a:ext cx="904976"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628F477-2289-4CEE-9618-96DDAFCD4291}">
      <dgm:prSet phldrT="[Text]" custT="1"/>
      <dgm:spPr>
        <a:xfrm>
          <a:off x="2445832" y="2071426"/>
          <a:ext cx="1076537" cy="55381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14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Acceso info. y conocimientos </a:t>
          </a: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a:xfrm rot="5477262">
          <a:off x="2715883" y="1784377"/>
          <a:ext cx="561501"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C1FA040-4399-40F0-866F-845B7914F68D}">
      <dgm:prSet phldrT="[Text]" custT="1"/>
      <dgm:spPr>
        <a:xfrm>
          <a:off x="3530276" y="2022646"/>
          <a:ext cx="1213791" cy="48374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 </a:t>
          </a: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a:xfrm rot="2375020">
          <a:off x="3113403" y="1766669"/>
          <a:ext cx="858693"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4602118-D739-48CC-85E0-791974AFA995}">
      <dgm:prSet phldrT="[Text]" custT="1"/>
      <dgm:spPr>
        <a:xfrm>
          <a:off x="4306607" y="1685776"/>
          <a:ext cx="1530354" cy="4733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Sistema de Madrid </a:t>
          </a: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a:xfrm rot="960427">
          <a:off x="3421162" y="1601908"/>
          <a:ext cx="1111153"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B0D84B1-C440-4746-9EEF-F1ED71D64DD2}">
      <dgm:prSet phldrT="[Text]" custT="1"/>
      <dgm:spPr>
        <a:xfrm>
          <a:off x="4809346" y="1185472"/>
          <a:ext cx="1027617" cy="39519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PCT</a:t>
          </a: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a:xfrm rot="78616">
          <a:off x="3610594" y="1351233"/>
          <a:ext cx="1199815"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DAE892F-3F2D-42A5-BB1C-58D0E6BD9A47}">
      <dgm:prSet phldrT="[Text]" custT="1"/>
      <dgm:spPr>
        <a:xfrm>
          <a:off x="4646594" y="597634"/>
          <a:ext cx="1215570" cy="45049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4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CC.TT., ECT y RR.GG.</a:t>
          </a: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a:xfrm rot="20836922">
          <a:off x="3473601" y="1074255"/>
          <a:ext cx="1277343"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0FE4372-65E6-4D92-B9B0-D2B79F26FB27}">
      <dgm:prSet phldrT="[Text]" custT="1"/>
      <dgm:spPr>
        <a:xfrm>
          <a:off x="4320359" y="154014"/>
          <a:ext cx="1102758" cy="42801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D.A.D.C.</a:t>
          </a:r>
        </a:p>
      </dgm:t>
    </dgm:pt>
    <dgm:pt modelId="{E2B06661-55BE-4022-AD18-067DB2509F93}" type="sibTrans" cxnId="{1229807D-6A59-498C-A707-9DD6CEEA0C8D}">
      <dgm:prSet/>
      <dgm:spPr/>
      <dgm:t>
        <a:bodyPr/>
        <a:lstStyle/>
        <a:p>
          <a:endParaRPr lang="en-US"/>
        </a:p>
      </dgm:t>
    </dgm:pt>
    <dgm:pt modelId="{D94B5549-C2D2-4629-ACDF-33C6E334FA3A}" type="parTrans" cxnId="{1229807D-6A59-498C-A707-9DD6CEEA0C8D}">
      <dgm:prSet/>
      <dgm:spPr>
        <a:xfrm rot="19962579">
          <a:off x="3232197" y="850198"/>
          <a:ext cx="1385150"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8446A3-EA8C-4C13-8A65-DF8A110D0838}">
      <dgm:prSet phldrT="[Text]" custT="1"/>
      <dgm:spPr>
        <a:xfrm>
          <a:off x="3422857" y="0"/>
          <a:ext cx="1066191" cy="48217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Marcas, dis. e indic. geo.</a:t>
          </a: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a:xfrm rot="18664139">
          <a:off x="3001746" y="804230"/>
          <a:ext cx="915832"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8A5766F-115C-487E-B7CB-4ADE150678D1}">
      <dgm:prSet phldrT="[Text]" custT="1"/>
      <dgm:spPr>
        <a:xfrm>
          <a:off x="2465836" y="-15518"/>
          <a:ext cx="1065816" cy="39769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Der. patentes</a:t>
          </a: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a:xfrm rot="16175284">
          <a:off x="2618964" y="759752"/>
          <a:ext cx="767939"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65A13E9-3C79-4155-B943-C33E81DAC317}">
      <dgm:prSet phldrT="[Text]" custT="1"/>
      <dgm:spPr>
        <a:xfrm>
          <a:off x="179399" y="1024742"/>
          <a:ext cx="1347005" cy="49110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20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Relaciones exteriores</a:t>
          </a:r>
        </a:p>
      </dgm:t>
    </dgm:pt>
    <dgm:pt modelId="{98B9F8AD-7347-45A5-BC2B-65EB3DDF63CC}" type="parTrans" cxnId="{DF9EB478-C224-42F7-822E-5C2EA98D82E9}">
      <dgm:prSet/>
      <dgm:spPr>
        <a:xfrm rot="10895414">
          <a:off x="1524291" y="1294758"/>
          <a:ext cx="879944"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5C76345-3C56-4B13-AF62-A1F968209579}" type="sibTrans" cxnId="{DF9EB478-C224-42F7-822E-5C2EA98D82E9}">
      <dgm:prSet/>
      <dgm:spPr/>
      <dgm:t>
        <a:bodyPr/>
        <a:lstStyle/>
        <a:p>
          <a:endParaRPr lang="en-US"/>
        </a:p>
      </dgm:t>
    </dgm:pt>
    <dgm:pt modelId="{AAAA106F-E487-47CE-9BAB-D684E19C81DF}">
      <dgm:prSet phldrT="[Text]" custT="1"/>
      <dgm:spPr>
        <a:xfrm>
          <a:off x="281337" y="401449"/>
          <a:ext cx="1430953" cy="53880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Programa 30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Pymes y cap. empresarial</a:t>
          </a:r>
        </a:p>
      </dgm:t>
    </dgm:pt>
    <dgm:pt modelId="{ED17F2E8-0F2C-4806-A165-056066C1285B}" type="parTrans" cxnId="{A38B847D-D226-4A6D-B270-7F561245ACC8}">
      <dgm:prSet/>
      <dgm:spPr>
        <a:xfrm rot="11889421">
          <a:off x="1508463" y="1015872"/>
          <a:ext cx="1119739"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B1A6F93-EA70-4B77-B04E-0D667670E9A6}" type="sibTrans" cxnId="{A38B847D-D226-4A6D-B270-7F561245ACC8}">
      <dgm:prSet/>
      <dgm:spPr/>
      <dgm:t>
        <a:bodyPr/>
        <a:lstStyle/>
        <a:p>
          <a:endParaRPr lang="en-US"/>
        </a:p>
      </dgm:t>
    </dgm:pt>
    <dgm:pt modelId="{89E3D9F6-D117-4291-BEA9-20650ACA1140}">
      <dgm:prSet phldrT="[Text]" custT="1"/>
      <dgm:spPr>
        <a:xfrm>
          <a:off x="1440494" y="86202"/>
          <a:ext cx="1077073" cy="41613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32</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Lisboa </a:t>
          </a:r>
        </a:p>
      </dgm:t>
    </dgm:pt>
    <dgm:pt modelId="{7C5C21B7-8D79-4BDB-811A-C14C2BB877FA}" type="parTrans" cxnId="{2DE14BB3-C787-476D-8AEB-8D5E3558BC6C}">
      <dgm:prSet/>
      <dgm:spPr>
        <a:xfrm rot="13513101">
          <a:off x="2032550" y="816613"/>
          <a:ext cx="942391"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F079A65-A81B-4CBE-B331-67DE498DE623}" type="sibTrans" cxnId="{2DE14BB3-C787-476D-8AEB-8D5E3558BC6C}">
      <dgm:prSet/>
      <dgm:spPr/>
      <dgm:t>
        <a:bodyPr/>
        <a:lstStyle/>
        <a:p>
          <a:endParaRPr lang="en-US"/>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311786" custScaleY="85383"/>
      <dgm:spPr>
        <a:prstGeom prst="ellipse">
          <a:avLst/>
        </a:prstGeom>
      </dgm:spPr>
      <dgm:t>
        <a:bodyPr/>
        <a:lstStyle/>
        <a:p>
          <a:endParaRPr lang="en-US"/>
        </a:p>
      </dgm:t>
    </dgm:pt>
    <dgm:pt modelId="{E6ACA703-0949-41B3-BE6B-C702E5C7275F}" type="pres">
      <dgm:prSet presAssocID="{BA28F4A6-AD16-499D-88C1-DBE004B28175}" presName="Name9" presStyleLbl="parChTrans1D2" presStyleIdx="0" presStyleCnt="13"/>
      <dgm:spPr>
        <a:custGeom>
          <a:avLst/>
          <a:gdLst/>
          <a:ahLst/>
          <a:cxnLst/>
          <a:rect l="0" t="0" r="0" b="0"/>
          <a:pathLst>
            <a:path>
              <a:moveTo>
                <a:pt x="0" y="6387"/>
              </a:moveTo>
              <a:lnTo>
                <a:pt x="768373" y="6387"/>
              </a:lnTo>
            </a:path>
          </a:pathLst>
        </a:custGeom>
      </dgm:spPr>
      <dgm:t>
        <a:bodyPr/>
        <a:lstStyle/>
        <a:p>
          <a:endParaRPr lang="en-US"/>
        </a:p>
      </dgm:t>
    </dgm:pt>
    <dgm:pt modelId="{B06AADB2-5D51-41DC-8677-C0CC2357518B}" type="pres">
      <dgm:prSet presAssocID="{BA28F4A6-AD16-499D-88C1-DBE004B28175}" presName="connTx" presStyleLbl="parChTrans1D2" presStyleIdx="0" presStyleCnt="13"/>
      <dgm:spPr/>
      <dgm:t>
        <a:bodyPr/>
        <a:lstStyle/>
        <a:p>
          <a:endParaRPr lang="en-US"/>
        </a:p>
      </dgm:t>
    </dgm:pt>
    <dgm:pt modelId="{AFD0CC05-9AD4-4A51-8739-4FB4CA1E4ACE}" type="pres">
      <dgm:prSet presAssocID="{68A5766F-115C-487E-B7CB-4ADE150678D1}" presName="node" presStyleLbl="node1" presStyleIdx="0" presStyleCnt="13" custScaleX="252792" custScaleY="94327" custRadScaleRad="100308" custRadScaleInc="-2966">
        <dgm:presLayoutVars>
          <dgm:bulletEnabled val="1"/>
        </dgm:presLayoutVars>
      </dgm:prSet>
      <dgm:spPr>
        <a:prstGeom prst="ellipse">
          <a:avLst/>
        </a:prstGeom>
      </dgm:spPr>
      <dgm:t>
        <a:bodyPr/>
        <a:lstStyle/>
        <a:p>
          <a:endParaRPr lang="en-US"/>
        </a:p>
      </dgm:t>
    </dgm:pt>
    <dgm:pt modelId="{34515D96-C834-4D67-AF5C-3B293601CBC3}" type="pres">
      <dgm:prSet presAssocID="{DB9FEC62-86A7-454A-89B3-F32F1907C71A}" presName="Name9" presStyleLbl="parChTrans1D2" presStyleIdx="1" presStyleCnt="13"/>
      <dgm:spPr>
        <a:custGeom>
          <a:avLst/>
          <a:gdLst/>
          <a:ahLst/>
          <a:cxnLst/>
          <a:rect l="0" t="0" r="0" b="0"/>
          <a:pathLst>
            <a:path>
              <a:moveTo>
                <a:pt x="0" y="6387"/>
              </a:moveTo>
              <a:lnTo>
                <a:pt x="921958" y="6387"/>
              </a:lnTo>
            </a:path>
          </a:pathLst>
        </a:custGeom>
      </dgm:spPr>
      <dgm:t>
        <a:bodyPr/>
        <a:lstStyle/>
        <a:p>
          <a:endParaRPr lang="en-US"/>
        </a:p>
      </dgm:t>
    </dgm:pt>
    <dgm:pt modelId="{A8CF68B1-7D91-429E-8C8D-53007288E1DC}" type="pres">
      <dgm:prSet presAssocID="{DB9FEC62-86A7-454A-89B3-F32F1907C71A}" presName="connTx" presStyleLbl="parChTrans1D2" presStyleIdx="1" presStyleCnt="13"/>
      <dgm:spPr/>
      <dgm:t>
        <a:bodyPr/>
        <a:lstStyle/>
        <a:p>
          <a:endParaRPr lang="en-US"/>
        </a:p>
      </dgm:t>
    </dgm:pt>
    <dgm:pt modelId="{D9366F31-B7D7-4B43-830C-AD5E2193A794}" type="pres">
      <dgm:prSet presAssocID="{898446A3-EA8C-4C13-8A65-DF8A110D0838}" presName="node" presStyleLbl="node1" presStyleIdx="1" presStyleCnt="13" custScaleX="252881" custScaleY="114363" custRadScaleRad="126703" custRadScaleInc="94499">
        <dgm:presLayoutVars>
          <dgm:bulletEnabled val="1"/>
        </dgm:presLayoutVars>
      </dgm:prSet>
      <dgm:spPr>
        <a:prstGeom prst="ellipse">
          <a:avLst/>
        </a:prstGeom>
      </dgm:spPr>
      <dgm:t>
        <a:bodyPr/>
        <a:lstStyle/>
        <a:p>
          <a:endParaRPr lang="en-US"/>
        </a:p>
      </dgm:t>
    </dgm:pt>
    <dgm:pt modelId="{3F0F15B6-4D5A-493B-B03E-AE8141DC3DCE}" type="pres">
      <dgm:prSet presAssocID="{D94B5549-C2D2-4629-ACDF-33C6E334FA3A}" presName="Name9" presStyleLbl="parChTrans1D2" presStyleIdx="2" presStyleCnt="13"/>
      <dgm:spPr>
        <a:custGeom>
          <a:avLst/>
          <a:gdLst/>
          <a:ahLst/>
          <a:cxnLst/>
          <a:rect l="0" t="0" r="0" b="0"/>
          <a:pathLst>
            <a:path>
              <a:moveTo>
                <a:pt x="0" y="6387"/>
              </a:moveTo>
              <a:lnTo>
                <a:pt x="1419030" y="6387"/>
              </a:lnTo>
            </a:path>
          </a:pathLst>
        </a:custGeom>
      </dgm:spPr>
      <dgm:t>
        <a:bodyPr/>
        <a:lstStyle/>
        <a:p>
          <a:endParaRPr lang="en-US"/>
        </a:p>
      </dgm:t>
    </dgm:pt>
    <dgm:pt modelId="{905DF954-A0B6-4A5F-9CE2-F1C3ADBDD0C1}" type="pres">
      <dgm:prSet presAssocID="{D94B5549-C2D2-4629-ACDF-33C6E334FA3A}" presName="connTx" presStyleLbl="parChTrans1D2" presStyleIdx="2" presStyleCnt="13"/>
      <dgm:spPr/>
      <dgm:t>
        <a:bodyPr/>
        <a:lstStyle/>
        <a:p>
          <a:endParaRPr lang="en-US"/>
        </a:p>
      </dgm:t>
    </dgm:pt>
    <dgm:pt modelId="{ECD2D13D-466C-468B-BD6C-1B646D8E5B8E}" type="pres">
      <dgm:prSet presAssocID="{F0FE4372-65E6-4D92-B9B0-D2B79F26FB27}" presName="node" presStyleLbl="node1" presStyleIdx="2" presStyleCnt="13" custScaleX="261554" custScaleY="101518" custRadScaleRad="182976" custRadScaleInc="52903">
        <dgm:presLayoutVars>
          <dgm:bulletEnabled val="1"/>
        </dgm:presLayoutVars>
      </dgm:prSet>
      <dgm:spPr>
        <a:prstGeom prst="ellipse">
          <a:avLst/>
        </a:prstGeom>
      </dgm:spPr>
      <dgm:t>
        <a:bodyPr/>
        <a:lstStyle/>
        <a:p>
          <a:endParaRPr lang="en-US"/>
        </a:p>
      </dgm:t>
    </dgm:pt>
    <dgm:pt modelId="{5CF8296B-0142-429D-A71A-20799D2EB74B}" type="pres">
      <dgm:prSet presAssocID="{D22DE764-173E-47DF-9480-722F8D8EA62C}" presName="Name9" presStyleLbl="parChTrans1D2" presStyleIdx="3" presStyleCnt="13"/>
      <dgm:spPr>
        <a:custGeom>
          <a:avLst/>
          <a:gdLst/>
          <a:ahLst/>
          <a:cxnLst/>
          <a:rect l="0" t="0" r="0" b="0"/>
          <a:pathLst>
            <a:path>
              <a:moveTo>
                <a:pt x="0" y="6387"/>
              </a:moveTo>
              <a:lnTo>
                <a:pt x="1299059" y="6387"/>
              </a:lnTo>
            </a:path>
          </a:pathLst>
        </a:custGeom>
      </dgm:spPr>
      <dgm:t>
        <a:bodyPr/>
        <a:lstStyle/>
        <a:p>
          <a:endParaRPr lang="en-US"/>
        </a:p>
      </dgm:t>
    </dgm:pt>
    <dgm:pt modelId="{48797E66-4F8B-4B79-BCA7-6F88E85CF835}" type="pres">
      <dgm:prSet presAssocID="{D22DE764-173E-47DF-9480-722F8D8EA62C}" presName="connTx" presStyleLbl="parChTrans1D2" presStyleIdx="3" presStyleCnt="13"/>
      <dgm:spPr/>
      <dgm:t>
        <a:bodyPr/>
        <a:lstStyle/>
        <a:p>
          <a:endParaRPr lang="en-US"/>
        </a:p>
      </dgm:t>
    </dgm:pt>
    <dgm:pt modelId="{7E7DDE23-6C04-407D-AAB6-669511EA704E}" type="pres">
      <dgm:prSet presAssocID="{6DAE892F-3F2D-42A5-BB1C-58D0E6BD9A47}" presName="node" presStyleLbl="node1" presStyleIdx="3" presStyleCnt="13" custScaleX="288311" custScaleY="106849" custRadScaleRad="200906" custRadScaleInc="-41852">
        <dgm:presLayoutVars>
          <dgm:bulletEnabled val="1"/>
        </dgm:presLayoutVars>
      </dgm:prSet>
      <dgm:spPr>
        <a:prstGeom prst="ellipse">
          <a:avLst/>
        </a:prstGeom>
      </dgm:spPr>
      <dgm:t>
        <a:bodyPr/>
        <a:lstStyle/>
        <a:p>
          <a:endParaRPr lang="en-US"/>
        </a:p>
      </dgm:t>
    </dgm:pt>
    <dgm:pt modelId="{DC281168-2DBC-4CFB-B21D-C54E9628B383}" type="pres">
      <dgm:prSet presAssocID="{9E510621-404D-46D6-8EB3-39712C8626D4}" presName="Name9" presStyleLbl="parChTrans1D2" presStyleIdx="4" presStyleCnt="13"/>
      <dgm:spPr>
        <a:custGeom>
          <a:avLst/>
          <a:gdLst/>
          <a:ahLst/>
          <a:cxnLst/>
          <a:rect l="0" t="0" r="0" b="0"/>
          <a:pathLst>
            <a:path>
              <a:moveTo>
                <a:pt x="0" y="6387"/>
              </a:moveTo>
              <a:lnTo>
                <a:pt x="1312010" y="6387"/>
              </a:lnTo>
            </a:path>
          </a:pathLst>
        </a:custGeom>
      </dgm:spPr>
      <dgm:t>
        <a:bodyPr/>
        <a:lstStyle/>
        <a:p>
          <a:endParaRPr lang="en-US"/>
        </a:p>
      </dgm:t>
    </dgm:pt>
    <dgm:pt modelId="{0D3BFC0A-5ED4-4CCF-A336-A529B3363890}" type="pres">
      <dgm:prSet presAssocID="{9E510621-404D-46D6-8EB3-39712C8626D4}" presName="connTx" presStyleLbl="parChTrans1D2" presStyleIdx="4" presStyleCnt="13"/>
      <dgm:spPr/>
      <dgm:t>
        <a:bodyPr/>
        <a:lstStyle/>
        <a:p>
          <a:endParaRPr lang="en-US"/>
        </a:p>
      </dgm:t>
    </dgm:pt>
    <dgm:pt modelId="{66DADE40-99AE-41BE-B997-129EED231064}" type="pres">
      <dgm:prSet presAssocID="{DB0D84B1-C440-4746-9EEF-F1ED71D64DD2}" presName="node" presStyleLbl="node1" presStyleIdx="4" presStyleCnt="13" custScaleX="243732" custScaleY="93733" custRadScaleRad="202027" custRadScaleInc="-140537">
        <dgm:presLayoutVars>
          <dgm:bulletEnabled val="1"/>
        </dgm:presLayoutVars>
      </dgm:prSet>
      <dgm:spPr>
        <a:prstGeom prst="ellipse">
          <a:avLst/>
        </a:prstGeom>
      </dgm:spPr>
      <dgm:t>
        <a:bodyPr/>
        <a:lstStyle/>
        <a:p>
          <a:endParaRPr lang="en-US"/>
        </a:p>
      </dgm:t>
    </dgm:pt>
    <dgm:pt modelId="{4DF1B0BE-A63A-4BEA-9EE5-4168481CC99E}" type="pres">
      <dgm:prSet presAssocID="{3F89048A-3F9F-4897-8631-4599F4976029}" presName="Name9" presStyleLbl="parChTrans1D2" presStyleIdx="5" presStyleCnt="13"/>
      <dgm:spPr>
        <a:custGeom>
          <a:avLst/>
          <a:gdLst/>
          <a:ahLst/>
          <a:cxnLst/>
          <a:rect l="0" t="0" r="0" b="0"/>
          <a:pathLst>
            <a:path>
              <a:moveTo>
                <a:pt x="0" y="6387"/>
              </a:moveTo>
              <a:lnTo>
                <a:pt x="1192460" y="6387"/>
              </a:lnTo>
            </a:path>
          </a:pathLst>
        </a:custGeom>
      </dgm:spPr>
      <dgm:t>
        <a:bodyPr/>
        <a:lstStyle/>
        <a:p>
          <a:endParaRPr lang="en-US"/>
        </a:p>
      </dgm:t>
    </dgm:pt>
    <dgm:pt modelId="{32B4D7AF-BD29-4AC4-BA11-37F2AE9561F4}" type="pres">
      <dgm:prSet presAssocID="{3F89048A-3F9F-4897-8631-4599F4976029}" presName="connTx" presStyleLbl="parChTrans1D2" presStyleIdx="5" presStyleCnt="13"/>
      <dgm:spPr/>
      <dgm:t>
        <a:bodyPr/>
        <a:lstStyle/>
        <a:p>
          <a:endParaRPr lang="en-US"/>
        </a:p>
      </dgm:t>
    </dgm:pt>
    <dgm:pt modelId="{DB594876-4070-4577-942D-67F5CD4D6A19}" type="pres">
      <dgm:prSet presAssocID="{14602118-D739-48CC-85E0-791974AFA995}" presName="node" presStyleLbl="node1" presStyleIdx="5" presStyleCnt="13" custScaleX="362972" custScaleY="112266" custRadScaleRad="187317" custRadScaleInc="-234393">
        <dgm:presLayoutVars>
          <dgm:bulletEnabled val="1"/>
        </dgm:presLayoutVars>
      </dgm:prSet>
      <dgm:spPr>
        <a:prstGeom prst="ellipse">
          <a:avLst/>
        </a:prstGeom>
      </dgm:spPr>
      <dgm:t>
        <a:bodyPr/>
        <a:lstStyle/>
        <a:p>
          <a:endParaRPr lang="en-US"/>
        </a:p>
      </dgm:t>
    </dgm:pt>
    <dgm:pt modelId="{E49C447F-3477-4311-B10B-FFFA7DE7209F}" type="pres">
      <dgm:prSet presAssocID="{98585C11-761C-43C4-979D-FB1B8BABF102}" presName="Name9" presStyleLbl="parChTrans1D2" presStyleIdx="6" presStyleCnt="13"/>
      <dgm:spPr>
        <a:custGeom>
          <a:avLst/>
          <a:gdLst/>
          <a:ahLst/>
          <a:cxnLst/>
          <a:rect l="0" t="0" r="0" b="0"/>
          <a:pathLst>
            <a:path>
              <a:moveTo>
                <a:pt x="0" y="6387"/>
              </a:moveTo>
              <a:lnTo>
                <a:pt x="873734" y="6387"/>
              </a:lnTo>
            </a:path>
          </a:pathLst>
        </a:custGeom>
      </dgm:spPr>
      <dgm:t>
        <a:bodyPr/>
        <a:lstStyle/>
        <a:p>
          <a:endParaRPr lang="en-US"/>
        </a:p>
      </dgm:t>
    </dgm:pt>
    <dgm:pt modelId="{B930024E-8665-4782-9C41-36517A71FCD4}" type="pres">
      <dgm:prSet presAssocID="{98585C11-761C-43C4-979D-FB1B8BABF102}" presName="connTx" presStyleLbl="parChTrans1D2" presStyleIdx="6" presStyleCnt="13"/>
      <dgm:spPr/>
      <dgm:t>
        <a:bodyPr/>
        <a:lstStyle/>
        <a:p>
          <a:endParaRPr lang="en-US"/>
        </a:p>
      </dgm:t>
    </dgm:pt>
    <dgm:pt modelId="{69F18085-0AC3-4BAE-9B16-F8478FFBD61E}" type="pres">
      <dgm:prSet presAssocID="{7C1FA040-4399-40F0-866F-845B7914F68D}" presName="node" presStyleLbl="node1" presStyleIdx="6" presStyleCnt="13" custScaleX="287889" custScaleY="114736" custRadScaleRad="127877" custRadScaleInc="-264118">
        <dgm:presLayoutVars>
          <dgm:bulletEnabled val="1"/>
        </dgm:presLayoutVars>
      </dgm:prSet>
      <dgm:spPr>
        <a:prstGeom prst="ellipse">
          <a:avLst/>
        </a:prstGeom>
      </dgm:spPr>
      <dgm:t>
        <a:bodyPr/>
        <a:lstStyle/>
        <a:p>
          <a:endParaRPr lang="en-US"/>
        </a:p>
      </dgm:t>
    </dgm:pt>
    <dgm:pt modelId="{FCC14444-D5E7-4E9C-B980-A27CD799E442}" type="pres">
      <dgm:prSet presAssocID="{DEF73824-C893-4963-9504-7E97D2FF5253}" presName="Name9" presStyleLbl="parChTrans1D2" presStyleIdx="7" presStyleCnt="13"/>
      <dgm:spPr>
        <a:custGeom>
          <a:avLst/>
          <a:gdLst/>
          <a:ahLst/>
          <a:cxnLst/>
          <a:rect l="0" t="0" r="0" b="0"/>
          <a:pathLst>
            <a:path>
              <a:moveTo>
                <a:pt x="0" y="6387"/>
              </a:moveTo>
              <a:lnTo>
                <a:pt x="561823" y="6387"/>
              </a:lnTo>
            </a:path>
          </a:pathLst>
        </a:custGeom>
      </dgm:spPr>
      <dgm:t>
        <a:bodyPr/>
        <a:lstStyle/>
        <a:p>
          <a:endParaRPr lang="en-US"/>
        </a:p>
      </dgm:t>
    </dgm:pt>
    <dgm:pt modelId="{3EA6B60F-F2E8-4D48-9EC1-CAAE09243949}" type="pres">
      <dgm:prSet presAssocID="{DEF73824-C893-4963-9504-7E97D2FF5253}" presName="connTx" presStyleLbl="parChTrans1D2" presStyleIdx="7" presStyleCnt="13"/>
      <dgm:spPr/>
      <dgm:t>
        <a:bodyPr/>
        <a:lstStyle/>
        <a:p>
          <a:endParaRPr lang="en-US"/>
        </a:p>
      </dgm:t>
    </dgm:pt>
    <dgm:pt modelId="{49C45DFA-0A15-4DAA-80DC-CAE4ABCC6B43}" type="pres">
      <dgm:prSet presAssocID="{2628F477-2289-4CEE-9618-96DDAFCD4291}" presName="node" presStyleLbl="node1" presStyleIdx="7" presStyleCnt="13" custScaleX="255335" custScaleY="131355" custRadScaleRad="88815" custRadScaleInc="-90700">
        <dgm:presLayoutVars>
          <dgm:bulletEnabled val="1"/>
        </dgm:presLayoutVars>
      </dgm:prSet>
      <dgm:spPr>
        <a:prstGeom prst="ellipse">
          <a:avLst/>
        </a:prstGeom>
      </dgm:spPr>
      <dgm:t>
        <a:bodyPr/>
        <a:lstStyle/>
        <a:p>
          <a:endParaRPr lang="en-US"/>
        </a:p>
      </dgm:t>
    </dgm:pt>
    <dgm:pt modelId="{7B59CB2C-C82F-41EE-B3CF-ADD4878ADBA6}" type="pres">
      <dgm:prSet presAssocID="{2F72DDEE-62D3-48A5-836A-4C87596541F0}" presName="Name9" presStyleLbl="parChTrans1D2" presStyleIdx="8" presStyleCnt="13"/>
      <dgm:spPr>
        <a:custGeom>
          <a:avLst/>
          <a:gdLst/>
          <a:ahLst/>
          <a:cxnLst/>
          <a:rect l="0" t="0" r="0" b="0"/>
          <a:pathLst>
            <a:path>
              <a:moveTo>
                <a:pt x="0" y="6387"/>
              </a:moveTo>
              <a:lnTo>
                <a:pt x="907703" y="6387"/>
              </a:lnTo>
            </a:path>
          </a:pathLst>
        </a:custGeom>
      </dgm:spPr>
      <dgm:t>
        <a:bodyPr/>
        <a:lstStyle/>
        <a:p>
          <a:endParaRPr lang="en-US"/>
        </a:p>
      </dgm:t>
    </dgm:pt>
    <dgm:pt modelId="{280B3AB5-4999-4B99-8BE9-E09C9DF5D482}" type="pres">
      <dgm:prSet presAssocID="{2F72DDEE-62D3-48A5-836A-4C87596541F0}" presName="connTx" presStyleLbl="parChTrans1D2" presStyleIdx="8" presStyleCnt="13"/>
      <dgm:spPr/>
      <dgm:t>
        <a:bodyPr/>
        <a:lstStyle/>
        <a:p>
          <a:endParaRPr lang="en-US"/>
        </a:p>
      </dgm:t>
    </dgm:pt>
    <dgm:pt modelId="{402B25BB-F397-46B5-AAB7-C38C2276BF82}" type="pres">
      <dgm:prSet presAssocID="{44FBC2E2-D754-42C1-BEE4-690296442511}" presName="node" presStyleLbl="node1" presStyleIdx="8" presStyleCnt="13" custScaleX="274912" custScaleY="133737" custRadScaleRad="135646" custRadScaleInc="66805">
        <dgm:presLayoutVars>
          <dgm:bulletEnabled val="1"/>
        </dgm:presLayoutVars>
      </dgm:prSet>
      <dgm:spPr>
        <a:prstGeom prst="ellipse">
          <a:avLst/>
        </a:prstGeom>
      </dgm:spPr>
      <dgm:t>
        <a:bodyPr/>
        <a:lstStyle/>
        <a:p>
          <a:endParaRPr lang="en-US"/>
        </a:p>
      </dgm:t>
    </dgm:pt>
    <dgm:pt modelId="{EFB9CB5A-411C-454B-96B1-9ED988829CBE}" type="pres">
      <dgm:prSet presAssocID="{B4A5C031-92B2-438E-80BC-EAA05F5C7CF7}" presName="Name9" presStyleLbl="parChTrans1D2" presStyleIdx="9" presStyleCnt="13"/>
      <dgm:spPr>
        <a:custGeom>
          <a:avLst/>
          <a:gdLst/>
          <a:ahLst/>
          <a:cxnLst/>
          <a:rect l="0" t="0" r="0" b="0"/>
          <a:pathLst>
            <a:path>
              <a:moveTo>
                <a:pt x="0" y="6387"/>
              </a:moveTo>
              <a:lnTo>
                <a:pt x="934908" y="6387"/>
              </a:lnTo>
            </a:path>
          </a:pathLst>
        </a:custGeom>
      </dgm:spPr>
      <dgm:t>
        <a:bodyPr/>
        <a:lstStyle/>
        <a:p>
          <a:endParaRPr lang="en-US"/>
        </a:p>
      </dgm:t>
    </dgm:pt>
    <dgm:pt modelId="{A140118B-14B1-45A7-9CF9-17E4D006F84D}" type="pres">
      <dgm:prSet presAssocID="{B4A5C031-92B2-438E-80BC-EAA05F5C7CF7}" presName="connTx" presStyleLbl="parChTrans1D2" presStyleIdx="9" presStyleCnt="13"/>
      <dgm:spPr/>
      <dgm:t>
        <a:bodyPr/>
        <a:lstStyle/>
        <a:p>
          <a:endParaRPr lang="en-US"/>
        </a:p>
      </dgm:t>
    </dgm:pt>
    <dgm:pt modelId="{5AF8D9AC-0C15-4D1B-BCD3-7FFCFF0A581D}" type="pres">
      <dgm:prSet presAssocID="{D460D018-736B-4CE5-A14B-061F8EFE829B}" presName="node" presStyleLbl="node1" presStyleIdx="9" presStyleCnt="13" custScaleX="354586" custScaleY="123381" custRadScaleRad="176810" custRadScaleInc="51204">
        <dgm:presLayoutVars>
          <dgm:bulletEnabled val="1"/>
        </dgm:presLayoutVars>
      </dgm:prSet>
      <dgm:spPr>
        <a:prstGeom prst="ellipse">
          <a:avLst/>
        </a:prstGeom>
      </dgm:spPr>
      <dgm:t>
        <a:bodyPr/>
        <a:lstStyle/>
        <a:p>
          <a:endParaRPr lang="en-US"/>
        </a:p>
      </dgm:t>
    </dgm:pt>
    <dgm:pt modelId="{701CC827-3AE5-4421-983B-6398C783C82F}" type="pres">
      <dgm:prSet presAssocID="{98B9F8AD-7347-45A5-BC2B-65EB3DDF63CC}" presName="Name9" presStyleLbl="parChTrans1D2" presStyleIdx="10" presStyleCnt="13"/>
      <dgm:spPr>
        <a:custGeom>
          <a:avLst/>
          <a:gdLst/>
          <a:ahLst/>
          <a:cxnLst/>
          <a:rect l="0" t="0" r="0" b="0"/>
          <a:pathLst>
            <a:path>
              <a:moveTo>
                <a:pt x="0" y="6736"/>
              </a:moveTo>
              <a:lnTo>
                <a:pt x="1187912" y="6736"/>
              </a:lnTo>
            </a:path>
          </a:pathLst>
        </a:custGeom>
      </dgm:spPr>
      <dgm:t>
        <a:bodyPr/>
        <a:lstStyle/>
        <a:p>
          <a:endParaRPr lang="en-US"/>
        </a:p>
      </dgm:t>
    </dgm:pt>
    <dgm:pt modelId="{282CA825-226C-4E92-9F37-4F68B159DB24}" type="pres">
      <dgm:prSet presAssocID="{98B9F8AD-7347-45A5-BC2B-65EB3DDF63CC}" presName="connTx" presStyleLbl="parChTrans1D2" presStyleIdx="10" presStyleCnt="13"/>
      <dgm:spPr/>
      <dgm:t>
        <a:bodyPr/>
        <a:lstStyle/>
        <a:p>
          <a:endParaRPr lang="en-US"/>
        </a:p>
      </dgm:t>
    </dgm:pt>
    <dgm:pt modelId="{A86195D8-E78B-4F8B-B1C4-EFBBA8999B88}" type="pres">
      <dgm:prSet presAssocID="{D65A13E9-3C79-4155-B943-C33E81DAC317}" presName="node" presStyleLbl="node1" presStyleIdx="10" presStyleCnt="13" custScaleX="319485" custScaleY="116480" custRadScaleRad="187913" custRadScaleInc="-38515">
        <dgm:presLayoutVars>
          <dgm:bulletEnabled val="1"/>
        </dgm:presLayoutVars>
      </dgm:prSet>
      <dgm:spPr>
        <a:prstGeom prst="ellipse">
          <a:avLst/>
        </a:prstGeom>
      </dgm:spPr>
      <dgm:t>
        <a:bodyPr/>
        <a:lstStyle/>
        <a:p>
          <a:endParaRPr lang="en-US"/>
        </a:p>
      </dgm:t>
    </dgm:pt>
    <dgm:pt modelId="{48D8EFE9-A375-4136-B36E-91EB3A5F0349}" type="pres">
      <dgm:prSet presAssocID="{ED17F2E8-0F2C-4806-A165-056066C1285B}" presName="Name9" presStyleLbl="parChTrans1D2" presStyleIdx="11" presStyleCnt="13"/>
      <dgm:spPr>
        <a:custGeom>
          <a:avLst/>
          <a:gdLst/>
          <a:ahLst/>
          <a:cxnLst/>
          <a:rect l="0" t="0" r="0" b="0"/>
          <a:pathLst>
            <a:path>
              <a:moveTo>
                <a:pt x="0" y="6387"/>
              </a:moveTo>
              <a:lnTo>
                <a:pt x="1133536" y="6387"/>
              </a:lnTo>
            </a:path>
          </a:pathLst>
        </a:custGeom>
      </dgm:spPr>
      <dgm:t>
        <a:bodyPr/>
        <a:lstStyle/>
        <a:p>
          <a:endParaRPr lang="en-US"/>
        </a:p>
      </dgm:t>
    </dgm:pt>
    <dgm:pt modelId="{3534FF94-72C6-43FB-8F21-668E71284740}" type="pres">
      <dgm:prSet presAssocID="{ED17F2E8-0F2C-4806-A165-056066C1285B}" presName="connTx" presStyleLbl="parChTrans1D2" presStyleIdx="11" presStyleCnt="13"/>
      <dgm:spPr/>
      <dgm:t>
        <a:bodyPr/>
        <a:lstStyle/>
        <a:p>
          <a:endParaRPr lang="en-US"/>
        </a:p>
      </dgm:t>
    </dgm:pt>
    <dgm:pt modelId="{2CC81EFE-1B09-4239-A772-C0141AEBEE08}" type="pres">
      <dgm:prSet presAssocID="{AAAA106F-E487-47CE-9BAB-D684E19C81DF}" presName="node" presStyleLbl="node1" presStyleIdx="11" presStyleCnt="13" custScaleX="339396" custScaleY="127795" custRadScaleRad="184477" custRadScaleInc="-118866">
        <dgm:presLayoutVars>
          <dgm:bulletEnabled val="1"/>
        </dgm:presLayoutVars>
      </dgm:prSet>
      <dgm:spPr>
        <a:prstGeom prst="ellipse">
          <a:avLst/>
        </a:prstGeom>
      </dgm:spPr>
      <dgm:t>
        <a:bodyPr/>
        <a:lstStyle/>
        <a:p>
          <a:endParaRPr lang="en-US"/>
        </a:p>
      </dgm:t>
    </dgm:pt>
    <dgm:pt modelId="{78727A99-0CB1-4013-8BE2-594D8BE4FB83}" type="pres">
      <dgm:prSet presAssocID="{7C5C21B7-8D79-4BDB-811A-C14C2BB877FA}" presName="Name9" presStyleLbl="parChTrans1D2" presStyleIdx="12" presStyleCnt="13"/>
      <dgm:spPr>
        <a:custGeom>
          <a:avLst/>
          <a:gdLst/>
          <a:ahLst/>
          <a:cxnLst/>
          <a:rect l="0" t="0" r="0" b="0"/>
          <a:pathLst>
            <a:path>
              <a:moveTo>
                <a:pt x="0" y="6387"/>
              </a:moveTo>
              <a:lnTo>
                <a:pt x="943188" y="6387"/>
              </a:lnTo>
            </a:path>
          </a:pathLst>
        </a:custGeom>
      </dgm:spPr>
      <dgm:t>
        <a:bodyPr/>
        <a:lstStyle/>
        <a:p>
          <a:endParaRPr lang="en-US"/>
        </a:p>
      </dgm:t>
    </dgm:pt>
    <dgm:pt modelId="{1DAD8E4C-6C91-4FCE-99C0-D5C0A3F24C17}" type="pres">
      <dgm:prSet presAssocID="{7C5C21B7-8D79-4BDB-811A-C14C2BB877FA}" presName="connTx" presStyleLbl="parChTrans1D2" presStyleIdx="12" presStyleCnt="13"/>
      <dgm:spPr/>
      <dgm:t>
        <a:bodyPr/>
        <a:lstStyle/>
        <a:p>
          <a:endParaRPr lang="en-US"/>
        </a:p>
      </dgm:t>
    </dgm:pt>
    <dgm:pt modelId="{098A803A-AAEA-485A-AF14-F5A0A7B3607E}" type="pres">
      <dgm:prSet presAssocID="{89E3D9F6-D117-4291-BEA9-20650ACA1140}" presName="node" presStyleLbl="node1" presStyleIdx="12" presStyleCnt="13" custScaleX="255462" custScaleY="98700" custRadScaleRad="127256" custRadScaleInc="-123423">
        <dgm:presLayoutVars>
          <dgm:bulletEnabled val="1"/>
        </dgm:presLayoutVars>
      </dgm:prSet>
      <dgm:spPr>
        <a:prstGeom prst="ellipse">
          <a:avLst/>
        </a:prstGeom>
      </dgm:spPr>
      <dgm:t>
        <a:bodyPr/>
        <a:lstStyle/>
        <a:p>
          <a:endParaRPr lang="en-US"/>
        </a:p>
      </dgm:t>
    </dgm:pt>
  </dgm:ptLst>
  <dgm:cxnLst>
    <dgm:cxn modelId="{7DAF22ED-7269-4F42-A1B6-A4E57C5973EF}" type="presOf" srcId="{7C1FA040-4399-40F0-866F-845B7914F68D}" destId="{69F18085-0AC3-4BAE-9B16-F8478FFBD61E}" srcOrd="0" destOrd="0" presId="urn:microsoft.com/office/officeart/2005/8/layout/radial1"/>
    <dgm:cxn modelId="{FE1169E0-24DF-4FBB-A1C9-8F332C85663A}" srcId="{A7516A72-1FC0-46ED-AAC4-AF0F7063F737}" destId="{6DAE892F-3F2D-42A5-BB1C-58D0E6BD9A47}" srcOrd="3" destOrd="0" parTransId="{D22DE764-173E-47DF-9480-722F8D8EA62C}" sibTransId="{28BD2EB6-8814-456D-B684-C7C0E2C0705F}"/>
    <dgm:cxn modelId="{691AEB06-B895-47A9-A70E-F48D067AB06E}" type="presOf" srcId="{3F89048A-3F9F-4897-8631-4599F4976029}" destId="{4DF1B0BE-A63A-4BEA-9EE5-4168481CC99E}" srcOrd="0" destOrd="0" presId="urn:microsoft.com/office/officeart/2005/8/layout/radial1"/>
    <dgm:cxn modelId="{EB3EA3FD-038F-4524-A324-4D405DC469D1}" type="presOf" srcId="{898446A3-EA8C-4C13-8A65-DF8A110D0838}" destId="{D9366F31-B7D7-4B43-830C-AD5E2193A794}" srcOrd="0" destOrd="0" presId="urn:microsoft.com/office/officeart/2005/8/layout/radial1"/>
    <dgm:cxn modelId="{DE35C18F-0D36-4BE0-AE58-5243A2B8D22B}" type="presOf" srcId="{98585C11-761C-43C4-979D-FB1B8BABF102}" destId="{B930024E-8665-4782-9C41-36517A71FCD4}" srcOrd="1" destOrd="0" presId="urn:microsoft.com/office/officeart/2005/8/layout/radial1"/>
    <dgm:cxn modelId="{0769CF6A-B4B4-4C60-ACD1-DCCC94C86952}" type="presOf" srcId="{3F89048A-3F9F-4897-8631-4599F4976029}" destId="{32B4D7AF-BD29-4AC4-BA11-37F2AE9561F4}" srcOrd="1" destOrd="0" presId="urn:microsoft.com/office/officeart/2005/8/layout/radial1"/>
    <dgm:cxn modelId="{BD1477D7-2E9B-49CB-AB60-780C5B6DF818}" type="presOf" srcId="{98B9F8AD-7347-45A5-BC2B-65EB3DDF63CC}" destId="{701CC827-3AE5-4421-983B-6398C783C82F}" srcOrd="0" destOrd="0" presId="urn:microsoft.com/office/officeart/2005/8/layout/radial1"/>
    <dgm:cxn modelId="{3616E2A7-53E2-46C9-81AF-CF2706F2A98D}" type="presOf" srcId="{D22DE764-173E-47DF-9480-722F8D8EA62C}" destId="{48797E66-4F8B-4B79-BCA7-6F88E85CF835}" srcOrd="1" destOrd="0" presId="urn:microsoft.com/office/officeart/2005/8/layout/radial1"/>
    <dgm:cxn modelId="{15136044-3A19-4049-BB08-905765A6C862}" type="presOf" srcId="{D94B5549-C2D2-4629-ACDF-33C6E334FA3A}" destId="{3F0F15B6-4D5A-493B-B03E-AE8141DC3DCE}" srcOrd="0" destOrd="0" presId="urn:microsoft.com/office/officeart/2005/8/layout/radial1"/>
    <dgm:cxn modelId="{5D0DA206-93C0-47A4-BBB1-9852D278210A}" type="presOf" srcId="{DB9FEC62-86A7-454A-89B3-F32F1907C71A}" destId="{34515D96-C834-4D67-AF5C-3B293601CBC3}" srcOrd="0" destOrd="0" presId="urn:microsoft.com/office/officeart/2005/8/layout/radial1"/>
    <dgm:cxn modelId="{DF9EB478-C224-42F7-822E-5C2EA98D82E9}" srcId="{A7516A72-1FC0-46ED-AAC4-AF0F7063F737}" destId="{D65A13E9-3C79-4155-B943-C33E81DAC317}" srcOrd="10" destOrd="0" parTransId="{98B9F8AD-7347-45A5-BC2B-65EB3DDF63CC}" sibTransId="{65C76345-3C56-4B13-AF62-A1F968209579}"/>
    <dgm:cxn modelId="{4398B847-CEF3-42D7-947B-61179A8E01DC}" type="presOf" srcId="{98B9F8AD-7347-45A5-BC2B-65EB3DDF63CC}" destId="{282CA825-226C-4E92-9F37-4F68B159DB24}" srcOrd="1" destOrd="0" presId="urn:microsoft.com/office/officeart/2005/8/layout/radial1"/>
    <dgm:cxn modelId="{6E7F716C-17CE-430B-A697-52A16FD02883}" type="presOf" srcId="{14602118-D739-48CC-85E0-791974AFA995}" destId="{DB594876-4070-4577-942D-67F5CD4D6A19}" srcOrd="0" destOrd="0" presId="urn:microsoft.com/office/officeart/2005/8/layout/radial1"/>
    <dgm:cxn modelId="{712D6CAB-54CB-4BEE-BF0E-7A98BE714D3E}" type="presOf" srcId="{DEF73824-C893-4963-9504-7E97D2FF5253}" destId="{FCC14444-D5E7-4E9C-B980-A27CD799E442}" srcOrd="0" destOrd="0" presId="urn:microsoft.com/office/officeart/2005/8/layout/radial1"/>
    <dgm:cxn modelId="{45474814-ED64-43BF-A5A1-9CEB4100F4BD}" type="presOf" srcId="{D65A13E9-3C79-4155-B943-C33E81DAC317}" destId="{A86195D8-E78B-4F8B-B1C4-EFBBA8999B88}" srcOrd="0" destOrd="0" presId="urn:microsoft.com/office/officeart/2005/8/layout/radial1"/>
    <dgm:cxn modelId="{A1357B0A-C240-4A91-89D8-A39634308683}" srcId="{A7516A72-1FC0-46ED-AAC4-AF0F7063F737}" destId="{44FBC2E2-D754-42C1-BEE4-690296442511}" srcOrd="8" destOrd="0" parTransId="{2F72DDEE-62D3-48A5-836A-4C87596541F0}" sibTransId="{A8D506B7-E9B0-4378-B011-FCC599FE960D}"/>
    <dgm:cxn modelId="{ADF1B57A-685A-46BF-849A-7B753F6EEA74}" type="presOf" srcId="{D460D018-736B-4CE5-A14B-061F8EFE829B}" destId="{5AF8D9AC-0C15-4D1B-BCD3-7FFCFF0A581D}" srcOrd="0" destOrd="0" presId="urn:microsoft.com/office/officeart/2005/8/layout/radial1"/>
    <dgm:cxn modelId="{333E8F20-31E9-4D6F-9F31-24FBF63076E9}" srcId="{A7516A72-1FC0-46ED-AAC4-AF0F7063F737}" destId="{D460D018-736B-4CE5-A14B-061F8EFE829B}" srcOrd="9" destOrd="0" parTransId="{B4A5C031-92B2-438E-80BC-EAA05F5C7CF7}" sibTransId="{13E4242D-C1FF-4F31-B2EF-0F857644C218}"/>
    <dgm:cxn modelId="{96AAF71E-C489-40E9-BCF5-78A630E0361C}" type="presOf" srcId="{89E3D9F6-D117-4291-BEA9-20650ACA1140}" destId="{098A803A-AAEA-485A-AF14-F5A0A7B3607E}" srcOrd="0" destOrd="0" presId="urn:microsoft.com/office/officeart/2005/8/layout/radial1"/>
    <dgm:cxn modelId="{0EECF4F7-6E4F-4A35-A048-9F40DB96DE3E}" type="presOf" srcId="{9E510621-404D-46D6-8EB3-39712C8626D4}" destId="{0D3BFC0A-5ED4-4CCF-A336-A529B3363890}" srcOrd="1" destOrd="0" presId="urn:microsoft.com/office/officeart/2005/8/layout/radial1"/>
    <dgm:cxn modelId="{26FB2EC9-26A5-434C-9593-71EF30DCE833}" type="presOf" srcId="{BA28F4A6-AD16-499D-88C1-DBE004B28175}" destId="{B06AADB2-5D51-41DC-8677-C0CC2357518B}" srcOrd="1" destOrd="0" presId="urn:microsoft.com/office/officeart/2005/8/layout/radial1"/>
    <dgm:cxn modelId="{0EEFC3E0-6B3D-4FD1-B9B9-380866218725}" type="presOf" srcId="{ED17F2E8-0F2C-4806-A165-056066C1285B}" destId="{48D8EFE9-A375-4136-B36E-91EB3A5F0349}" srcOrd="0" destOrd="0" presId="urn:microsoft.com/office/officeart/2005/8/layout/radial1"/>
    <dgm:cxn modelId="{A38B847D-D226-4A6D-B270-7F561245ACC8}" srcId="{A7516A72-1FC0-46ED-AAC4-AF0F7063F737}" destId="{AAAA106F-E487-47CE-9BAB-D684E19C81DF}" srcOrd="11" destOrd="0" parTransId="{ED17F2E8-0F2C-4806-A165-056066C1285B}" sibTransId="{8B1A6F93-EA70-4B77-B04E-0D667670E9A6}"/>
    <dgm:cxn modelId="{996B9653-906A-49F8-9E4B-3836F7905D4E}" srcId="{D981426F-5B7B-4AA5-957A-6E8C9E1A2487}" destId="{A7516A72-1FC0-46ED-AAC4-AF0F7063F737}" srcOrd="0" destOrd="0" parTransId="{D9E0AFEB-65B5-4280-ADD0-766B3ADA6CFD}" sibTransId="{6B1EB84D-437E-47A1-87CB-9027EE716AD0}"/>
    <dgm:cxn modelId="{84826536-FF9D-47C5-902D-DB146A527C2A}" srcId="{A7516A72-1FC0-46ED-AAC4-AF0F7063F737}" destId="{68A5766F-115C-487E-B7CB-4ADE150678D1}" srcOrd="0" destOrd="0" parTransId="{BA28F4A6-AD16-499D-88C1-DBE004B28175}" sibTransId="{BA9B1909-6561-415A-8EF0-B53DE88FCEBA}"/>
    <dgm:cxn modelId="{A459C3FE-2D77-4F69-946D-4560CBA54BB0}" type="presOf" srcId="{B4A5C031-92B2-438E-80BC-EAA05F5C7CF7}" destId="{EFB9CB5A-411C-454B-96B1-9ED988829CBE}" srcOrd="0" destOrd="0" presId="urn:microsoft.com/office/officeart/2005/8/layout/radial1"/>
    <dgm:cxn modelId="{D678C63E-6609-4481-B571-605C3909E2FA}" type="presOf" srcId="{D981426F-5B7B-4AA5-957A-6E8C9E1A2487}" destId="{9D8B49BD-1DF7-4888-9A7E-2CFD4320CC2B}" srcOrd="0" destOrd="0" presId="urn:microsoft.com/office/officeart/2005/8/layout/radial1"/>
    <dgm:cxn modelId="{345C13DF-1D3F-4982-AF23-DC2641540559}" srcId="{A7516A72-1FC0-46ED-AAC4-AF0F7063F737}" destId="{7C1FA040-4399-40F0-866F-845B7914F68D}" srcOrd="6" destOrd="0" parTransId="{98585C11-761C-43C4-979D-FB1B8BABF102}" sibTransId="{82A7CC90-6A4C-422A-B221-BA4CF5B4D442}"/>
    <dgm:cxn modelId="{9808F9A1-BB18-41E3-AA40-E469B653EE95}" type="presOf" srcId="{DEF73824-C893-4963-9504-7E97D2FF5253}" destId="{3EA6B60F-F2E8-4D48-9EC1-CAAE09243949}" srcOrd="1" destOrd="0" presId="urn:microsoft.com/office/officeart/2005/8/layout/radial1"/>
    <dgm:cxn modelId="{4C6C5750-07A3-4F83-BD3C-526D3BD0621F}" type="presOf" srcId="{2F72DDEE-62D3-48A5-836A-4C87596541F0}" destId="{280B3AB5-4999-4B99-8BE9-E09C9DF5D482}" srcOrd="1" destOrd="0" presId="urn:microsoft.com/office/officeart/2005/8/layout/radial1"/>
    <dgm:cxn modelId="{ABAD505D-6E9F-4169-83D0-03E329C7C607}" type="presOf" srcId="{2F72DDEE-62D3-48A5-836A-4C87596541F0}" destId="{7B59CB2C-C82F-41EE-B3CF-ADD4878ADBA6}" srcOrd="0" destOrd="0" presId="urn:microsoft.com/office/officeart/2005/8/layout/radial1"/>
    <dgm:cxn modelId="{C7DD68AE-99B2-4937-A127-D654A2E99784}" srcId="{A7516A72-1FC0-46ED-AAC4-AF0F7063F737}" destId="{DB0D84B1-C440-4746-9EEF-F1ED71D64DD2}" srcOrd="4" destOrd="0" parTransId="{9E510621-404D-46D6-8EB3-39712C8626D4}" sibTransId="{99C4878C-8523-40E3-93C5-8DC55D31DB77}"/>
    <dgm:cxn modelId="{5F1D92EF-31A1-467E-8164-781A48A4C8D5}" type="presOf" srcId="{44FBC2E2-D754-42C1-BEE4-690296442511}" destId="{402B25BB-F397-46B5-AAB7-C38C2276BF82}" srcOrd="0" destOrd="0" presId="urn:microsoft.com/office/officeart/2005/8/layout/radial1"/>
    <dgm:cxn modelId="{E5DD3C3F-F401-46C8-9D1F-CEE8478EFA81}" srcId="{A7516A72-1FC0-46ED-AAC4-AF0F7063F737}" destId="{2628F477-2289-4CEE-9618-96DDAFCD4291}" srcOrd="7" destOrd="0" parTransId="{DEF73824-C893-4963-9504-7E97D2FF5253}" sibTransId="{6D6ABE48-6FEB-4EAA-849C-585AC08FCF5B}"/>
    <dgm:cxn modelId="{2B39A900-121F-445D-B423-1054EA9E8224}" type="presOf" srcId="{DB0D84B1-C440-4746-9EEF-F1ED71D64DD2}" destId="{66DADE40-99AE-41BE-B997-129EED231064}" srcOrd="0" destOrd="0" presId="urn:microsoft.com/office/officeart/2005/8/layout/radial1"/>
    <dgm:cxn modelId="{ED764FCD-CB11-4225-9D97-BE74A5494AD9}" type="presOf" srcId="{D22DE764-173E-47DF-9480-722F8D8EA62C}" destId="{5CF8296B-0142-429D-A71A-20799D2EB74B}" srcOrd="0" destOrd="0" presId="urn:microsoft.com/office/officeart/2005/8/layout/radial1"/>
    <dgm:cxn modelId="{1229807D-6A59-498C-A707-9DD6CEEA0C8D}" srcId="{A7516A72-1FC0-46ED-AAC4-AF0F7063F737}" destId="{F0FE4372-65E6-4D92-B9B0-D2B79F26FB27}" srcOrd="2" destOrd="0" parTransId="{D94B5549-C2D2-4629-ACDF-33C6E334FA3A}" sibTransId="{E2B06661-55BE-4022-AD18-067DB2509F93}"/>
    <dgm:cxn modelId="{86C6F158-93BB-4EAF-A3E7-B36DC566651C}" type="presOf" srcId="{68A5766F-115C-487E-B7CB-4ADE150678D1}" destId="{AFD0CC05-9AD4-4A51-8739-4FB4CA1E4ACE}" srcOrd="0" destOrd="0" presId="urn:microsoft.com/office/officeart/2005/8/layout/radial1"/>
    <dgm:cxn modelId="{5710D5AA-F163-4073-A16C-01462C29C272}" type="presOf" srcId="{F0FE4372-65E6-4D92-B9B0-D2B79F26FB27}" destId="{ECD2D13D-466C-468B-BD6C-1B646D8E5B8E}" srcOrd="0" destOrd="0" presId="urn:microsoft.com/office/officeart/2005/8/layout/radial1"/>
    <dgm:cxn modelId="{D81B342C-4380-46B6-901C-C816C77ABED9}" type="presOf" srcId="{D94B5549-C2D2-4629-ACDF-33C6E334FA3A}" destId="{905DF954-A0B6-4A5F-9CE2-F1C3ADBDD0C1}" srcOrd="1" destOrd="0" presId="urn:microsoft.com/office/officeart/2005/8/layout/radial1"/>
    <dgm:cxn modelId="{946CD9F1-B5B7-4EE4-B281-0DF965150469}" type="presOf" srcId="{A7516A72-1FC0-46ED-AAC4-AF0F7063F737}" destId="{493DA7EC-5D69-41B7-92E4-ED7ED9F48883}" srcOrd="0" destOrd="0" presId="urn:microsoft.com/office/officeart/2005/8/layout/radial1"/>
    <dgm:cxn modelId="{ADD43EF3-E1C1-4969-8240-339E98320D88}" type="presOf" srcId="{2628F477-2289-4CEE-9618-96DDAFCD4291}" destId="{49C45DFA-0A15-4DAA-80DC-CAE4ABCC6B43}" srcOrd="0" destOrd="0" presId="urn:microsoft.com/office/officeart/2005/8/layout/radial1"/>
    <dgm:cxn modelId="{89790F53-0945-4DEA-805E-A664CCB49ECC}" type="presOf" srcId="{6DAE892F-3F2D-42A5-BB1C-58D0E6BD9A47}" destId="{7E7DDE23-6C04-407D-AAB6-669511EA704E}" srcOrd="0" destOrd="0" presId="urn:microsoft.com/office/officeart/2005/8/layout/radial1"/>
    <dgm:cxn modelId="{EBA56D80-0D97-4DBE-9597-89AE108E73C5}" type="presOf" srcId="{B4A5C031-92B2-438E-80BC-EAA05F5C7CF7}" destId="{A140118B-14B1-45A7-9CF9-17E4D006F84D}" srcOrd="1" destOrd="0" presId="urn:microsoft.com/office/officeart/2005/8/layout/radial1"/>
    <dgm:cxn modelId="{F363693C-08B2-4472-906F-8AE49F756F53}" type="presOf" srcId="{9E510621-404D-46D6-8EB3-39712C8626D4}" destId="{DC281168-2DBC-4CFB-B21D-C54E9628B383}" srcOrd="0" destOrd="0" presId="urn:microsoft.com/office/officeart/2005/8/layout/radial1"/>
    <dgm:cxn modelId="{AC09C093-E803-4297-A27B-A8A7840A9E1E}" type="presOf" srcId="{ED17F2E8-0F2C-4806-A165-056066C1285B}" destId="{3534FF94-72C6-43FB-8F21-668E71284740}" srcOrd="1" destOrd="0" presId="urn:microsoft.com/office/officeart/2005/8/layout/radial1"/>
    <dgm:cxn modelId="{68A56159-6A0A-41C1-B3A6-C8968E6871A5}" type="presOf" srcId="{7C5C21B7-8D79-4BDB-811A-C14C2BB877FA}" destId="{78727A99-0CB1-4013-8BE2-594D8BE4FB83}" srcOrd="0" destOrd="0" presId="urn:microsoft.com/office/officeart/2005/8/layout/radial1"/>
    <dgm:cxn modelId="{3138FD81-FCE3-4020-9313-BAD8BCAF820B}" srcId="{A7516A72-1FC0-46ED-AAC4-AF0F7063F737}" destId="{14602118-D739-48CC-85E0-791974AFA995}" srcOrd="5" destOrd="0" parTransId="{3F89048A-3F9F-4897-8631-4599F4976029}" sibTransId="{85730AA2-ED16-41DB-9898-B2A63ECD874D}"/>
    <dgm:cxn modelId="{0B834114-9632-4901-A5B3-A7D908A4A937}" type="presOf" srcId="{98585C11-761C-43C4-979D-FB1B8BABF102}" destId="{E49C447F-3477-4311-B10B-FFFA7DE7209F}" srcOrd="0" destOrd="0" presId="urn:microsoft.com/office/officeart/2005/8/layout/radial1"/>
    <dgm:cxn modelId="{2D8270F0-9980-41D8-B6C0-E1F1ECBE6E97}" type="presOf" srcId="{BA28F4A6-AD16-499D-88C1-DBE004B28175}" destId="{E6ACA703-0949-41B3-BE6B-C702E5C7275F}" srcOrd="0" destOrd="0" presId="urn:microsoft.com/office/officeart/2005/8/layout/radial1"/>
    <dgm:cxn modelId="{A93C1B4A-74B5-4343-AF12-0C2C4D914189}" srcId="{A7516A72-1FC0-46ED-AAC4-AF0F7063F737}" destId="{898446A3-EA8C-4C13-8A65-DF8A110D0838}" srcOrd="1" destOrd="0" parTransId="{DB9FEC62-86A7-454A-89B3-F32F1907C71A}" sibTransId="{E56928EA-8406-4998-BE40-3F4796EA5932}"/>
    <dgm:cxn modelId="{B5F565C2-CC6A-4C5C-9674-F59825443AB7}" type="presOf" srcId="{7C5C21B7-8D79-4BDB-811A-C14C2BB877FA}" destId="{1DAD8E4C-6C91-4FCE-99C0-D5C0A3F24C17}" srcOrd="1" destOrd="0" presId="urn:microsoft.com/office/officeart/2005/8/layout/radial1"/>
    <dgm:cxn modelId="{2DE14BB3-C787-476D-8AEB-8D5E3558BC6C}" srcId="{A7516A72-1FC0-46ED-AAC4-AF0F7063F737}" destId="{89E3D9F6-D117-4291-BEA9-20650ACA1140}" srcOrd="12" destOrd="0" parTransId="{7C5C21B7-8D79-4BDB-811A-C14C2BB877FA}" sibTransId="{4F079A65-A81B-4CBE-B331-67DE498DE623}"/>
    <dgm:cxn modelId="{7225F34D-ED19-4838-83E3-4E77D81FEE9A}" type="presOf" srcId="{DB9FEC62-86A7-454A-89B3-F32F1907C71A}" destId="{A8CF68B1-7D91-429E-8C8D-53007288E1DC}" srcOrd="1" destOrd="0" presId="urn:microsoft.com/office/officeart/2005/8/layout/radial1"/>
    <dgm:cxn modelId="{9BF32FB6-5695-44A0-B92B-3D64EE4051C4}" type="presOf" srcId="{AAAA106F-E487-47CE-9BAB-D684E19C81DF}" destId="{2CC81EFE-1B09-4239-A772-C0141AEBEE08}" srcOrd="0" destOrd="0" presId="urn:microsoft.com/office/officeart/2005/8/layout/radial1"/>
    <dgm:cxn modelId="{9E102175-6ACF-4D8C-AE77-3448E63E1EBB}" type="presParOf" srcId="{9D8B49BD-1DF7-4888-9A7E-2CFD4320CC2B}" destId="{493DA7EC-5D69-41B7-92E4-ED7ED9F48883}" srcOrd="0" destOrd="0" presId="urn:microsoft.com/office/officeart/2005/8/layout/radial1"/>
    <dgm:cxn modelId="{7DB39CBC-0F7A-4EF1-894D-11DC99F99638}" type="presParOf" srcId="{9D8B49BD-1DF7-4888-9A7E-2CFD4320CC2B}" destId="{E6ACA703-0949-41B3-BE6B-C702E5C7275F}" srcOrd="1" destOrd="0" presId="urn:microsoft.com/office/officeart/2005/8/layout/radial1"/>
    <dgm:cxn modelId="{DCB19D65-B0C7-4343-81AF-59FAE3A72F63}" type="presParOf" srcId="{E6ACA703-0949-41B3-BE6B-C702E5C7275F}" destId="{B06AADB2-5D51-41DC-8677-C0CC2357518B}" srcOrd="0" destOrd="0" presId="urn:microsoft.com/office/officeart/2005/8/layout/radial1"/>
    <dgm:cxn modelId="{F51718B7-11C3-4087-8A5C-27A414CB7EA0}" type="presParOf" srcId="{9D8B49BD-1DF7-4888-9A7E-2CFD4320CC2B}" destId="{AFD0CC05-9AD4-4A51-8739-4FB4CA1E4ACE}" srcOrd="2" destOrd="0" presId="urn:microsoft.com/office/officeart/2005/8/layout/radial1"/>
    <dgm:cxn modelId="{5B0E875B-440F-4C07-AF7B-4B28BC326B2F}" type="presParOf" srcId="{9D8B49BD-1DF7-4888-9A7E-2CFD4320CC2B}" destId="{34515D96-C834-4D67-AF5C-3B293601CBC3}" srcOrd="3" destOrd="0" presId="urn:microsoft.com/office/officeart/2005/8/layout/radial1"/>
    <dgm:cxn modelId="{6D7C0FB1-9A58-4CFF-89F1-0803D2A15569}" type="presParOf" srcId="{34515D96-C834-4D67-AF5C-3B293601CBC3}" destId="{A8CF68B1-7D91-429E-8C8D-53007288E1DC}" srcOrd="0" destOrd="0" presId="urn:microsoft.com/office/officeart/2005/8/layout/radial1"/>
    <dgm:cxn modelId="{870A0096-6E9A-4297-94E0-6A3FDE3EC4E5}" type="presParOf" srcId="{9D8B49BD-1DF7-4888-9A7E-2CFD4320CC2B}" destId="{D9366F31-B7D7-4B43-830C-AD5E2193A794}" srcOrd="4" destOrd="0" presId="urn:microsoft.com/office/officeart/2005/8/layout/radial1"/>
    <dgm:cxn modelId="{4823291E-7F40-488B-826F-C20A2F737C64}" type="presParOf" srcId="{9D8B49BD-1DF7-4888-9A7E-2CFD4320CC2B}" destId="{3F0F15B6-4D5A-493B-B03E-AE8141DC3DCE}" srcOrd="5" destOrd="0" presId="urn:microsoft.com/office/officeart/2005/8/layout/radial1"/>
    <dgm:cxn modelId="{A124FA55-7C90-49A9-9F8C-44322A75C9E8}" type="presParOf" srcId="{3F0F15B6-4D5A-493B-B03E-AE8141DC3DCE}" destId="{905DF954-A0B6-4A5F-9CE2-F1C3ADBDD0C1}" srcOrd="0" destOrd="0" presId="urn:microsoft.com/office/officeart/2005/8/layout/radial1"/>
    <dgm:cxn modelId="{21969B5F-63A5-4813-9746-6CF7A457F8F2}" type="presParOf" srcId="{9D8B49BD-1DF7-4888-9A7E-2CFD4320CC2B}" destId="{ECD2D13D-466C-468B-BD6C-1B646D8E5B8E}" srcOrd="6" destOrd="0" presId="urn:microsoft.com/office/officeart/2005/8/layout/radial1"/>
    <dgm:cxn modelId="{5D7051A4-3A0F-48E2-B4F7-00344A0EE425}" type="presParOf" srcId="{9D8B49BD-1DF7-4888-9A7E-2CFD4320CC2B}" destId="{5CF8296B-0142-429D-A71A-20799D2EB74B}" srcOrd="7" destOrd="0" presId="urn:microsoft.com/office/officeart/2005/8/layout/radial1"/>
    <dgm:cxn modelId="{79EE077B-D775-4729-AE9D-6EC5EBADCBE0}" type="presParOf" srcId="{5CF8296B-0142-429D-A71A-20799D2EB74B}" destId="{48797E66-4F8B-4B79-BCA7-6F88E85CF835}" srcOrd="0" destOrd="0" presId="urn:microsoft.com/office/officeart/2005/8/layout/radial1"/>
    <dgm:cxn modelId="{A6AE5EE1-ECBC-4B80-83BF-38CDDF127255}" type="presParOf" srcId="{9D8B49BD-1DF7-4888-9A7E-2CFD4320CC2B}" destId="{7E7DDE23-6C04-407D-AAB6-669511EA704E}" srcOrd="8" destOrd="0" presId="urn:microsoft.com/office/officeart/2005/8/layout/radial1"/>
    <dgm:cxn modelId="{52CDF52D-A30A-4385-939E-12B09BE80427}" type="presParOf" srcId="{9D8B49BD-1DF7-4888-9A7E-2CFD4320CC2B}" destId="{DC281168-2DBC-4CFB-B21D-C54E9628B383}" srcOrd="9" destOrd="0" presId="urn:microsoft.com/office/officeart/2005/8/layout/radial1"/>
    <dgm:cxn modelId="{FCA2EEFD-ED68-48FA-8D29-D5148473389B}" type="presParOf" srcId="{DC281168-2DBC-4CFB-B21D-C54E9628B383}" destId="{0D3BFC0A-5ED4-4CCF-A336-A529B3363890}" srcOrd="0" destOrd="0" presId="urn:microsoft.com/office/officeart/2005/8/layout/radial1"/>
    <dgm:cxn modelId="{CA02AF05-4C06-40D8-BE9A-03A94EAEAA55}" type="presParOf" srcId="{9D8B49BD-1DF7-4888-9A7E-2CFD4320CC2B}" destId="{66DADE40-99AE-41BE-B997-129EED231064}" srcOrd="10" destOrd="0" presId="urn:microsoft.com/office/officeart/2005/8/layout/radial1"/>
    <dgm:cxn modelId="{0473F103-E1C6-45D5-BED5-304442489159}" type="presParOf" srcId="{9D8B49BD-1DF7-4888-9A7E-2CFD4320CC2B}" destId="{4DF1B0BE-A63A-4BEA-9EE5-4168481CC99E}" srcOrd="11" destOrd="0" presId="urn:microsoft.com/office/officeart/2005/8/layout/radial1"/>
    <dgm:cxn modelId="{A5437B69-A000-41B2-89DC-9A5FCA2E5C27}" type="presParOf" srcId="{4DF1B0BE-A63A-4BEA-9EE5-4168481CC99E}" destId="{32B4D7AF-BD29-4AC4-BA11-37F2AE9561F4}" srcOrd="0" destOrd="0" presId="urn:microsoft.com/office/officeart/2005/8/layout/radial1"/>
    <dgm:cxn modelId="{62783434-41ED-4009-B777-12602FA03CE7}" type="presParOf" srcId="{9D8B49BD-1DF7-4888-9A7E-2CFD4320CC2B}" destId="{DB594876-4070-4577-942D-67F5CD4D6A19}" srcOrd="12" destOrd="0" presId="urn:microsoft.com/office/officeart/2005/8/layout/radial1"/>
    <dgm:cxn modelId="{7C57BDC9-2210-462F-AC9B-F89AF28F1A7B}" type="presParOf" srcId="{9D8B49BD-1DF7-4888-9A7E-2CFD4320CC2B}" destId="{E49C447F-3477-4311-B10B-FFFA7DE7209F}" srcOrd="13" destOrd="0" presId="urn:microsoft.com/office/officeart/2005/8/layout/radial1"/>
    <dgm:cxn modelId="{EAD9AEB5-324B-4753-ADC6-2F7F1C4978F4}" type="presParOf" srcId="{E49C447F-3477-4311-B10B-FFFA7DE7209F}" destId="{B930024E-8665-4782-9C41-36517A71FCD4}" srcOrd="0" destOrd="0" presId="urn:microsoft.com/office/officeart/2005/8/layout/radial1"/>
    <dgm:cxn modelId="{A86AC077-9218-4444-BEFF-9801C74A656C}" type="presParOf" srcId="{9D8B49BD-1DF7-4888-9A7E-2CFD4320CC2B}" destId="{69F18085-0AC3-4BAE-9B16-F8478FFBD61E}" srcOrd="14" destOrd="0" presId="urn:microsoft.com/office/officeart/2005/8/layout/radial1"/>
    <dgm:cxn modelId="{8784C887-7F6B-4793-962F-21BE27432045}" type="presParOf" srcId="{9D8B49BD-1DF7-4888-9A7E-2CFD4320CC2B}" destId="{FCC14444-D5E7-4E9C-B980-A27CD799E442}" srcOrd="15" destOrd="0" presId="urn:microsoft.com/office/officeart/2005/8/layout/radial1"/>
    <dgm:cxn modelId="{87DC5844-EF15-4A9D-9712-6FCFF1A21191}" type="presParOf" srcId="{FCC14444-D5E7-4E9C-B980-A27CD799E442}" destId="{3EA6B60F-F2E8-4D48-9EC1-CAAE09243949}" srcOrd="0" destOrd="0" presId="urn:microsoft.com/office/officeart/2005/8/layout/radial1"/>
    <dgm:cxn modelId="{41D44497-DE6E-483B-9482-924360B7BC80}" type="presParOf" srcId="{9D8B49BD-1DF7-4888-9A7E-2CFD4320CC2B}" destId="{49C45DFA-0A15-4DAA-80DC-CAE4ABCC6B43}" srcOrd="16" destOrd="0" presId="urn:microsoft.com/office/officeart/2005/8/layout/radial1"/>
    <dgm:cxn modelId="{EB99E6AD-D5A5-47BD-AAEA-C511F4E1F7E7}" type="presParOf" srcId="{9D8B49BD-1DF7-4888-9A7E-2CFD4320CC2B}" destId="{7B59CB2C-C82F-41EE-B3CF-ADD4878ADBA6}" srcOrd="17" destOrd="0" presId="urn:microsoft.com/office/officeart/2005/8/layout/radial1"/>
    <dgm:cxn modelId="{7766F621-C57E-447C-BA54-CB8013E1B584}" type="presParOf" srcId="{7B59CB2C-C82F-41EE-B3CF-ADD4878ADBA6}" destId="{280B3AB5-4999-4B99-8BE9-E09C9DF5D482}" srcOrd="0" destOrd="0" presId="urn:microsoft.com/office/officeart/2005/8/layout/radial1"/>
    <dgm:cxn modelId="{52F282A4-A882-4AC1-A047-FC9E4279A79F}" type="presParOf" srcId="{9D8B49BD-1DF7-4888-9A7E-2CFD4320CC2B}" destId="{402B25BB-F397-46B5-AAB7-C38C2276BF82}" srcOrd="18" destOrd="0" presId="urn:microsoft.com/office/officeart/2005/8/layout/radial1"/>
    <dgm:cxn modelId="{7AEF13DC-4043-43AD-A7E3-858404A3A218}" type="presParOf" srcId="{9D8B49BD-1DF7-4888-9A7E-2CFD4320CC2B}" destId="{EFB9CB5A-411C-454B-96B1-9ED988829CBE}" srcOrd="19" destOrd="0" presId="urn:microsoft.com/office/officeart/2005/8/layout/radial1"/>
    <dgm:cxn modelId="{7BB23838-3F5D-48E6-A533-0D68917949A5}" type="presParOf" srcId="{EFB9CB5A-411C-454B-96B1-9ED988829CBE}" destId="{A140118B-14B1-45A7-9CF9-17E4D006F84D}" srcOrd="0" destOrd="0" presId="urn:microsoft.com/office/officeart/2005/8/layout/radial1"/>
    <dgm:cxn modelId="{5CB6AEBF-3B0B-4652-830A-062517487681}" type="presParOf" srcId="{9D8B49BD-1DF7-4888-9A7E-2CFD4320CC2B}" destId="{5AF8D9AC-0C15-4D1B-BCD3-7FFCFF0A581D}" srcOrd="20" destOrd="0" presId="urn:microsoft.com/office/officeart/2005/8/layout/radial1"/>
    <dgm:cxn modelId="{87BB9DE6-19D9-4BED-853E-4D0CDDF92EB2}" type="presParOf" srcId="{9D8B49BD-1DF7-4888-9A7E-2CFD4320CC2B}" destId="{701CC827-3AE5-4421-983B-6398C783C82F}" srcOrd="21" destOrd="0" presId="urn:microsoft.com/office/officeart/2005/8/layout/radial1"/>
    <dgm:cxn modelId="{031243A0-5C1D-4197-9AA6-3A9F91D13E33}" type="presParOf" srcId="{701CC827-3AE5-4421-983B-6398C783C82F}" destId="{282CA825-226C-4E92-9F37-4F68B159DB24}" srcOrd="0" destOrd="0" presId="urn:microsoft.com/office/officeart/2005/8/layout/radial1"/>
    <dgm:cxn modelId="{A9F4A847-78D7-44FC-AE8B-81453244A58B}" type="presParOf" srcId="{9D8B49BD-1DF7-4888-9A7E-2CFD4320CC2B}" destId="{A86195D8-E78B-4F8B-B1C4-EFBBA8999B88}" srcOrd="22" destOrd="0" presId="urn:microsoft.com/office/officeart/2005/8/layout/radial1"/>
    <dgm:cxn modelId="{2939CDE4-2330-4447-BA7F-136906B905F0}" type="presParOf" srcId="{9D8B49BD-1DF7-4888-9A7E-2CFD4320CC2B}" destId="{48D8EFE9-A375-4136-B36E-91EB3A5F0349}" srcOrd="23" destOrd="0" presId="urn:microsoft.com/office/officeart/2005/8/layout/radial1"/>
    <dgm:cxn modelId="{43D8B184-179C-4BA1-A487-F2B5974986D8}" type="presParOf" srcId="{48D8EFE9-A375-4136-B36E-91EB3A5F0349}" destId="{3534FF94-72C6-43FB-8F21-668E71284740}" srcOrd="0" destOrd="0" presId="urn:microsoft.com/office/officeart/2005/8/layout/radial1"/>
    <dgm:cxn modelId="{E0C1B8DB-CB3E-45DE-A0B4-743583FC789E}" type="presParOf" srcId="{9D8B49BD-1DF7-4888-9A7E-2CFD4320CC2B}" destId="{2CC81EFE-1B09-4239-A772-C0141AEBEE08}" srcOrd="24" destOrd="0" presId="urn:microsoft.com/office/officeart/2005/8/layout/radial1"/>
    <dgm:cxn modelId="{E45888D9-3ED7-4ECB-BB62-F5355E8652DA}" type="presParOf" srcId="{9D8B49BD-1DF7-4888-9A7E-2CFD4320CC2B}" destId="{78727A99-0CB1-4013-8BE2-594D8BE4FB83}" srcOrd="25" destOrd="0" presId="urn:microsoft.com/office/officeart/2005/8/layout/radial1"/>
    <dgm:cxn modelId="{A0ACB486-82CF-4597-B5F1-4171EE334873}" type="presParOf" srcId="{78727A99-0CB1-4013-8BE2-594D8BE4FB83}" destId="{1DAD8E4C-6C91-4FCE-99C0-D5C0A3F24C17}" srcOrd="0" destOrd="0" presId="urn:microsoft.com/office/officeart/2005/8/layout/radial1"/>
    <dgm:cxn modelId="{B9527893-8D0B-4903-9293-3C5DADC1850C}" type="presParOf" srcId="{9D8B49BD-1DF7-4888-9A7E-2CFD4320CC2B}" destId="{098A803A-AAEA-485A-AF14-F5A0A7B3607E}" srcOrd="26" destOrd="0" presId="urn:microsoft.com/office/officeart/2005/8/layout/radial1"/>
  </dgm:cxnLst>
  <dgm:bg>
    <a:noFill/>
  </dgm:bg>
  <dgm:whole/>
  <dgm:extLst>
    <a:ext uri="http://schemas.microsoft.com/office/drawing/2008/diagram">
      <dsp:dataModelExt xmlns:dsp="http://schemas.microsoft.com/office/drawing/2008/diagram" relId="rId109"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92477" y="768034"/>
          <a:ext cx="1209701" cy="49670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514738" y="689702"/>
          <a:ext cx="1606452" cy="651672"/>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20 </a:t>
          </a:r>
        </a:p>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Relaciones exteriores</a:t>
          </a:r>
        </a:p>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801741">
          <a:off x="2121191" y="1008492"/>
          <a:ext cx="271287" cy="15042"/>
        </a:xfrm>
      </dgm:spPr>
      <dgm:t>
        <a:bodyPr/>
        <a:lstStyle/>
        <a:p>
          <a:endParaRPr lang="en-US"/>
        </a:p>
      </dgm:t>
    </dgm:pt>
    <dgm:pt modelId="{4631C2C5-1554-4289-90B0-F2D55D1595B6}">
      <dgm:prSet phldrT="[Text]" custT="1"/>
      <dgm:spPr>
        <a:xfrm>
          <a:off x="3969749" y="673535"/>
          <a:ext cx="1504339" cy="68216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21596465">
          <a:off x="3602177" y="1008056"/>
          <a:ext cx="367574" cy="15042"/>
        </a:xfrm>
      </dgm:spPr>
      <dgm:t>
        <a:bodyPr/>
        <a:lstStyle/>
        <a:p>
          <a:endParaRPr lang="en-US"/>
        </a:p>
      </dgm:t>
    </dgm:pt>
    <dgm:pt modelId="{960C5593-E0FF-4AA5-AA0B-E8BDFFBC5E53}">
      <dgm:prSet phldrT="[Text]" custT="1"/>
      <dgm:spPr>
        <a:xfrm>
          <a:off x="2280745" y="24727"/>
          <a:ext cx="1463485" cy="57496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a:t>
          </a: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 regionales en la sede</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273998">
          <a:off x="2920287" y="676342"/>
          <a:ext cx="168399" cy="15042"/>
        </a:xfrm>
      </dgm:spPr>
      <dgm:t>
        <a:bodyPr/>
        <a:lstStyle/>
        <a:p>
          <a:endParaRPr lang="en-US"/>
        </a:p>
      </dgm:t>
    </dgm:pt>
    <dgm:pt modelId="{E8B72980-4234-42F0-8A76-7022BE1A23D4}">
      <dgm:prSet phldrT="[Text]" custT="1"/>
      <dgm:spPr>
        <a:xfrm>
          <a:off x="2280745" y="24727"/>
          <a:ext cx="1463485" cy="57496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Derecho de autor y derechos conexos</a:t>
          </a:r>
        </a:p>
      </dgm:t>
    </dgm:pt>
    <dgm:pt modelId="{6A15E0A4-5C3C-46EC-813C-B512B6A8F114}" type="parTrans" cxnId="{2D0162FD-7690-42FF-BBB8-1147EFF1D173}">
      <dgm:prSet/>
      <dgm:spPr/>
      <dgm:t>
        <a:bodyPr/>
        <a:lstStyle/>
        <a:p>
          <a:endParaRPr lang="en-US"/>
        </a:p>
      </dgm:t>
    </dgm:pt>
    <dgm:pt modelId="{67FC8A0D-2667-483F-B383-42D270B4AFFA}" type="sibTrans" cxnId="{2D0162FD-7690-42FF-BBB8-1147EFF1D173}">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26891" custScaleY="123840" custLinFactNeighborX="4528" custLinFactNeighborY="-432"/>
      <dgm:spPr>
        <a:prstGeom prst="ellipse">
          <a:avLst/>
        </a:prstGeom>
      </dgm:spPr>
      <dgm:t>
        <a:bodyPr/>
        <a:lstStyle/>
        <a:p>
          <a:endParaRPr lang="en-US"/>
        </a:p>
      </dgm:t>
    </dgm:pt>
    <dgm:pt modelId="{4344ACFB-6B44-4AAF-B1DB-49AB3ED02AF7}" type="pres">
      <dgm:prSet presAssocID="{6A15E0A4-5C3C-46EC-813C-B512B6A8F114}" presName="Name9" presStyleLbl="parChTrans1D2" presStyleIdx="0" presStyleCnt="4"/>
      <dgm:spPr/>
      <dgm:t>
        <a:bodyPr/>
        <a:lstStyle/>
        <a:p>
          <a:endParaRPr lang="en-US"/>
        </a:p>
      </dgm:t>
    </dgm:pt>
    <dgm:pt modelId="{2E49232F-4FB2-4DC8-A6DD-3902EF154437}" type="pres">
      <dgm:prSet presAssocID="{6A15E0A4-5C3C-46EC-813C-B512B6A8F114}" presName="connTx" presStyleLbl="parChTrans1D2" presStyleIdx="0" presStyleCnt="4"/>
      <dgm:spPr/>
      <dgm:t>
        <a:bodyPr/>
        <a:lstStyle/>
        <a:p>
          <a:endParaRPr lang="en-US"/>
        </a:p>
      </dgm:t>
    </dgm:pt>
    <dgm:pt modelId="{19ACA16F-4F02-4741-A973-0858AA9E727D}" type="pres">
      <dgm:prSet presAssocID="{E8B72980-4234-42F0-8A76-7022BE1A23D4}" presName="node" presStyleLbl="node1" presStyleIdx="0" presStyleCnt="4" custScaleX="370883" custScaleY="98833" custRadScaleRad="117574" custRadScaleInc="11963">
        <dgm:presLayoutVars>
          <dgm:bulletEnabled val="1"/>
        </dgm:presLayoutVars>
      </dgm:prSet>
      <dgm:spPr/>
      <dgm:t>
        <a:bodyPr/>
        <a:lstStyle/>
        <a:p>
          <a:endParaRPr lang="en-US"/>
        </a:p>
      </dgm:t>
    </dgm:pt>
    <dgm:pt modelId="{5337AE63-3722-42CC-AF72-36670EB7C5E1}" type="pres">
      <dgm:prSet presAssocID="{7AF774ED-547E-4C04-8670-B0C1D08C5EE9}" presName="Name9" presStyleLbl="parChTrans1D2" presStyleIdx="1" presStyleCnt="4"/>
      <dgm:spPr/>
      <dgm:t>
        <a:bodyPr/>
        <a:lstStyle/>
        <a:p>
          <a:endParaRPr lang="en-US"/>
        </a:p>
      </dgm:t>
    </dgm:pt>
    <dgm:pt modelId="{326412CE-9911-4799-A459-B56F02EB4473}" type="pres">
      <dgm:prSet presAssocID="{7AF774ED-547E-4C04-8670-B0C1D08C5EE9}" presName="connTx" presStyleLbl="parChTrans1D2" presStyleIdx="1" presStyleCnt="4"/>
      <dgm:spPr/>
      <dgm:t>
        <a:bodyPr/>
        <a:lstStyle/>
        <a:p>
          <a:endParaRPr lang="en-US"/>
        </a:p>
      </dgm:t>
    </dgm:pt>
    <dgm:pt modelId="{CED9197C-8322-406B-917C-172FA36E7B76}" type="pres">
      <dgm:prSet presAssocID="{960C5593-E0FF-4AA5-AA0B-E8BDFFBC5E53}" presName="node" presStyleLbl="node1" presStyleIdx="1" presStyleCnt="4" custScaleX="304866" custScaleY="126948" custRadScaleRad="416031" custRadScaleInc="-394">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2" presStyleCnt="4"/>
      <dgm:spPr/>
      <dgm:t>
        <a:bodyPr/>
        <a:lstStyle/>
        <a:p>
          <a:endParaRPr lang="en-US"/>
        </a:p>
      </dgm:t>
    </dgm:pt>
    <dgm:pt modelId="{62A1F741-432F-46BE-AE07-15F0B6D5EA89}" type="pres">
      <dgm:prSet presAssocID="{4693CA52-075F-4BD8-ABEA-5368BE377DDA}" presName="connTx" presStyleLbl="parChTrans1D2" presStyleIdx="2" presStyleCnt="4"/>
      <dgm:spPr/>
      <dgm:t>
        <a:bodyPr/>
        <a:lstStyle/>
        <a:p>
          <a:endParaRPr lang="en-US"/>
        </a:p>
      </dgm:t>
    </dgm:pt>
    <dgm:pt modelId="{035B4C9A-0916-4FCC-A1CF-85DB358A289A}" type="pres">
      <dgm:prSet presAssocID="{4631C2C5-1554-4289-90B0-F2D55D1595B6}" presName="node" presStyleLbl="node1" presStyleIdx="2" presStyleCnt="4" custScaleX="293613" custScaleY="72606" custRadScaleRad="96261" custRadScaleInc="-11754">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3" presStyleCnt="4"/>
      <dgm:spPr/>
      <dgm:t>
        <a:bodyPr/>
        <a:lstStyle/>
        <a:p>
          <a:endParaRPr lang="en-US"/>
        </a:p>
      </dgm:t>
    </dgm:pt>
    <dgm:pt modelId="{EA4144E0-C5B2-4FC0-BDB2-550B61DB7DFD}" type="pres">
      <dgm:prSet presAssocID="{0FABC453-0A5C-4CAE-813B-F0494A34E025}" presName="connTx" presStyleLbl="parChTrans1D2" presStyleIdx="3" presStyleCnt="4"/>
      <dgm:spPr/>
      <dgm:t>
        <a:bodyPr/>
        <a:lstStyle/>
        <a:p>
          <a:endParaRPr lang="en-US"/>
        </a:p>
      </dgm:t>
    </dgm:pt>
    <dgm:pt modelId="{0FAF3FA1-8E6C-455E-B189-A468B3F4D8BC}" type="pres">
      <dgm:prSet presAssocID="{C06C39C9-71B8-489C-9C45-3DD37A424E39}" presName="node" presStyleLbl="node1" presStyleIdx="3" presStyleCnt="4" custScaleX="309336" custScaleY="118218" custRadScaleRad="416028" custRadScaleInc="35">
        <dgm:presLayoutVars>
          <dgm:bulletEnabled val="1"/>
        </dgm:presLayoutVars>
      </dgm:prSet>
      <dgm:spPr>
        <a:prstGeom prst="ellipse">
          <a:avLst/>
        </a:prstGeom>
      </dgm:spPr>
      <dgm:t>
        <a:bodyPr/>
        <a:lstStyle/>
        <a:p>
          <a:endParaRPr lang="en-US"/>
        </a:p>
      </dgm:t>
    </dgm:pt>
  </dgm:ptLst>
  <dgm:cxnLst>
    <dgm:cxn modelId="{5CA469C4-F114-4740-9DA5-06DF69148D41}" type="presOf" srcId="{7AF774ED-547E-4C04-8670-B0C1D08C5EE9}" destId="{326412CE-9911-4799-A459-B56F02EB4473}" srcOrd="1"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9A2ACD6B-CEDA-476D-B833-3008D122E538}" type="presOf" srcId="{6A15E0A4-5C3C-46EC-813C-B512B6A8F114}" destId="{4344ACFB-6B44-4AAF-B1DB-49AB3ED02AF7}" srcOrd="0" destOrd="0" presId="urn:microsoft.com/office/officeart/2005/8/layout/radial1"/>
    <dgm:cxn modelId="{9D19389F-EBA1-452F-BA07-FFEB21DF3493}" type="presOf" srcId="{4693CA52-075F-4BD8-ABEA-5368BE377DDA}" destId="{4AC11394-3179-4EC5-A97F-D1A1B521CE2F}" srcOrd="0" destOrd="0" presId="urn:microsoft.com/office/officeart/2005/8/layout/radial1"/>
    <dgm:cxn modelId="{740A1EC0-CD4F-4F60-B68E-1E7A24AC1142}" type="presOf" srcId="{960C5593-E0FF-4AA5-AA0B-E8BDFFBC5E53}" destId="{CED9197C-8322-406B-917C-172FA36E7B76}" srcOrd="0" destOrd="0" presId="urn:microsoft.com/office/officeart/2005/8/layout/radial1"/>
    <dgm:cxn modelId="{CC4DFFA8-17F9-4FC8-B855-1956E0D392A7}" type="presOf" srcId="{C06C39C9-71B8-489C-9C45-3DD37A424E39}" destId="{0FAF3FA1-8E6C-455E-B189-A468B3F4D8BC}" srcOrd="0" destOrd="0" presId="urn:microsoft.com/office/officeart/2005/8/layout/radial1"/>
    <dgm:cxn modelId="{7852FB84-C1B6-4AF4-97F9-80962DE4F137}" type="presOf" srcId="{4693CA52-075F-4BD8-ABEA-5368BE377DDA}" destId="{62A1F741-432F-46BE-AE07-15F0B6D5EA89}" srcOrd="1"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529D05ED-97D5-4116-BE13-DE3D93351F7F}" srcId="{DE541715-C648-404D-8124-F14F463E9202}" destId="{960C5593-E0FF-4AA5-AA0B-E8BDFFBC5E53}" srcOrd="1" destOrd="0" parTransId="{7AF774ED-547E-4C04-8670-B0C1D08C5EE9}" sibTransId="{88F12DF7-015F-4F26-950A-DAE493699644}"/>
    <dgm:cxn modelId="{58CAB7EC-0389-475F-AD23-3EBAD2B8E52A}" type="presOf" srcId="{34E6C8D5-8D4F-4714-8A12-8F4599A8E760}" destId="{08F189A1-AB47-41D1-8058-7A6DA66B3F52}" srcOrd="0" destOrd="0" presId="urn:microsoft.com/office/officeart/2005/8/layout/radial1"/>
    <dgm:cxn modelId="{2D0162FD-7690-42FF-BBB8-1147EFF1D173}" srcId="{DE541715-C648-404D-8124-F14F463E9202}" destId="{E8B72980-4234-42F0-8A76-7022BE1A23D4}" srcOrd="0" destOrd="0" parTransId="{6A15E0A4-5C3C-46EC-813C-B512B6A8F114}" sibTransId="{67FC8A0D-2667-483F-B383-42D270B4AFFA}"/>
    <dgm:cxn modelId="{114455A3-1888-408A-B406-233D5C9F59A4}" type="presOf" srcId="{4631C2C5-1554-4289-90B0-F2D55D1595B6}" destId="{035B4C9A-0916-4FCC-A1CF-85DB358A289A}" srcOrd="0" destOrd="0" presId="urn:microsoft.com/office/officeart/2005/8/layout/radial1"/>
    <dgm:cxn modelId="{36D50EE7-120D-44AC-941A-7E36F06171A6}" type="presOf" srcId="{DE541715-C648-404D-8124-F14F463E9202}" destId="{062AF917-2F47-4639-8A23-58AD52EC0F32}" srcOrd="0" destOrd="0" presId="urn:microsoft.com/office/officeart/2005/8/layout/radial1"/>
    <dgm:cxn modelId="{BF65F824-D4F4-4A84-83B4-6B1944B62AAD}" srcId="{DE541715-C648-404D-8124-F14F463E9202}" destId="{4631C2C5-1554-4289-90B0-F2D55D1595B6}" srcOrd="2" destOrd="0" parTransId="{4693CA52-075F-4BD8-ABEA-5368BE377DDA}" sibTransId="{9B3CB24D-A47A-4081-B256-B868D89D5387}"/>
    <dgm:cxn modelId="{82A768E5-13A7-4337-B5CE-5C9A3BDC4D6D}" type="presOf" srcId="{0FABC453-0A5C-4CAE-813B-F0494A34E025}" destId="{ADF94B70-0D7F-4A27-8DF9-17BCD27F4A7A}" srcOrd="0" destOrd="0" presId="urn:microsoft.com/office/officeart/2005/8/layout/radial1"/>
    <dgm:cxn modelId="{29CCA3F7-0F99-4DC7-9407-5B5394C04F0B}" type="presOf" srcId="{0FABC453-0A5C-4CAE-813B-F0494A34E025}" destId="{EA4144E0-C5B2-4FC0-BDB2-550B61DB7DFD}" srcOrd="1" destOrd="0" presId="urn:microsoft.com/office/officeart/2005/8/layout/radial1"/>
    <dgm:cxn modelId="{1441DB61-124E-47B8-B547-DA4A6D79F1EB}" type="presOf" srcId="{E8B72980-4234-42F0-8A76-7022BE1A23D4}" destId="{19ACA16F-4F02-4741-A973-0858AA9E727D}" srcOrd="0" destOrd="0" presId="urn:microsoft.com/office/officeart/2005/8/layout/radial1"/>
    <dgm:cxn modelId="{336F76FE-BC62-485B-A923-26A3759240AF}" type="presOf" srcId="{6A15E0A4-5C3C-46EC-813C-B512B6A8F114}" destId="{2E49232F-4FB2-4DC8-A6DD-3902EF154437}" srcOrd="1" destOrd="0" presId="urn:microsoft.com/office/officeart/2005/8/layout/radial1"/>
    <dgm:cxn modelId="{248698A6-055B-40E3-B808-D624056EF2B0}" srcId="{DE541715-C648-404D-8124-F14F463E9202}" destId="{C06C39C9-71B8-489C-9C45-3DD37A424E39}" srcOrd="3" destOrd="0" parTransId="{0FABC453-0A5C-4CAE-813B-F0494A34E025}" sibTransId="{DCD34884-F96E-475A-9010-14DE66A403A6}"/>
    <dgm:cxn modelId="{47CBCA56-5109-4CE6-BC86-14A5972DC02E}" type="presOf" srcId="{7AF774ED-547E-4C04-8670-B0C1D08C5EE9}" destId="{5337AE63-3722-42CC-AF72-36670EB7C5E1}" srcOrd="0" destOrd="0" presId="urn:microsoft.com/office/officeart/2005/8/layout/radial1"/>
    <dgm:cxn modelId="{17121152-E930-4B05-ACBC-DD5F731380FD}" type="presParOf" srcId="{08F189A1-AB47-41D1-8058-7A6DA66B3F52}" destId="{062AF917-2F47-4639-8A23-58AD52EC0F32}" srcOrd="0" destOrd="0" presId="urn:microsoft.com/office/officeart/2005/8/layout/radial1"/>
    <dgm:cxn modelId="{61F9F9D6-BADC-4B33-96E6-49C4B7769A88}" type="presParOf" srcId="{08F189A1-AB47-41D1-8058-7A6DA66B3F52}" destId="{4344ACFB-6B44-4AAF-B1DB-49AB3ED02AF7}" srcOrd="1" destOrd="0" presId="urn:microsoft.com/office/officeart/2005/8/layout/radial1"/>
    <dgm:cxn modelId="{604B86A5-0162-4F03-ACC8-44C3651EE730}" type="presParOf" srcId="{4344ACFB-6B44-4AAF-B1DB-49AB3ED02AF7}" destId="{2E49232F-4FB2-4DC8-A6DD-3902EF154437}" srcOrd="0" destOrd="0" presId="urn:microsoft.com/office/officeart/2005/8/layout/radial1"/>
    <dgm:cxn modelId="{236434E2-1EAD-4DE4-8C34-B967155F9AE1}" type="presParOf" srcId="{08F189A1-AB47-41D1-8058-7A6DA66B3F52}" destId="{19ACA16F-4F02-4741-A973-0858AA9E727D}" srcOrd="2" destOrd="0" presId="urn:microsoft.com/office/officeart/2005/8/layout/radial1"/>
    <dgm:cxn modelId="{CDEB4CD6-556E-44CA-986E-3C47247BD8A5}" type="presParOf" srcId="{08F189A1-AB47-41D1-8058-7A6DA66B3F52}" destId="{5337AE63-3722-42CC-AF72-36670EB7C5E1}" srcOrd="3" destOrd="0" presId="urn:microsoft.com/office/officeart/2005/8/layout/radial1"/>
    <dgm:cxn modelId="{D0D802CB-4600-44B0-AA5F-D69FD2513801}" type="presParOf" srcId="{5337AE63-3722-42CC-AF72-36670EB7C5E1}" destId="{326412CE-9911-4799-A459-B56F02EB4473}" srcOrd="0" destOrd="0" presId="urn:microsoft.com/office/officeart/2005/8/layout/radial1"/>
    <dgm:cxn modelId="{B8523F82-962E-45A4-AA10-0088A27328D8}" type="presParOf" srcId="{08F189A1-AB47-41D1-8058-7A6DA66B3F52}" destId="{CED9197C-8322-406B-917C-172FA36E7B76}" srcOrd="4" destOrd="0" presId="urn:microsoft.com/office/officeart/2005/8/layout/radial1"/>
    <dgm:cxn modelId="{369258E0-0EE9-4C97-A6FB-D9E94CD0DF7C}" type="presParOf" srcId="{08F189A1-AB47-41D1-8058-7A6DA66B3F52}" destId="{4AC11394-3179-4EC5-A97F-D1A1B521CE2F}" srcOrd="5" destOrd="0" presId="urn:microsoft.com/office/officeart/2005/8/layout/radial1"/>
    <dgm:cxn modelId="{BE012288-615F-49AA-9117-35263F96D372}" type="presParOf" srcId="{4AC11394-3179-4EC5-A97F-D1A1B521CE2F}" destId="{62A1F741-432F-46BE-AE07-15F0B6D5EA89}" srcOrd="0" destOrd="0" presId="urn:microsoft.com/office/officeart/2005/8/layout/radial1"/>
    <dgm:cxn modelId="{83AAB9CC-B770-440C-9DC1-274134353FC8}" type="presParOf" srcId="{08F189A1-AB47-41D1-8058-7A6DA66B3F52}" destId="{035B4C9A-0916-4FCC-A1CF-85DB358A289A}" srcOrd="6" destOrd="0" presId="urn:microsoft.com/office/officeart/2005/8/layout/radial1"/>
    <dgm:cxn modelId="{169D67ED-B0C4-4366-B262-2DD60AAB17A3}" type="presParOf" srcId="{08F189A1-AB47-41D1-8058-7A6DA66B3F52}" destId="{ADF94B70-0D7F-4A27-8DF9-17BCD27F4A7A}" srcOrd="7" destOrd="0" presId="urn:microsoft.com/office/officeart/2005/8/layout/radial1"/>
    <dgm:cxn modelId="{7F2DB209-A547-4087-BCED-074419517252}" type="presParOf" srcId="{ADF94B70-0D7F-4A27-8DF9-17BCD27F4A7A}" destId="{EA4144E0-C5B2-4FC0-BDB2-550B61DB7DFD}" srcOrd="0" destOrd="0" presId="urn:microsoft.com/office/officeart/2005/8/layout/radial1"/>
    <dgm:cxn modelId="{F7038FB2-C60F-4DDD-B4F2-A6BEAEDF3A93}" type="presParOf" srcId="{08F189A1-AB47-41D1-8058-7A6DA66B3F52}" destId="{0FAF3FA1-8E6C-455E-B189-A468B3F4D8BC}" srcOrd="8" destOrd="0" presId="urn:microsoft.com/office/officeart/2005/8/layout/radial1"/>
  </dgm:cxnLst>
  <dgm:bg/>
  <dgm:whole/>
  <dgm:extLst>
    <a:ext uri="http://schemas.microsoft.com/office/drawing/2008/diagram">
      <dsp:dataModelExt xmlns:dsp="http://schemas.microsoft.com/office/drawing/2008/diagram" relId="rId116" minVer="http://schemas.openxmlformats.org/drawingml/2006/diagram"/>
    </a:ext>
    <a:ext uri="{C62137D5-CB1D-491B-B009-E17868A290BF}">
      <dgm14:recolorImg xmlns:dgm14="http://schemas.microsoft.com/office/drawing/2010/diagram" val="1"/>
    </a:ext>
  </dgm:extLst>
</dgm:dataModel>
</file>

<file path=word/diagrams/data13.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452588" y="668343"/>
          <a:ext cx="1260722" cy="51765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30</a:t>
          </a:r>
        </a:p>
      </dgm:t>
    </dgm:pt>
    <dgm:pt modelId="{7CA7849B-681D-4C0D-A708-F47E97871BB2}" type="sibTrans" cxnId="{22CFBE58-87EC-4B70-B1CC-D1D1DB4968C7}">
      <dgm:prSet/>
      <dgm:spPr/>
      <dgm:t>
        <a:bodyPr/>
        <a:lstStyle/>
        <a:p>
          <a:pPr algn="ctr"/>
          <a:endParaRPr lang="en-US"/>
        </a:p>
      </dgm:t>
    </dgm:pt>
    <dgm:pt modelId="{D7DB3476-9C56-4274-B046-F742EA8694F1}" type="parTrans" cxnId="{22CFBE58-87EC-4B70-B1CC-D1D1DB4968C7}">
      <dgm:prSet/>
      <dgm:spPr/>
      <dgm:t>
        <a:bodyPr/>
        <a:lstStyle/>
        <a:p>
          <a:pPr algn="ctr"/>
          <a:endParaRPr lang="en-US"/>
        </a:p>
      </dgm:t>
    </dgm:pt>
    <dgm:pt modelId="{4F895710-9C0A-4357-A62A-B00C2B1BB2A2}">
      <dgm:prSet phldrT="[Text]"/>
      <dgm:spPr/>
      <dgm:t>
        <a:bodyPr/>
        <a:lstStyle/>
        <a:p>
          <a:pPr algn="ctr"/>
          <a:endParaRPr lang="en-US"/>
        </a:p>
      </dgm:t>
    </dgm:pt>
    <dgm:pt modelId="{A0A859C5-79E5-4C97-AF72-54A6D166EEA1}" type="sibTrans" cxnId="{DA740704-6E02-4402-8325-D0302449434E}">
      <dgm:prSet/>
      <dgm:spPr/>
      <dgm:t>
        <a:bodyPr/>
        <a:lstStyle/>
        <a:p>
          <a:pPr algn="ctr"/>
          <a:endParaRPr lang="en-US"/>
        </a:p>
      </dgm:t>
    </dgm:pt>
    <dgm:pt modelId="{4492527F-B2BC-4423-9ACC-2816666249A0}" type="parTrans" cxnId="{DA740704-6E02-4402-8325-D0302449434E}">
      <dgm:prSet/>
      <dgm:spPr/>
      <dgm:t>
        <a:bodyPr/>
        <a:lstStyle/>
        <a:p>
          <a:pPr algn="ctr"/>
          <a:endParaRPr lang="en-US"/>
        </a:p>
      </dgm:t>
    </dgm:pt>
    <dgm:pt modelId="{C06C39C9-71B8-489C-9C45-3DD37A424E39}">
      <dgm:prSet phldrT="[Text]" custT="1"/>
      <dgm:spPr>
        <a:xfrm>
          <a:off x="524557" y="663886"/>
          <a:ext cx="1254593" cy="529529"/>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a:t>
          </a:r>
        </a:p>
        <a:p>
          <a:pPr algn="ct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pPr algn="ctr"/>
          <a:endParaRPr lang="en-US"/>
        </a:p>
      </dgm:t>
    </dgm:pt>
    <dgm:pt modelId="{0FABC453-0A5C-4CAE-813B-F0494A34E025}" type="parTrans" cxnId="{248698A6-055B-40E3-B808-D624056EF2B0}">
      <dgm:prSet/>
      <dgm:spPr>
        <a:xfrm rot="10797369">
          <a:off x="1779149" y="920376"/>
          <a:ext cx="673440" cy="15073"/>
        </a:xfrm>
      </dgm:spPr>
      <dgm:t>
        <a:bodyPr/>
        <a:lstStyle/>
        <a:p>
          <a:pPr algn="ctr"/>
          <a:endParaRPr lang="en-US"/>
        </a:p>
      </dgm:t>
    </dgm:pt>
    <dgm:pt modelId="{4631C2C5-1554-4289-90B0-F2D55D1595B6}">
      <dgm:prSet phldrT="[Text]" custT="1"/>
      <dgm:spPr>
        <a:xfrm>
          <a:off x="4299215" y="666184"/>
          <a:ext cx="1286243" cy="509599"/>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gm:t>
    </dgm:pt>
    <dgm:pt modelId="{9B3CB24D-A47A-4081-B256-B868D89D5387}" type="sibTrans" cxnId="{BF65F824-D4F4-4A84-83B4-6B1944B62AAD}">
      <dgm:prSet/>
      <dgm:spPr/>
      <dgm:t>
        <a:bodyPr/>
        <a:lstStyle/>
        <a:p>
          <a:pPr algn="ctr"/>
          <a:endParaRPr lang="en-US"/>
        </a:p>
      </dgm:t>
    </dgm:pt>
    <dgm:pt modelId="{4693CA52-075F-4BD8-ABEA-5368BE377DDA}" type="parTrans" cxnId="{BF65F824-D4F4-4A84-83B4-6B1944B62AAD}">
      <dgm:prSet/>
      <dgm:spPr>
        <a:xfrm rot="21588558">
          <a:off x="3713289" y="916563"/>
          <a:ext cx="585950" cy="15073"/>
        </a:xfrm>
      </dgm:spPr>
      <dgm:t>
        <a:bodyPr/>
        <a:lstStyle/>
        <a:p>
          <a:pPr algn="ctr"/>
          <a:endParaRPr lang="en-US"/>
        </a:p>
      </dgm:t>
    </dgm:pt>
    <dgm:pt modelId="{5C260341-F1C3-4458-A657-957289015FC3}">
      <dgm:prSet phldrT="[Text]" custT="1"/>
      <dgm:spPr>
        <a:xfrm>
          <a:off x="2412268" y="1327152"/>
          <a:ext cx="1341363" cy="539747"/>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pPr algn="ctr"/>
          <a:r>
            <a:rPr lang="es-ES_tradnl" sz="900">
              <a:latin typeface="Arial" panose="020B0604020202020204" pitchFamily="34" charset="0"/>
              <a:cs typeface="Arial" panose="020B0604020202020204" pitchFamily="34" charset="0"/>
            </a:rPr>
            <a:t>Países T/D</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5A6C23B-D452-4078-BA3A-466D0894B9EB}" type="parTrans" cxnId="{0266A1D0-CEC9-45F3-8B31-A21772E8AA19}">
      <dgm:prSet/>
      <dgm:spPr>
        <a:xfrm rot="5400000">
          <a:off x="3012375" y="1249040"/>
          <a:ext cx="141149" cy="15073"/>
        </a:xfrm>
      </dgm:spPr>
      <dgm:t>
        <a:bodyPr/>
        <a:lstStyle/>
        <a:p>
          <a:pPr algn="ctr"/>
          <a:endParaRPr lang="en-US"/>
        </a:p>
      </dgm:t>
    </dgm:pt>
    <dgm:pt modelId="{89B7C331-6FB9-4771-84B2-9F75AB1415C9}" type="sibTrans" cxnId="{0266A1D0-CEC9-45F3-8B31-A21772E8AA19}">
      <dgm:prSet/>
      <dgm:spPr/>
      <dgm:t>
        <a:bodyPr/>
        <a:lstStyle/>
        <a:p>
          <a:pPr algn="ctr"/>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43543" custLinFactNeighborX="0" custLinFactNeighborY="386"/>
      <dgm:spPr>
        <a:prstGeom prst="ellipse">
          <a:avLst/>
        </a:prstGeom>
      </dgm:spPr>
      <dgm:t>
        <a:bodyPr/>
        <a:lstStyle/>
        <a:p>
          <a:endParaRPr lang="en-US"/>
        </a:p>
      </dgm:t>
    </dgm:pt>
    <dgm:pt modelId="{4AC11394-3179-4EC5-A97F-D1A1B521CE2F}" type="pres">
      <dgm:prSet presAssocID="{4693CA52-075F-4BD8-ABEA-5368BE377DDA}" presName="Name9" presStyleLbl="parChTrans1D2" presStyleIdx="0" presStyleCnt="3"/>
      <dgm:spPr/>
      <dgm:t>
        <a:bodyPr/>
        <a:lstStyle/>
        <a:p>
          <a:endParaRPr lang="en-US"/>
        </a:p>
      </dgm:t>
    </dgm:pt>
    <dgm:pt modelId="{62A1F741-432F-46BE-AE07-15F0B6D5EA89}" type="pres">
      <dgm:prSet presAssocID="{4693CA52-075F-4BD8-ABEA-5368BE377DDA}" presName="connTx" presStyleLbl="parChTrans1D2" presStyleIdx="0" presStyleCnt="3"/>
      <dgm:spPr/>
      <dgm:t>
        <a:bodyPr/>
        <a:lstStyle/>
        <a:p>
          <a:endParaRPr lang="en-US"/>
        </a:p>
      </dgm:t>
    </dgm:pt>
    <dgm:pt modelId="{035B4C9A-0916-4FCC-A1CF-85DB358A289A}" type="pres">
      <dgm:prSet presAssocID="{4631C2C5-1554-4289-90B0-F2D55D1595B6}" presName="node" presStyleLbl="node1" presStyleIdx="0" presStyleCnt="3" custScaleX="271646" custScaleY="103589" custRadScaleRad="276287" custRadScaleInc="-68">
        <dgm:presLayoutVars>
          <dgm:bulletEnabled val="1"/>
        </dgm:presLayoutVars>
      </dgm:prSet>
      <dgm:spPr>
        <a:prstGeom prst="ellipse">
          <a:avLst/>
        </a:prstGeom>
      </dgm:spPr>
      <dgm:t>
        <a:bodyPr/>
        <a:lstStyle/>
        <a:p>
          <a:endParaRPr lang="en-US"/>
        </a:p>
      </dgm:t>
    </dgm:pt>
    <dgm:pt modelId="{64248C57-3CE0-4657-BC67-6279BA0257B1}" type="pres">
      <dgm:prSet presAssocID="{45A6C23B-D452-4078-BA3A-466D0894B9EB}" presName="Name9" presStyleLbl="parChTrans1D2" presStyleIdx="1" presStyleCnt="3"/>
      <dgm:spPr/>
      <dgm:t>
        <a:bodyPr/>
        <a:lstStyle/>
        <a:p>
          <a:endParaRPr lang="en-US"/>
        </a:p>
      </dgm:t>
    </dgm:pt>
    <dgm:pt modelId="{C7C9B7EB-2DEF-4B99-8D38-AC2E9641BEB5}" type="pres">
      <dgm:prSet presAssocID="{45A6C23B-D452-4078-BA3A-466D0894B9EB}" presName="connTx" presStyleLbl="parChTrans1D2" presStyleIdx="1" presStyleCnt="3"/>
      <dgm:spPr/>
      <dgm:t>
        <a:bodyPr/>
        <a:lstStyle/>
        <a:p>
          <a:endParaRPr lang="en-US"/>
        </a:p>
      </dgm:t>
    </dgm:pt>
    <dgm:pt modelId="{976BA53C-17D4-4F7C-9078-1272C469C9E5}" type="pres">
      <dgm:prSet presAssocID="{5C260341-F1C3-4458-A657-957289015FC3}" presName="node" presStyleLbl="node1" presStyleIdx="1" presStyleCnt="3" custScaleX="255606" custScaleY="104267" custRadScaleRad="255715" custRadScaleInc="-49632">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3"/>
      <dgm:spPr/>
      <dgm:t>
        <a:bodyPr/>
        <a:lstStyle/>
        <a:p>
          <a:endParaRPr lang="en-US"/>
        </a:p>
      </dgm:t>
    </dgm:pt>
    <dgm:pt modelId="{EA4144E0-C5B2-4FC0-BDB2-550B61DB7DFD}" type="pres">
      <dgm:prSet presAssocID="{0FABC453-0A5C-4CAE-813B-F0494A34E025}" presName="connTx" presStyleLbl="parChTrans1D2" presStyleIdx="2" presStyleCnt="3"/>
      <dgm:spPr/>
      <dgm:t>
        <a:bodyPr/>
        <a:lstStyle/>
        <a:p>
          <a:endParaRPr lang="en-US"/>
        </a:p>
      </dgm:t>
    </dgm:pt>
    <dgm:pt modelId="{0FAF3FA1-8E6C-455E-B189-A468B3F4D8BC}" type="pres">
      <dgm:prSet presAssocID="{C06C39C9-71B8-489C-9C45-3DD37A424E39}" presName="node" presStyleLbl="node1" presStyleIdx="2" presStyleCnt="3" custScaleX="257679" custScaleY="106613" custRadScaleRad="255723" custRadScaleInc="49480">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F6F31F9D-E276-4E7D-8F3B-57522892EDA4}" type="presOf" srcId="{45A6C23B-D452-4078-BA3A-466D0894B9EB}" destId="{C7C9B7EB-2DEF-4B99-8D38-AC2E9641BEB5}" srcOrd="1"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0" destOrd="0" parTransId="{4693CA52-075F-4BD8-ABEA-5368BE377DDA}" sibTransId="{9B3CB24D-A47A-4081-B256-B868D89D5387}"/>
    <dgm:cxn modelId="{7373D750-EE97-473A-B57E-3B85590B5678}" type="presOf" srcId="{0FABC453-0A5C-4CAE-813B-F0494A34E025}" destId="{EA4144E0-C5B2-4FC0-BDB2-550B61DB7DFD}" srcOrd="1" destOrd="0" presId="urn:microsoft.com/office/officeart/2005/8/layout/radial1"/>
    <dgm:cxn modelId="{92E24ACF-AADA-407B-8B2D-B0BA6E50AEF2}" type="presOf" srcId="{C06C39C9-71B8-489C-9C45-3DD37A424E39}" destId="{0FAF3FA1-8E6C-455E-B189-A468B3F4D8BC}" srcOrd="0" destOrd="0" presId="urn:microsoft.com/office/officeart/2005/8/layout/radial1"/>
    <dgm:cxn modelId="{F69279DA-49A8-4DF0-AE02-CA606637295C}" type="presOf" srcId="{34E6C8D5-8D4F-4714-8A12-8F4599A8E760}" destId="{08F189A1-AB47-41D1-8058-7A6DA66B3F52}" srcOrd="0" destOrd="0" presId="urn:microsoft.com/office/officeart/2005/8/layout/radial1"/>
    <dgm:cxn modelId="{3FD4C08C-E7B9-4569-91D9-FAD9F46FE055}" type="presOf" srcId="{4631C2C5-1554-4289-90B0-F2D55D1595B6}" destId="{035B4C9A-0916-4FCC-A1CF-85DB358A289A}" srcOrd="0" destOrd="0" presId="urn:microsoft.com/office/officeart/2005/8/layout/radial1"/>
    <dgm:cxn modelId="{0266A1D0-CEC9-45F3-8B31-A21772E8AA19}" srcId="{DE541715-C648-404D-8124-F14F463E9202}" destId="{5C260341-F1C3-4458-A657-957289015FC3}" srcOrd="1" destOrd="0" parTransId="{45A6C23B-D452-4078-BA3A-466D0894B9EB}" sibTransId="{89B7C331-6FB9-4771-84B2-9F75AB1415C9}"/>
    <dgm:cxn modelId="{EC7DDBAD-FAF4-4D3C-904D-EC55F11CD432}" type="presOf" srcId="{4693CA52-075F-4BD8-ABEA-5368BE377DDA}" destId="{62A1F741-432F-46BE-AE07-15F0B6D5EA89}" srcOrd="1" destOrd="0" presId="urn:microsoft.com/office/officeart/2005/8/layout/radial1"/>
    <dgm:cxn modelId="{248698A6-055B-40E3-B808-D624056EF2B0}" srcId="{DE541715-C648-404D-8124-F14F463E9202}" destId="{C06C39C9-71B8-489C-9C45-3DD37A424E39}" srcOrd="2" destOrd="0" parTransId="{0FABC453-0A5C-4CAE-813B-F0494A34E025}" sibTransId="{DCD34884-F96E-475A-9010-14DE66A403A6}"/>
    <dgm:cxn modelId="{F66F83B0-24FF-4B41-B65B-39A2277145FD}" type="presOf" srcId="{DE541715-C648-404D-8124-F14F463E9202}" destId="{062AF917-2F47-4639-8A23-58AD52EC0F32}" srcOrd="0" destOrd="0" presId="urn:microsoft.com/office/officeart/2005/8/layout/radial1"/>
    <dgm:cxn modelId="{48A07319-8D94-47BE-A147-5E8625174E00}" type="presOf" srcId="{5C260341-F1C3-4458-A657-957289015FC3}" destId="{976BA53C-17D4-4F7C-9078-1272C469C9E5}" srcOrd="0" destOrd="0" presId="urn:microsoft.com/office/officeart/2005/8/layout/radial1"/>
    <dgm:cxn modelId="{C64369B7-F98E-4DC5-B50A-B2ED7A63B935}" type="presOf" srcId="{45A6C23B-D452-4078-BA3A-466D0894B9EB}" destId="{64248C57-3CE0-4657-BC67-6279BA0257B1}" srcOrd="0" destOrd="0" presId="urn:microsoft.com/office/officeart/2005/8/layout/radial1"/>
    <dgm:cxn modelId="{D34E3769-4BD5-491F-A977-062D982EDCEB}" type="presOf" srcId="{4693CA52-075F-4BD8-ABEA-5368BE377DDA}" destId="{4AC11394-3179-4EC5-A97F-D1A1B521CE2F}" srcOrd="0" destOrd="0" presId="urn:microsoft.com/office/officeart/2005/8/layout/radial1"/>
    <dgm:cxn modelId="{7EF2C65A-BE0A-44E4-AF01-F577F17DE72F}" type="presOf" srcId="{0FABC453-0A5C-4CAE-813B-F0494A34E025}" destId="{ADF94B70-0D7F-4A27-8DF9-17BCD27F4A7A}" srcOrd="0" destOrd="0" presId="urn:microsoft.com/office/officeart/2005/8/layout/radial1"/>
    <dgm:cxn modelId="{8315C3DD-9794-466E-A37D-D5AB93DA26F7}" type="presParOf" srcId="{08F189A1-AB47-41D1-8058-7A6DA66B3F52}" destId="{062AF917-2F47-4639-8A23-58AD52EC0F32}" srcOrd="0" destOrd="0" presId="urn:microsoft.com/office/officeart/2005/8/layout/radial1"/>
    <dgm:cxn modelId="{0A2842A6-FEA2-4EF1-8B9D-588B89BC7B6A}" type="presParOf" srcId="{08F189A1-AB47-41D1-8058-7A6DA66B3F52}" destId="{4AC11394-3179-4EC5-A97F-D1A1B521CE2F}" srcOrd="1" destOrd="0" presId="urn:microsoft.com/office/officeart/2005/8/layout/radial1"/>
    <dgm:cxn modelId="{A7142DC2-E5D4-43B9-81DA-41AB9C587AD7}" type="presParOf" srcId="{4AC11394-3179-4EC5-A97F-D1A1B521CE2F}" destId="{62A1F741-432F-46BE-AE07-15F0B6D5EA89}" srcOrd="0" destOrd="0" presId="urn:microsoft.com/office/officeart/2005/8/layout/radial1"/>
    <dgm:cxn modelId="{78A9B9CA-1C08-42DD-94A3-1A578E174E0C}" type="presParOf" srcId="{08F189A1-AB47-41D1-8058-7A6DA66B3F52}" destId="{035B4C9A-0916-4FCC-A1CF-85DB358A289A}" srcOrd="2" destOrd="0" presId="urn:microsoft.com/office/officeart/2005/8/layout/radial1"/>
    <dgm:cxn modelId="{51DF7494-B95C-47E9-A3FA-7BAA0B78A77F}" type="presParOf" srcId="{08F189A1-AB47-41D1-8058-7A6DA66B3F52}" destId="{64248C57-3CE0-4657-BC67-6279BA0257B1}" srcOrd="3" destOrd="0" presId="urn:microsoft.com/office/officeart/2005/8/layout/radial1"/>
    <dgm:cxn modelId="{0E3C3ECD-71A0-49B7-ADF2-4336EFF552E1}" type="presParOf" srcId="{64248C57-3CE0-4657-BC67-6279BA0257B1}" destId="{C7C9B7EB-2DEF-4B99-8D38-AC2E9641BEB5}" srcOrd="0" destOrd="0" presId="urn:microsoft.com/office/officeart/2005/8/layout/radial1"/>
    <dgm:cxn modelId="{98FA1E7E-0640-46F3-BB17-67BCBC9F2330}" type="presParOf" srcId="{08F189A1-AB47-41D1-8058-7A6DA66B3F52}" destId="{976BA53C-17D4-4F7C-9078-1272C469C9E5}" srcOrd="4" destOrd="0" presId="urn:microsoft.com/office/officeart/2005/8/layout/radial1"/>
    <dgm:cxn modelId="{962857EB-9CD4-41EF-A6F4-6F066E85AEEE}" type="presParOf" srcId="{08F189A1-AB47-41D1-8058-7A6DA66B3F52}" destId="{ADF94B70-0D7F-4A27-8DF9-17BCD27F4A7A}" srcOrd="5" destOrd="0" presId="urn:microsoft.com/office/officeart/2005/8/layout/radial1"/>
    <dgm:cxn modelId="{935819FD-5556-47C0-AFF4-4ABB9469007B}" type="presParOf" srcId="{ADF94B70-0D7F-4A27-8DF9-17BCD27F4A7A}" destId="{EA4144E0-C5B2-4FC0-BDB2-550B61DB7DFD}" srcOrd="0" destOrd="0" presId="urn:microsoft.com/office/officeart/2005/8/layout/radial1"/>
    <dgm:cxn modelId="{038E31BC-C944-441A-BCC2-02199D37F86C}" type="presParOf" srcId="{08F189A1-AB47-41D1-8058-7A6DA66B3F52}" destId="{0FAF3FA1-8E6C-455E-B189-A468B3F4D8BC}" srcOrd="6" destOrd="0" presId="urn:microsoft.com/office/officeart/2005/8/layout/radial1"/>
  </dgm:cxnLst>
  <dgm:bg/>
  <dgm:whole/>
  <dgm:extLst>
    <a:ext uri="http://schemas.microsoft.com/office/drawing/2008/diagram">
      <dsp:dataModelExt xmlns:dsp="http://schemas.microsoft.com/office/drawing/2008/diagram" relId="rId124" minVer="http://schemas.openxmlformats.org/drawingml/2006/diagram"/>
    </a:ext>
    <a:ext uri="{C62137D5-CB1D-491B-B009-E17868A290BF}">
      <dgm14:recolorImg xmlns:dgm14="http://schemas.microsoft.com/office/drawing/2010/diagram" val="1"/>
    </a:ext>
  </dgm:extLst>
</dgm:dataModel>
</file>

<file path=word/diagrams/data14.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endParaRPr lang="en-US"/>
        </a:p>
      </dgm:t>
    </dgm:pt>
    <dgm:pt modelId="{4631C2C5-1554-4289-90B0-F2D55D1595B6}">
      <dgm:prSet phldrT="[Text]" custT="1"/>
      <dgm:spPr>
        <a:xfrm>
          <a:off x="4535348" y="521400"/>
          <a:ext cx="1408251" cy="60794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Madrid  </a:t>
          </a:r>
        </a:p>
      </dgm:t>
    </dgm:pt>
    <dgm:pt modelId="{960C5593-E0FF-4AA5-AA0B-E8BDFFBC5E53}">
      <dgm:prSet phldrT="[Text]" custT="1"/>
      <dgm:spPr>
        <a:xfrm>
          <a:off x="2225035" y="12800"/>
          <a:ext cx="1231485" cy="47373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a:t>
          </a:r>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E541715-C648-404D-8124-F14F463E9202}">
      <dgm:prSet phldrT="[Text]" custT="1"/>
      <dgm:spPr>
        <a:xfrm>
          <a:off x="2122013" y="645022"/>
          <a:ext cx="1402238" cy="412253"/>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12</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21563328">
          <a:off x="3523761" y="831280"/>
          <a:ext cx="1011830" cy="1399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300827">
          <a:off x="2752218" y="558779"/>
          <a:ext cx="158573" cy="1399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06C39C9-71B8-489C-9C45-3DD37A424E39}">
      <dgm:prSet phldrT="[Text]" custT="1"/>
      <dgm:spPr>
        <a:xfrm>
          <a:off x="1367171" y="1614853"/>
          <a:ext cx="922600" cy="95877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9216993">
          <a:off x="2225986" y="1794494"/>
          <a:ext cx="360806" cy="26147"/>
        </a:xfrm>
        <a:custGeom>
          <a:avLst/>
          <a:gdLst/>
          <a:ahLst/>
          <a:cxnLst/>
          <a:rect l="0" t="0" r="0" b="0"/>
          <a:pathLst>
            <a:path>
              <a:moveTo>
                <a:pt x="0" y="12971"/>
              </a:moveTo>
              <a:lnTo>
                <a:pt x="378246" y="12971"/>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D0CE537-45F5-4C46-960F-D6A82B00F3DE}">
      <dgm:prSet phldrT="[Text]" custT="1"/>
      <dgm:spPr>
        <a:xfrm>
          <a:off x="0" y="586671"/>
          <a:ext cx="1234693" cy="56585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 </a:t>
          </a:r>
        </a:p>
      </dgm:t>
    </dgm:pt>
    <dgm:pt modelId="{3D1DE322-E296-4167-BF53-8B5CE5EC28D8}" type="parTrans" cxnId="{E0E640E9-CB57-4A88-8E14-E556A0185FE5}">
      <dgm:prSet/>
      <dgm:spPr>
        <a:xfrm rot="10771247">
          <a:off x="1234575" y="853725"/>
          <a:ext cx="887737" cy="1399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979818-0E55-4CAF-81D6-7E33DA768B1C}" type="sibTrans" cxnId="{E0E640E9-CB57-4A88-8E14-E556A0185FE5}">
      <dgm:prSet/>
      <dgm:spPr/>
      <dgm:t>
        <a:bodyPr/>
        <a:lstStyle/>
        <a:p>
          <a:endParaRPr lang="en-US"/>
        </a:p>
      </dgm:t>
    </dgm:pt>
    <dgm:pt modelId="{261B861F-8791-4E33-9941-A33DE5A2A768}">
      <dgm:prSet phldrT="[Text]" custT="1"/>
      <dgm:spPr>
        <a:xfrm>
          <a:off x="2107352" y="1206642"/>
          <a:ext cx="1453945" cy="46023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gm:t>
    </dgm:pt>
    <dgm:pt modelId="{A5C3F0DB-E0F1-41F2-9F0F-D8D34C792173}" type="parTrans" cxnId="{8F24CB25-C32E-457C-ADA9-0EEDE78E6073}">
      <dgm:prSet/>
      <dgm:spPr>
        <a:xfrm rot="5334304">
          <a:off x="2753798" y="1124961"/>
          <a:ext cx="149401" cy="1399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D4991A9-47A2-4376-80F0-AA0E581C042E}" type="sibTrans" cxnId="{8F24CB25-C32E-457C-ADA9-0EEDE78E6073}">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03405" custScaleY="89200" custLinFactNeighborX="-8761" custLinFactNeighborY="1193"/>
      <dgm:spPr>
        <a:prstGeom prst="ellipse">
          <a:avLst/>
        </a:prstGeom>
      </dgm:spPr>
      <dgm:t>
        <a:bodyPr/>
        <a:lstStyle/>
        <a:p>
          <a:endParaRPr lang="en-US"/>
        </a:p>
      </dgm:t>
    </dgm:pt>
    <dgm:pt modelId="{5337AE63-3722-42CC-AF72-36670EB7C5E1}" type="pres">
      <dgm:prSet presAssocID="{7AF774ED-547E-4C04-8670-B0C1D08C5EE9}" presName="Name9" presStyleLbl="parChTrans1D2" presStyleIdx="0" presStyleCnt="4"/>
      <dgm:spPr>
        <a:custGeom>
          <a:avLst/>
          <a:gdLst/>
          <a:ahLst/>
          <a:cxnLst/>
          <a:rect l="0" t="0" r="0" b="0"/>
          <a:pathLst>
            <a:path>
              <a:moveTo>
                <a:pt x="0" y="6998"/>
              </a:moveTo>
              <a:lnTo>
                <a:pt x="158573" y="6998"/>
              </a:lnTo>
            </a:path>
          </a:pathLst>
        </a:custGeom>
      </dgm:spPr>
      <dgm:t>
        <a:bodyPr/>
        <a:lstStyle/>
        <a:p>
          <a:endParaRPr lang="en-US"/>
        </a:p>
      </dgm:t>
    </dgm:pt>
    <dgm:pt modelId="{326412CE-9911-4799-A459-B56F02EB4473}" type="pres">
      <dgm:prSet presAssocID="{7AF774ED-547E-4C04-8670-B0C1D08C5EE9}" presName="connTx" presStyleLbl="parChTrans1D2" presStyleIdx="0" presStyleCnt="4"/>
      <dgm:spPr/>
      <dgm:t>
        <a:bodyPr/>
        <a:lstStyle/>
        <a:p>
          <a:endParaRPr lang="en-US"/>
        </a:p>
      </dgm:t>
    </dgm:pt>
    <dgm:pt modelId="{CED9197C-8322-406B-917C-172FA36E7B76}" type="pres">
      <dgm:prSet presAssocID="{960C5593-E0FF-4AA5-AA0B-E8BDFFBC5E53}" presName="node" presStyleLbl="node1" presStyleIdx="0" presStyleCnt="4" custScaleX="266459" custScaleY="102504" custRadScaleRad="101292" custRadScaleInc="-21496">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1" presStyleCnt="4"/>
      <dgm:spPr>
        <a:custGeom>
          <a:avLst/>
          <a:gdLst/>
          <a:ahLst/>
          <a:cxnLst/>
          <a:rect l="0" t="0" r="0" b="0"/>
          <a:pathLst>
            <a:path>
              <a:moveTo>
                <a:pt x="0" y="6998"/>
              </a:moveTo>
              <a:lnTo>
                <a:pt x="1011830" y="6998"/>
              </a:lnTo>
            </a:path>
          </a:pathLst>
        </a:custGeom>
      </dgm:spPr>
      <dgm:t>
        <a:bodyPr/>
        <a:lstStyle/>
        <a:p>
          <a:endParaRPr lang="en-US"/>
        </a:p>
      </dgm:t>
    </dgm:pt>
    <dgm:pt modelId="{62A1F741-432F-46BE-AE07-15F0B6D5EA89}" type="pres">
      <dgm:prSet presAssocID="{4693CA52-075F-4BD8-ABEA-5368BE377DDA}" presName="connTx" presStyleLbl="parChTrans1D2" presStyleIdx="1" presStyleCnt="4"/>
      <dgm:spPr/>
      <dgm:t>
        <a:bodyPr/>
        <a:lstStyle/>
        <a:p>
          <a:endParaRPr lang="en-US"/>
        </a:p>
      </dgm:t>
    </dgm:pt>
    <dgm:pt modelId="{035B4C9A-0916-4FCC-A1CF-85DB358A289A}" type="pres">
      <dgm:prSet presAssocID="{4631C2C5-1554-4289-90B0-F2D55D1595B6}" presName="node" presStyleLbl="node1" presStyleIdx="1" presStyleCnt="4" custScaleX="304706" custScaleY="131542" custRadScaleRad="419465" custRadScaleInc="-578">
        <dgm:presLayoutVars>
          <dgm:bulletEnabled val="1"/>
        </dgm:presLayoutVars>
      </dgm:prSet>
      <dgm:spPr>
        <a:prstGeom prst="ellipse">
          <a:avLst/>
        </a:prstGeom>
      </dgm:spPr>
      <dgm:t>
        <a:bodyPr/>
        <a:lstStyle/>
        <a:p>
          <a:endParaRPr lang="en-US"/>
        </a:p>
      </dgm:t>
    </dgm:pt>
    <dgm:pt modelId="{1281FAF2-438A-4E06-A630-42C5CD6DB1D1}" type="pres">
      <dgm:prSet presAssocID="{A5C3F0DB-E0F1-41F2-9F0F-D8D34C792173}" presName="Name9" presStyleLbl="parChTrans1D2" presStyleIdx="2" presStyleCnt="4"/>
      <dgm:spPr>
        <a:custGeom>
          <a:avLst/>
          <a:gdLst/>
          <a:ahLst/>
          <a:cxnLst/>
          <a:rect l="0" t="0" r="0" b="0"/>
          <a:pathLst>
            <a:path>
              <a:moveTo>
                <a:pt x="0" y="6998"/>
              </a:moveTo>
              <a:lnTo>
                <a:pt x="149401" y="6998"/>
              </a:lnTo>
            </a:path>
          </a:pathLst>
        </a:custGeom>
      </dgm:spPr>
      <dgm:t>
        <a:bodyPr/>
        <a:lstStyle/>
        <a:p>
          <a:endParaRPr lang="en-US"/>
        </a:p>
      </dgm:t>
    </dgm:pt>
    <dgm:pt modelId="{2F4F44BF-1E04-4136-A0FB-1DED4AC75151}" type="pres">
      <dgm:prSet presAssocID="{A5C3F0DB-E0F1-41F2-9F0F-D8D34C792173}" presName="connTx" presStyleLbl="parChTrans1D2" presStyleIdx="2" presStyleCnt="4"/>
      <dgm:spPr/>
      <dgm:t>
        <a:bodyPr/>
        <a:lstStyle/>
        <a:p>
          <a:endParaRPr lang="en-US"/>
        </a:p>
      </dgm:t>
    </dgm:pt>
    <dgm:pt modelId="{9D8804DD-C1C3-4668-9E8F-40BB54189D15}" type="pres">
      <dgm:prSet presAssocID="{261B861F-8791-4E33-9941-A33DE5A2A768}" presName="node" presStyleLbl="node1" presStyleIdx="2" presStyleCnt="4" custScaleX="328365" custScaleY="95644" custRadScaleRad="101268" custRadScaleInc="21318">
        <dgm:presLayoutVars>
          <dgm:bulletEnabled val="1"/>
        </dgm:presLayoutVars>
      </dgm:prSet>
      <dgm:spPr>
        <a:prstGeom prst="ellipse">
          <a:avLst/>
        </a:prstGeom>
      </dgm:spPr>
      <dgm:t>
        <a:bodyPr/>
        <a:lstStyle/>
        <a:p>
          <a:endParaRPr lang="en-US"/>
        </a:p>
      </dgm:t>
    </dgm:pt>
    <dgm:pt modelId="{D0E3F8D6-DE9C-4394-8B02-9C131280903E}" type="pres">
      <dgm:prSet presAssocID="{3D1DE322-E296-4167-BF53-8B5CE5EC28D8}" presName="Name9" presStyleLbl="parChTrans1D2" presStyleIdx="3" presStyleCnt="4"/>
      <dgm:spPr>
        <a:custGeom>
          <a:avLst/>
          <a:gdLst/>
          <a:ahLst/>
          <a:cxnLst/>
          <a:rect l="0" t="0" r="0" b="0"/>
          <a:pathLst>
            <a:path>
              <a:moveTo>
                <a:pt x="0" y="6998"/>
              </a:moveTo>
              <a:lnTo>
                <a:pt x="887737" y="6998"/>
              </a:lnTo>
            </a:path>
          </a:pathLst>
        </a:custGeom>
      </dgm:spPr>
      <dgm:t>
        <a:bodyPr/>
        <a:lstStyle/>
        <a:p>
          <a:endParaRPr lang="en-US"/>
        </a:p>
      </dgm:t>
    </dgm:pt>
    <dgm:pt modelId="{D9125633-39F7-4B37-B444-5ECC3B34BA4C}" type="pres">
      <dgm:prSet presAssocID="{3D1DE322-E296-4167-BF53-8B5CE5EC28D8}" presName="connTx" presStyleLbl="parChTrans1D2" presStyleIdx="3" presStyleCnt="4"/>
      <dgm:spPr/>
      <dgm:t>
        <a:bodyPr/>
        <a:lstStyle/>
        <a:p>
          <a:endParaRPr lang="en-US"/>
        </a:p>
      </dgm:t>
    </dgm:pt>
    <dgm:pt modelId="{F1CADBCB-761B-4EBD-8811-73EECDD73DC5}" type="pres">
      <dgm:prSet presAssocID="{1D0CE537-45F5-4C46-960F-D6A82B00F3DE}" presName="node" presStyleLbl="node1" presStyleIdx="3" presStyleCnt="4" custScaleX="267153" custScaleY="122435" custRadScaleRad="426769" custRadScaleInc="-1628">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2" destOrd="0" parTransId="{4492527F-B2BC-4423-9ACC-2816666249A0}" sibTransId="{A0A859C5-79E5-4C97-AF72-54A6D166EEA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1" destOrd="0" parTransId="{4693CA52-075F-4BD8-ABEA-5368BE377DDA}" sibTransId="{9B3CB24D-A47A-4081-B256-B868D89D5387}"/>
    <dgm:cxn modelId="{8F24CB25-C32E-457C-ADA9-0EEDE78E6073}" srcId="{DE541715-C648-404D-8124-F14F463E9202}" destId="{261B861F-8791-4E33-9941-A33DE5A2A768}" srcOrd="2" destOrd="0" parTransId="{A5C3F0DB-E0F1-41F2-9F0F-D8D34C792173}" sibTransId="{5D4991A9-47A2-4376-80F0-AA0E581C042E}"/>
    <dgm:cxn modelId="{E0E640E9-CB57-4A88-8E14-E556A0185FE5}" srcId="{DE541715-C648-404D-8124-F14F463E9202}" destId="{1D0CE537-45F5-4C46-960F-D6A82B00F3DE}" srcOrd="3" destOrd="0" parTransId="{3D1DE322-E296-4167-BF53-8B5CE5EC28D8}" sibTransId="{96979818-0E55-4CAF-81D6-7E33DA768B1C}"/>
    <dgm:cxn modelId="{4F04EE9C-9702-4D2C-8E0B-B6A8522C2277}" type="presOf" srcId="{A5C3F0DB-E0F1-41F2-9F0F-D8D34C792173}" destId="{1281FAF2-438A-4E06-A630-42C5CD6DB1D1}" srcOrd="0" destOrd="0" presId="urn:microsoft.com/office/officeart/2005/8/layout/radial1"/>
    <dgm:cxn modelId="{B7E60BBE-03AE-4644-B764-3B2906CFF28E}" type="presOf" srcId="{1D0CE537-45F5-4C46-960F-D6A82B00F3DE}" destId="{F1CADBCB-761B-4EBD-8811-73EECDD73DC5}" srcOrd="0" destOrd="0" presId="urn:microsoft.com/office/officeart/2005/8/layout/radial1"/>
    <dgm:cxn modelId="{823373DC-08CF-4516-AAE8-7FD3BFE4B5DD}" type="presOf" srcId="{A5C3F0DB-E0F1-41F2-9F0F-D8D34C792173}" destId="{2F4F44BF-1E04-4136-A0FB-1DED4AC75151}" srcOrd="1" destOrd="0" presId="urn:microsoft.com/office/officeart/2005/8/layout/radial1"/>
    <dgm:cxn modelId="{C5275D24-FD7E-4D5A-9EB7-4EFC9AC140B1}" type="presOf" srcId="{960C5593-E0FF-4AA5-AA0B-E8BDFFBC5E53}" destId="{CED9197C-8322-406B-917C-172FA36E7B76}" srcOrd="0" destOrd="0" presId="urn:microsoft.com/office/officeart/2005/8/layout/radial1"/>
    <dgm:cxn modelId="{9C329E60-8295-45EE-B497-8CF5C392F974}" type="presOf" srcId="{3D1DE322-E296-4167-BF53-8B5CE5EC28D8}" destId="{D0E3F8D6-DE9C-4394-8B02-9C131280903E}" srcOrd="0" destOrd="0" presId="urn:microsoft.com/office/officeart/2005/8/layout/radial1"/>
    <dgm:cxn modelId="{248698A6-055B-40E3-B808-D624056EF2B0}" srcId="{34E6C8D5-8D4F-4714-8A12-8F4599A8E760}" destId="{C06C39C9-71B8-489C-9C45-3DD37A424E39}" srcOrd="1" destOrd="0" parTransId="{0FABC453-0A5C-4CAE-813B-F0494A34E025}" sibTransId="{DCD34884-F96E-475A-9010-14DE66A403A6}"/>
    <dgm:cxn modelId="{CE5DB03E-8416-4F7B-8305-DC10561AC39D}" type="presOf" srcId="{7AF774ED-547E-4C04-8670-B0C1D08C5EE9}" destId="{5337AE63-3722-42CC-AF72-36670EB7C5E1}" srcOrd="0" destOrd="0" presId="urn:microsoft.com/office/officeart/2005/8/layout/radial1"/>
    <dgm:cxn modelId="{4F6154DE-D597-4186-8B12-C6A4F95E9F78}" type="presOf" srcId="{4631C2C5-1554-4289-90B0-F2D55D1595B6}" destId="{035B4C9A-0916-4FCC-A1CF-85DB358A289A}" srcOrd="0" destOrd="0" presId="urn:microsoft.com/office/officeart/2005/8/layout/radial1"/>
    <dgm:cxn modelId="{AD242A11-13C6-4392-9699-F5807B1CEB3C}" type="presOf" srcId="{34E6C8D5-8D4F-4714-8A12-8F4599A8E760}" destId="{08F189A1-AB47-41D1-8058-7A6DA66B3F52}" srcOrd="0" destOrd="0" presId="urn:microsoft.com/office/officeart/2005/8/layout/radial1"/>
    <dgm:cxn modelId="{529D05ED-97D5-4116-BE13-DE3D93351F7F}" srcId="{DE541715-C648-404D-8124-F14F463E9202}" destId="{960C5593-E0FF-4AA5-AA0B-E8BDFFBC5E53}" srcOrd="0" destOrd="0" parTransId="{7AF774ED-547E-4C04-8670-B0C1D08C5EE9}" sibTransId="{88F12DF7-015F-4F26-950A-DAE493699644}"/>
    <dgm:cxn modelId="{44222174-CF93-4D9B-9072-6552F0700571}" type="presOf" srcId="{4693CA52-075F-4BD8-ABEA-5368BE377DDA}" destId="{62A1F741-432F-46BE-AE07-15F0B6D5EA89}" srcOrd="1" destOrd="0" presId="urn:microsoft.com/office/officeart/2005/8/layout/radial1"/>
    <dgm:cxn modelId="{4ECD6C31-77E3-41E9-AF79-C97DF6F33E53}" type="presOf" srcId="{3D1DE322-E296-4167-BF53-8B5CE5EC28D8}" destId="{D9125633-39F7-4B37-B444-5ECC3B34BA4C}" srcOrd="1" destOrd="0" presId="urn:microsoft.com/office/officeart/2005/8/layout/radial1"/>
    <dgm:cxn modelId="{796691C0-AD5F-4CF3-9506-91A021B9058C}" type="presOf" srcId="{7AF774ED-547E-4C04-8670-B0C1D08C5EE9}" destId="{326412CE-9911-4799-A459-B56F02EB4473}" srcOrd="1" destOrd="0" presId="urn:microsoft.com/office/officeart/2005/8/layout/radial1"/>
    <dgm:cxn modelId="{66CB236C-8681-4754-BA26-9922762C6ADC}" type="presOf" srcId="{DE541715-C648-404D-8124-F14F463E9202}" destId="{062AF917-2F47-4639-8A23-58AD52EC0F32}" srcOrd="0" destOrd="0" presId="urn:microsoft.com/office/officeart/2005/8/layout/radial1"/>
    <dgm:cxn modelId="{635EAA91-0D4C-4951-9976-C3BD868358B5}" type="presOf" srcId="{261B861F-8791-4E33-9941-A33DE5A2A768}" destId="{9D8804DD-C1C3-4668-9E8F-40BB54189D15}" srcOrd="0" destOrd="0" presId="urn:microsoft.com/office/officeart/2005/8/layout/radial1"/>
    <dgm:cxn modelId="{B04AE469-B3BA-46F5-A855-2A51D96A898E}" type="presOf" srcId="{4693CA52-075F-4BD8-ABEA-5368BE377DDA}" destId="{4AC11394-3179-4EC5-A97F-D1A1B521CE2F}" srcOrd="0" destOrd="0" presId="urn:microsoft.com/office/officeart/2005/8/layout/radial1"/>
    <dgm:cxn modelId="{8114B7AD-2CB0-4D1B-B0B8-BAA90039983F}" type="presParOf" srcId="{08F189A1-AB47-41D1-8058-7A6DA66B3F52}" destId="{062AF917-2F47-4639-8A23-58AD52EC0F32}" srcOrd="0" destOrd="0" presId="urn:microsoft.com/office/officeart/2005/8/layout/radial1"/>
    <dgm:cxn modelId="{EC5AD145-65D4-4C13-9944-162C09A64355}" type="presParOf" srcId="{08F189A1-AB47-41D1-8058-7A6DA66B3F52}" destId="{5337AE63-3722-42CC-AF72-36670EB7C5E1}" srcOrd="1" destOrd="0" presId="urn:microsoft.com/office/officeart/2005/8/layout/radial1"/>
    <dgm:cxn modelId="{A35D8BC3-3F3D-4226-8C94-4ECC0B67D9B7}" type="presParOf" srcId="{5337AE63-3722-42CC-AF72-36670EB7C5E1}" destId="{326412CE-9911-4799-A459-B56F02EB4473}" srcOrd="0" destOrd="0" presId="urn:microsoft.com/office/officeart/2005/8/layout/radial1"/>
    <dgm:cxn modelId="{B5599EB7-1C21-4AA5-B5AA-4903B2F0FE35}" type="presParOf" srcId="{08F189A1-AB47-41D1-8058-7A6DA66B3F52}" destId="{CED9197C-8322-406B-917C-172FA36E7B76}" srcOrd="2" destOrd="0" presId="urn:microsoft.com/office/officeart/2005/8/layout/radial1"/>
    <dgm:cxn modelId="{F976601C-2E5B-48E1-A171-4AE79F689B78}" type="presParOf" srcId="{08F189A1-AB47-41D1-8058-7A6DA66B3F52}" destId="{4AC11394-3179-4EC5-A97F-D1A1B521CE2F}" srcOrd="3" destOrd="0" presId="urn:microsoft.com/office/officeart/2005/8/layout/radial1"/>
    <dgm:cxn modelId="{D899AFF0-618D-4AE5-91AD-F955F2FAC49C}" type="presParOf" srcId="{4AC11394-3179-4EC5-A97F-D1A1B521CE2F}" destId="{62A1F741-432F-46BE-AE07-15F0B6D5EA89}" srcOrd="0" destOrd="0" presId="urn:microsoft.com/office/officeart/2005/8/layout/radial1"/>
    <dgm:cxn modelId="{51A6225A-90D0-4E1F-BF13-B2D9E7F8E433}" type="presParOf" srcId="{08F189A1-AB47-41D1-8058-7A6DA66B3F52}" destId="{035B4C9A-0916-4FCC-A1CF-85DB358A289A}" srcOrd="4" destOrd="0" presId="urn:microsoft.com/office/officeart/2005/8/layout/radial1"/>
    <dgm:cxn modelId="{5B6E4402-B1DC-4F03-B04E-ED2EDFA25619}" type="presParOf" srcId="{08F189A1-AB47-41D1-8058-7A6DA66B3F52}" destId="{1281FAF2-438A-4E06-A630-42C5CD6DB1D1}" srcOrd="5" destOrd="0" presId="urn:microsoft.com/office/officeart/2005/8/layout/radial1"/>
    <dgm:cxn modelId="{79F65C64-A46F-4C00-BB49-F31FE9C42788}" type="presParOf" srcId="{1281FAF2-438A-4E06-A630-42C5CD6DB1D1}" destId="{2F4F44BF-1E04-4136-A0FB-1DED4AC75151}" srcOrd="0" destOrd="0" presId="urn:microsoft.com/office/officeart/2005/8/layout/radial1"/>
    <dgm:cxn modelId="{6B41A86B-BD42-4B1D-A0B5-B26229C7FBBB}" type="presParOf" srcId="{08F189A1-AB47-41D1-8058-7A6DA66B3F52}" destId="{9D8804DD-C1C3-4668-9E8F-40BB54189D15}" srcOrd="6" destOrd="0" presId="urn:microsoft.com/office/officeart/2005/8/layout/radial1"/>
    <dgm:cxn modelId="{488A2289-2BEA-4FB5-AFF3-2DFE8D8B854D}" type="presParOf" srcId="{08F189A1-AB47-41D1-8058-7A6DA66B3F52}" destId="{D0E3F8D6-DE9C-4394-8B02-9C131280903E}" srcOrd="7" destOrd="0" presId="urn:microsoft.com/office/officeart/2005/8/layout/radial1"/>
    <dgm:cxn modelId="{23E8B63B-E380-471B-B345-DFA376D4FBDD}" type="presParOf" srcId="{D0E3F8D6-DE9C-4394-8B02-9C131280903E}" destId="{D9125633-39F7-4B37-B444-5ECC3B34BA4C}" srcOrd="0" destOrd="0" presId="urn:microsoft.com/office/officeart/2005/8/layout/radial1"/>
    <dgm:cxn modelId="{2F12F702-4237-41F4-BE53-67B8AF51DC91}" type="presParOf" srcId="{08F189A1-AB47-41D1-8058-7A6DA66B3F52}" destId="{F1CADBCB-761B-4EBD-8811-73EECDD73DC5}" srcOrd="8" destOrd="0" presId="urn:microsoft.com/office/officeart/2005/8/layout/radial1"/>
  </dgm:cxnLst>
  <dgm:bg/>
  <dgm:whole/>
  <dgm:extLst>
    <a:ext uri="http://schemas.microsoft.com/office/drawing/2008/diagram">
      <dsp:dataModelExt xmlns:dsp="http://schemas.microsoft.com/office/drawing/2008/diagram" relId="rId131" minVer="http://schemas.openxmlformats.org/drawingml/2006/diagram"/>
    </a:ext>
    <a:ext uri="{C62137D5-CB1D-491B-B009-E17868A290BF}">
      <dgm14:recolorImg xmlns:dgm14="http://schemas.microsoft.com/office/drawing/2010/diagram" val="1"/>
    </a:ext>
  </dgm:extLst>
</dgm:dataModel>
</file>

<file path=word/diagrams/data15.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80777" y="665133"/>
          <a:ext cx="1213961" cy="349318"/>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13</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1164618" y="1052441"/>
          <a:ext cx="1372939" cy="56065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15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Soluciones operativas OPI</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9393212">
          <a:off x="2306801" y="1050407"/>
          <a:ext cx="360255" cy="1318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3434623" y="1098578"/>
          <a:ext cx="1303029" cy="50736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14</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Acceso a info. y conocimientos</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500735">
          <a:off x="3287635" y="1066377"/>
          <a:ext cx="399802" cy="1318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4362678" y="581347"/>
          <a:ext cx="1194049" cy="5044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12</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Clasificaciones y normas técnicas</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21589143">
          <a:off x="3594700" y="830067"/>
          <a:ext cx="767996" cy="1318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0EC699C-58C9-413E-92A6-88F3FF9B1DC9}">
      <dgm:prSet phldrT="[Text]" custT="1"/>
      <dgm:spPr>
        <a:xfrm>
          <a:off x="2488168" y="-26218"/>
          <a:ext cx="999180" cy="44384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a:t>
          </a: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E2FC291C-D685-4C64-9B85-7318D8496566}" type="parTrans" cxnId="{3597F8D4-E0D8-45F4-BB48-7FD22AAE79C7}">
      <dgm:prSet/>
      <dgm:spPr>
        <a:xfrm rot="16200000">
          <a:off x="2864004" y="534784"/>
          <a:ext cx="247508" cy="1318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8BDC942-54AA-48C8-9849-2287B2AEC32C}" type="sibTrans" cxnId="{3597F8D4-E0D8-45F4-BB48-7FD22AAE79C7}">
      <dgm:prSet/>
      <dgm:spPr/>
      <dgm:t>
        <a:bodyPr/>
        <a:lstStyle/>
        <a:p>
          <a:endParaRPr lang="en-US"/>
        </a:p>
      </dgm:t>
    </dgm:pt>
    <dgm:pt modelId="{8D95C031-B53C-42FF-A312-F15FA4C9B96F}">
      <dgm:prSet phldrT="[Text]" custT="1"/>
      <dgm:spPr>
        <a:xfrm>
          <a:off x="3829194" y="47598"/>
          <a:ext cx="1138760" cy="44759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Madrid</a:t>
          </a:r>
        </a:p>
      </dgm:t>
    </dgm:pt>
    <dgm:pt modelId="{8350B580-CEC5-40B7-8EB5-A172D5915A6B}" type="parTrans" cxnId="{DB613666-54CF-4D7E-982B-E399CC961051}">
      <dgm:prSet/>
      <dgm:spPr>
        <a:xfrm rot="20283379">
          <a:off x="3314748" y="558030"/>
          <a:ext cx="712007" cy="1318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52C44D8-90AA-45A0-B521-998C42893448}" type="sibTrans" cxnId="{DB613666-54CF-4D7E-982B-E399CC961051}">
      <dgm:prSet/>
      <dgm:spPr/>
      <dgm:t>
        <a:bodyPr/>
        <a:lstStyle/>
        <a:p>
          <a:endParaRPr lang="en-US"/>
        </a:p>
      </dgm:t>
    </dgm:pt>
    <dgm:pt modelId="{0BE60BA9-2025-462F-AA1B-F34616BD63F6}">
      <dgm:prSet phldrT="[Text]" custT="1"/>
      <dgm:spPr>
        <a:xfrm>
          <a:off x="139013" y="561906"/>
          <a:ext cx="1257883" cy="54470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31</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La Haya</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6BC16BB-F93A-4745-8B71-07703A9D0891}" type="parTrans" cxnId="{AD2EB3D2-1381-46CB-80E7-BA9A804B7DD3}">
      <dgm:prSet/>
      <dgm:spPr>
        <a:xfrm rot="10808569">
          <a:off x="1396885" y="830458"/>
          <a:ext cx="983916" cy="1318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8DD518E-881E-4111-9EDE-7F061DEDE6FF}" type="sibTrans" cxnId="{AD2EB3D2-1381-46CB-80E7-BA9A804B7DD3}">
      <dgm:prSet/>
      <dgm:spPr/>
      <dgm:t>
        <a:bodyPr/>
        <a:lstStyle/>
        <a:p>
          <a:endParaRPr lang="en-US"/>
        </a:p>
      </dgm:t>
    </dgm:pt>
    <dgm:pt modelId="{D034F6AC-E459-483A-BC18-22A33AE5BDAE}">
      <dgm:prSet phldrT="[Text]" custT="1"/>
      <dgm:spPr>
        <a:xfrm>
          <a:off x="1035466" y="40722"/>
          <a:ext cx="1283030" cy="47360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32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Lisboa</a:t>
          </a:r>
        </a:p>
      </dgm:t>
    </dgm:pt>
    <dgm:pt modelId="{E25ACED9-64BE-4FFA-8C93-F38031958FA9}" type="parTrans" cxnId="{A1C8553A-C9ED-44D4-BF8D-B9844332441C}">
      <dgm:prSet/>
      <dgm:spPr>
        <a:xfrm rot="12193039">
          <a:off x="2071003" y="569286"/>
          <a:ext cx="603035" cy="1318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E283739-CFFF-4188-B6AB-05FB0B17A987}" type="sibTrans" cxnId="{A1C8553A-C9ED-44D4-BF8D-B9844332441C}">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29653" custScaleY="80207" custLinFactNeighborY="-702"/>
      <dgm:spPr>
        <a:prstGeom prst="ellipse">
          <a:avLst/>
        </a:prstGeom>
      </dgm:spPr>
      <dgm:t>
        <a:bodyPr/>
        <a:lstStyle/>
        <a:p>
          <a:endParaRPr lang="en-US"/>
        </a:p>
      </dgm:t>
    </dgm:pt>
    <dgm:pt modelId="{743B4520-8441-42A0-AFCB-45C212516FFF}" type="pres">
      <dgm:prSet presAssocID="{E2FC291C-D685-4C64-9B85-7318D8496566}" presName="Name9" presStyleLbl="parChTrans1D2" presStyleIdx="0" presStyleCnt="7"/>
      <dgm:spPr>
        <a:custGeom>
          <a:avLst/>
          <a:gdLst/>
          <a:ahLst/>
          <a:cxnLst/>
          <a:rect l="0" t="0" r="0" b="0"/>
          <a:pathLst>
            <a:path>
              <a:moveTo>
                <a:pt x="0" y="6594"/>
              </a:moveTo>
              <a:lnTo>
                <a:pt x="247560" y="6594"/>
              </a:lnTo>
            </a:path>
          </a:pathLst>
        </a:custGeom>
      </dgm:spPr>
      <dgm:t>
        <a:bodyPr/>
        <a:lstStyle/>
        <a:p>
          <a:endParaRPr lang="en-US"/>
        </a:p>
      </dgm:t>
    </dgm:pt>
    <dgm:pt modelId="{AB25BD6D-C05F-49D2-AE4A-144CA3C0FC88}" type="pres">
      <dgm:prSet presAssocID="{E2FC291C-D685-4C64-9B85-7318D8496566}" presName="connTx" presStyleLbl="parChTrans1D2" presStyleIdx="0" presStyleCnt="7"/>
      <dgm:spPr/>
      <dgm:t>
        <a:bodyPr/>
        <a:lstStyle/>
        <a:p>
          <a:endParaRPr lang="en-US"/>
        </a:p>
      </dgm:t>
    </dgm:pt>
    <dgm:pt modelId="{825B4589-2D50-4097-AF2B-6D3BD9DDE0B2}" type="pres">
      <dgm:prSet presAssocID="{70EC699C-58C9-413E-92A6-88F3FF9B1DC9}" presName="node" presStyleLbl="node1" presStyleIdx="0" presStyleCnt="7" custScaleX="229422" custScaleY="101911">
        <dgm:presLayoutVars>
          <dgm:bulletEnabled val="1"/>
        </dgm:presLayoutVars>
      </dgm:prSet>
      <dgm:spPr>
        <a:prstGeom prst="ellipse">
          <a:avLst/>
        </a:prstGeom>
      </dgm:spPr>
      <dgm:t>
        <a:bodyPr/>
        <a:lstStyle/>
        <a:p>
          <a:endParaRPr lang="en-US"/>
        </a:p>
      </dgm:t>
    </dgm:pt>
    <dgm:pt modelId="{7A96B68C-E15D-4E1B-A46C-7E5DE405A90C}" type="pres">
      <dgm:prSet presAssocID="{8350B580-CEC5-40B7-8EB5-A172D5915A6B}" presName="Name9" presStyleLbl="parChTrans1D2" presStyleIdx="1" presStyleCnt="7"/>
      <dgm:spPr>
        <a:custGeom>
          <a:avLst/>
          <a:gdLst/>
          <a:ahLst/>
          <a:cxnLst/>
          <a:rect l="0" t="0" r="0" b="0"/>
          <a:pathLst>
            <a:path>
              <a:moveTo>
                <a:pt x="0" y="6594"/>
              </a:moveTo>
              <a:lnTo>
                <a:pt x="712131" y="6594"/>
              </a:lnTo>
            </a:path>
          </a:pathLst>
        </a:custGeom>
      </dgm:spPr>
      <dgm:t>
        <a:bodyPr/>
        <a:lstStyle/>
        <a:p>
          <a:endParaRPr lang="en-US"/>
        </a:p>
      </dgm:t>
    </dgm:pt>
    <dgm:pt modelId="{55614E8E-7D68-4791-82B7-FD152FE54268}" type="pres">
      <dgm:prSet presAssocID="{8350B580-CEC5-40B7-8EB5-A172D5915A6B}" presName="connTx" presStyleLbl="parChTrans1D2" presStyleIdx="1" presStyleCnt="7"/>
      <dgm:spPr/>
      <dgm:t>
        <a:bodyPr/>
        <a:lstStyle/>
        <a:p>
          <a:endParaRPr lang="en-US"/>
        </a:p>
      </dgm:t>
    </dgm:pt>
    <dgm:pt modelId="{9DCD972B-1513-465A-AD2B-AD5E9EEB7291}" type="pres">
      <dgm:prSet presAssocID="{8D95C031-B53C-42FF-A312-F15FA4C9B96F}" presName="node" presStyleLbl="node1" presStyleIdx="1" presStyleCnt="7" custScaleX="340665" custScaleY="102773" custRadScaleRad="233362" custRadScaleInc="63420">
        <dgm:presLayoutVars>
          <dgm:bulletEnabled val="1"/>
        </dgm:presLayoutVars>
      </dgm:prSet>
      <dgm:spPr>
        <a:prstGeom prst="ellipse">
          <a:avLst/>
        </a:prstGeom>
      </dgm:spPr>
      <dgm:t>
        <a:bodyPr/>
        <a:lstStyle/>
        <a:p>
          <a:endParaRPr lang="en-US"/>
        </a:p>
      </dgm:t>
    </dgm:pt>
    <dgm:pt modelId="{5337AE63-3722-42CC-AF72-36670EB7C5E1}" type="pres">
      <dgm:prSet presAssocID="{7AF774ED-547E-4C04-8670-B0C1D08C5EE9}" presName="Name9" presStyleLbl="parChTrans1D2" presStyleIdx="2" presStyleCnt="7"/>
      <dgm:spPr>
        <a:custGeom>
          <a:avLst/>
          <a:gdLst/>
          <a:ahLst/>
          <a:cxnLst/>
          <a:rect l="0" t="0" r="0" b="0"/>
          <a:pathLst>
            <a:path>
              <a:moveTo>
                <a:pt x="0" y="6594"/>
              </a:moveTo>
              <a:lnTo>
                <a:pt x="768157" y="6594"/>
              </a:lnTo>
            </a:path>
          </a:pathLst>
        </a:custGeom>
      </dgm:spPr>
      <dgm:t>
        <a:bodyPr/>
        <a:lstStyle/>
        <a:p>
          <a:endParaRPr lang="en-US"/>
        </a:p>
      </dgm:t>
    </dgm:pt>
    <dgm:pt modelId="{326412CE-9911-4799-A459-B56F02EB4473}" type="pres">
      <dgm:prSet presAssocID="{7AF774ED-547E-4C04-8670-B0C1D08C5EE9}" presName="connTx" presStyleLbl="parChTrans1D2" presStyleIdx="2" presStyleCnt="7"/>
      <dgm:spPr/>
      <dgm:t>
        <a:bodyPr/>
        <a:lstStyle/>
        <a:p>
          <a:endParaRPr lang="en-US"/>
        </a:p>
      </dgm:t>
    </dgm:pt>
    <dgm:pt modelId="{CED9197C-8322-406B-917C-172FA36E7B76}" type="pres">
      <dgm:prSet presAssocID="{960C5593-E0FF-4AA5-AA0B-E8BDFFBC5E53}" presName="node" presStyleLbl="node1" presStyleIdx="2" presStyleCnt="7" custScaleX="318460" custScaleY="115823" custRadScaleRad="301871" custRadScaleInc="-51740">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3" presStyleCnt="7"/>
      <dgm:spPr>
        <a:custGeom>
          <a:avLst/>
          <a:gdLst/>
          <a:ahLst/>
          <a:cxnLst/>
          <a:rect l="0" t="0" r="0" b="0"/>
          <a:pathLst>
            <a:path>
              <a:moveTo>
                <a:pt x="0" y="6594"/>
              </a:moveTo>
              <a:lnTo>
                <a:pt x="399900" y="6594"/>
              </a:lnTo>
            </a:path>
          </a:pathLst>
        </a:custGeom>
      </dgm:spPr>
      <dgm:t>
        <a:bodyPr/>
        <a:lstStyle/>
        <a:p>
          <a:endParaRPr lang="en-US"/>
        </a:p>
      </dgm:t>
    </dgm:pt>
    <dgm:pt modelId="{62A1F741-432F-46BE-AE07-15F0B6D5EA89}" type="pres">
      <dgm:prSet presAssocID="{4693CA52-075F-4BD8-ABEA-5368BE377DDA}" presName="connTx" presStyleLbl="parChTrans1D2" presStyleIdx="3" presStyleCnt="7"/>
      <dgm:spPr/>
      <dgm:t>
        <a:bodyPr/>
        <a:lstStyle/>
        <a:p>
          <a:endParaRPr lang="en-US"/>
        </a:p>
      </dgm:t>
    </dgm:pt>
    <dgm:pt modelId="{035B4C9A-0916-4FCC-A1CF-85DB358A289A}" type="pres">
      <dgm:prSet presAssocID="{4631C2C5-1554-4289-90B0-F2D55D1595B6}" presName="node" presStyleLbl="node1" presStyleIdx="3" presStyleCnt="7" custScaleX="299189" custScaleY="116496" custRadScaleRad="184949" custRadScaleInc="-154263">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4" presStyleCnt="7"/>
      <dgm:spPr>
        <a:custGeom>
          <a:avLst/>
          <a:gdLst/>
          <a:ahLst/>
          <a:cxnLst/>
          <a:rect l="0" t="0" r="0" b="0"/>
          <a:pathLst>
            <a:path>
              <a:moveTo>
                <a:pt x="0" y="6594"/>
              </a:moveTo>
              <a:lnTo>
                <a:pt x="360356" y="6594"/>
              </a:lnTo>
            </a:path>
          </a:pathLst>
        </a:custGeom>
      </dgm:spPr>
      <dgm:t>
        <a:bodyPr/>
        <a:lstStyle/>
        <a:p>
          <a:endParaRPr lang="en-US"/>
        </a:p>
      </dgm:t>
    </dgm:pt>
    <dgm:pt modelId="{EA4144E0-C5B2-4FC0-BDB2-550B61DB7DFD}" type="pres">
      <dgm:prSet presAssocID="{0FABC453-0A5C-4CAE-813B-F0494A34E025}" presName="connTx" presStyleLbl="parChTrans1D2" presStyleIdx="4" presStyleCnt="7"/>
      <dgm:spPr/>
      <dgm:t>
        <a:bodyPr/>
        <a:lstStyle/>
        <a:p>
          <a:endParaRPr lang="en-US"/>
        </a:p>
      </dgm:t>
    </dgm:pt>
    <dgm:pt modelId="{0FAF3FA1-8E6C-455E-B189-A468B3F4D8BC}" type="pres">
      <dgm:prSet presAssocID="{C06C39C9-71B8-489C-9C45-3DD37A424E39}" presName="node" presStyleLbl="node1" presStyleIdx="4" presStyleCnt="7" custScaleX="315241" custScaleY="128732" custRadScaleRad="189105" custRadScaleInc="160337">
        <dgm:presLayoutVars>
          <dgm:bulletEnabled val="1"/>
        </dgm:presLayoutVars>
      </dgm:prSet>
      <dgm:spPr>
        <a:prstGeom prst="ellipse">
          <a:avLst/>
        </a:prstGeom>
      </dgm:spPr>
      <dgm:t>
        <a:bodyPr/>
        <a:lstStyle/>
        <a:p>
          <a:endParaRPr lang="en-US"/>
        </a:p>
      </dgm:t>
    </dgm:pt>
    <dgm:pt modelId="{4C755D63-E57A-4826-AD35-228CF0B8702F}" type="pres">
      <dgm:prSet presAssocID="{E6BC16BB-F93A-4745-8B71-07703A9D0891}" presName="Name9" presStyleLbl="parChTrans1D2" presStyleIdx="5" presStyleCnt="7"/>
      <dgm:spPr>
        <a:custGeom>
          <a:avLst/>
          <a:gdLst/>
          <a:ahLst/>
          <a:cxnLst/>
          <a:rect l="0" t="0" r="0" b="0"/>
          <a:pathLst>
            <a:path>
              <a:moveTo>
                <a:pt x="0" y="6594"/>
              </a:moveTo>
              <a:lnTo>
                <a:pt x="984098" y="6594"/>
              </a:lnTo>
            </a:path>
          </a:pathLst>
        </a:custGeom>
      </dgm:spPr>
      <dgm:t>
        <a:bodyPr/>
        <a:lstStyle/>
        <a:p>
          <a:endParaRPr lang="en-US"/>
        </a:p>
      </dgm:t>
    </dgm:pt>
    <dgm:pt modelId="{7ABA132F-4D21-4791-9A9A-84D258152BDE}" type="pres">
      <dgm:prSet presAssocID="{E6BC16BB-F93A-4745-8B71-07703A9D0891}" presName="connTx" presStyleLbl="parChTrans1D2" presStyleIdx="5" presStyleCnt="7"/>
      <dgm:spPr/>
      <dgm:t>
        <a:bodyPr/>
        <a:lstStyle/>
        <a:p>
          <a:endParaRPr lang="en-US"/>
        </a:p>
      </dgm:t>
    </dgm:pt>
    <dgm:pt modelId="{24E3E7DC-0BA5-48AF-955A-AA52F4F430B1}" type="pres">
      <dgm:prSet presAssocID="{0BE60BA9-2025-462F-AA1B-F34616BD63F6}" presName="node" presStyleLbl="node1" presStyleIdx="5" presStyleCnt="7" custScaleX="288823" custScaleY="125070" custRadScaleRad="339811" custRadScaleInc="51476">
        <dgm:presLayoutVars>
          <dgm:bulletEnabled val="1"/>
        </dgm:presLayoutVars>
      </dgm:prSet>
      <dgm:spPr>
        <a:prstGeom prst="ellipse">
          <a:avLst/>
        </a:prstGeom>
      </dgm:spPr>
      <dgm:t>
        <a:bodyPr/>
        <a:lstStyle/>
        <a:p>
          <a:endParaRPr lang="en-US"/>
        </a:p>
      </dgm:t>
    </dgm:pt>
    <dgm:pt modelId="{E3CB5DB8-2282-45FB-9E5F-A0F7C1267DC9}" type="pres">
      <dgm:prSet presAssocID="{E25ACED9-64BE-4FFA-8C93-F38031958FA9}" presName="Name9" presStyleLbl="parChTrans1D2" presStyleIdx="6" presStyleCnt="7"/>
      <dgm:spPr>
        <a:custGeom>
          <a:avLst/>
          <a:gdLst/>
          <a:ahLst/>
          <a:cxnLst/>
          <a:rect l="0" t="0" r="0" b="0"/>
          <a:pathLst>
            <a:path>
              <a:moveTo>
                <a:pt x="0" y="6594"/>
              </a:moveTo>
              <a:lnTo>
                <a:pt x="603152" y="6594"/>
              </a:lnTo>
            </a:path>
          </a:pathLst>
        </a:custGeom>
      </dgm:spPr>
      <dgm:t>
        <a:bodyPr/>
        <a:lstStyle/>
        <a:p>
          <a:endParaRPr lang="en-US"/>
        </a:p>
      </dgm:t>
    </dgm:pt>
    <dgm:pt modelId="{737E721F-8678-45AE-8B6B-48BBD5CBAE25}" type="pres">
      <dgm:prSet presAssocID="{E25ACED9-64BE-4FFA-8C93-F38031958FA9}" presName="connTx" presStyleLbl="parChTrans1D2" presStyleIdx="6" presStyleCnt="7"/>
      <dgm:spPr/>
      <dgm:t>
        <a:bodyPr/>
        <a:lstStyle/>
        <a:p>
          <a:endParaRPr lang="en-US"/>
        </a:p>
      </dgm:t>
    </dgm:pt>
    <dgm:pt modelId="{2EA04359-081B-43A3-861D-095126BB9402}" type="pres">
      <dgm:prSet presAssocID="{D034F6AC-E459-483A-BC18-22A33AE5BDAE}" presName="node" presStyleLbl="node1" presStyleIdx="6" presStyleCnt="7" custScaleX="294597" custScaleY="108744" custRadScaleRad="218890" custRadScaleInc="-58397">
        <dgm:presLayoutVars>
          <dgm:bulletEnabled val="1"/>
        </dgm:presLayoutVars>
      </dgm:prSet>
      <dgm:spPr>
        <a:prstGeom prst="ellipse">
          <a:avLst/>
        </a:prstGeom>
      </dgm:spPr>
      <dgm:t>
        <a:bodyPr/>
        <a:lstStyle/>
        <a:p>
          <a:endParaRPr lang="en-US"/>
        </a:p>
      </dgm:t>
    </dgm:pt>
  </dgm:ptLst>
  <dgm:cxnLst>
    <dgm:cxn modelId="{1FE53AF5-4D8C-4A1A-A04A-F94ABE7B00E1}" type="presOf" srcId="{E2FC291C-D685-4C64-9B85-7318D8496566}" destId="{743B4520-8441-42A0-AFCB-45C212516FFF}" srcOrd="0" destOrd="0" presId="urn:microsoft.com/office/officeart/2005/8/layout/radial1"/>
    <dgm:cxn modelId="{F0335243-BA50-4AE6-92E4-9479810D0A59}" type="presOf" srcId="{70EC699C-58C9-413E-92A6-88F3FF9B1DC9}" destId="{825B4589-2D50-4097-AF2B-6D3BD9DDE0B2}" srcOrd="0" destOrd="0" presId="urn:microsoft.com/office/officeart/2005/8/layout/radial1"/>
    <dgm:cxn modelId="{079F84EE-048B-42DE-AC66-433A06DCE938}" type="presOf" srcId="{8350B580-CEC5-40B7-8EB5-A172D5915A6B}" destId="{7A96B68C-E15D-4E1B-A46C-7E5DE405A90C}" srcOrd="0" destOrd="0" presId="urn:microsoft.com/office/officeart/2005/8/layout/radial1"/>
    <dgm:cxn modelId="{529D05ED-97D5-4116-BE13-DE3D93351F7F}" srcId="{DE541715-C648-404D-8124-F14F463E9202}" destId="{960C5593-E0FF-4AA5-AA0B-E8BDFFBC5E53}" srcOrd="2" destOrd="0" parTransId="{7AF774ED-547E-4C04-8670-B0C1D08C5EE9}" sibTransId="{88F12DF7-015F-4F26-950A-DAE493699644}"/>
    <dgm:cxn modelId="{F9DEA41A-DEE6-47F4-9846-D81DB79AB664}" type="presOf" srcId="{C06C39C9-71B8-489C-9C45-3DD37A424E39}" destId="{0FAF3FA1-8E6C-455E-B189-A468B3F4D8BC}" srcOrd="0" destOrd="0" presId="urn:microsoft.com/office/officeart/2005/8/layout/radial1"/>
    <dgm:cxn modelId="{6AAE285B-2EA6-435D-A02C-76EF7842BF3E}" type="presOf" srcId="{DE541715-C648-404D-8124-F14F463E9202}" destId="{062AF917-2F47-4639-8A23-58AD52EC0F32}"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99853990-80C3-493C-8FAA-DDE67E8D8869}" type="presOf" srcId="{8D95C031-B53C-42FF-A312-F15FA4C9B96F}" destId="{9DCD972B-1513-465A-AD2B-AD5E9EEB7291}" srcOrd="0" destOrd="0" presId="urn:microsoft.com/office/officeart/2005/8/layout/radial1"/>
    <dgm:cxn modelId="{3B619B5B-A636-461C-83C6-A9F1BB40AECD}" type="presOf" srcId="{4693CA52-075F-4BD8-ABEA-5368BE377DDA}" destId="{4AC11394-3179-4EC5-A97F-D1A1B521CE2F}" srcOrd="0" destOrd="0" presId="urn:microsoft.com/office/officeart/2005/8/layout/radial1"/>
    <dgm:cxn modelId="{AD2EB3D2-1381-46CB-80E7-BA9A804B7DD3}" srcId="{DE541715-C648-404D-8124-F14F463E9202}" destId="{0BE60BA9-2025-462F-AA1B-F34616BD63F6}" srcOrd="5" destOrd="0" parTransId="{E6BC16BB-F93A-4745-8B71-07703A9D0891}" sibTransId="{C8DD518E-881E-4111-9EDE-7F061DEDE6FF}"/>
    <dgm:cxn modelId="{B5B7D2CF-8995-4677-A1F8-3CD2577B89CE}" type="presOf" srcId="{8350B580-CEC5-40B7-8EB5-A172D5915A6B}" destId="{55614E8E-7D68-4791-82B7-FD152FE54268}" srcOrd="1" destOrd="0" presId="urn:microsoft.com/office/officeart/2005/8/layout/radial1"/>
    <dgm:cxn modelId="{D703AF35-5325-43C7-ACF7-91383B256F6E}" type="presOf" srcId="{4693CA52-075F-4BD8-ABEA-5368BE377DDA}" destId="{62A1F741-432F-46BE-AE07-15F0B6D5EA89}" srcOrd="1" destOrd="0" presId="urn:microsoft.com/office/officeart/2005/8/layout/radial1"/>
    <dgm:cxn modelId="{EC8260F7-2535-427A-A892-BAB3AEFAC35D}" type="presOf" srcId="{7AF774ED-547E-4C04-8670-B0C1D08C5EE9}" destId="{326412CE-9911-4799-A459-B56F02EB4473}" srcOrd="1" destOrd="0" presId="urn:microsoft.com/office/officeart/2005/8/layout/radial1"/>
    <dgm:cxn modelId="{CED5788C-FE96-44E9-AC7F-C71F96E79452}" type="presOf" srcId="{7AF774ED-547E-4C04-8670-B0C1D08C5EE9}" destId="{5337AE63-3722-42CC-AF72-36670EB7C5E1}" srcOrd="0" destOrd="0" presId="urn:microsoft.com/office/officeart/2005/8/layout/radial1"/>
    <dgm:cxn modelId="{80906810-914C-461A-9040-A5ABE7A0D229}" type="presOf" srcId="{960C5593-E0FF-4AA5-AA0B-E8BDFFBC5E53}" destId="{CED9197C-8322-406B-917C-172FA36E7B76}" srcOrd="0" destOrd="0" presId="urn:microsoft.com/office/officeart/2005/8/layout/radial1"/>
    <dgm:cxn modelId="{C236A086-C598-4AA6-8E0F-1A2F714AB30D}" type="presOf" srcId="{0FABC453-0A5C-4CAE-813B-F0494A34E025}" destId="{ADF94B70-0D7F-4A27-8DF9-17BCD27F4A7A}" srcOrd="0" destOrd="0" presId="urn:microsoft.com/office/officeart/2005/8/layout/radial1"/>
    <dgm:cxn modelId="{A1C8553A-C9ED-44D4-BF8D-B9844332441C}" srcId="{DE541715-C648-404D-8124-F14F463E9202}" destId="{D034F6AC-E459-483A-BC18-22A33AE5BDAE}" srcOrd="6" destOrd="0" parTransId="{E25ACED9-64BE-4FFA-8C93-F38031958FA9}" sibTransId="{9E283739-CFFF-4188-B6AB-05FB0B17A987}"/>
    <dgm:cxn modelId="{248698A6-055B-40E3-B808-D624056EF2B0}" srcId="{DE541715-C648-404D-8124-F14F463E9202}" destId="{C06C39C9-71B8-489C-9C45-3DD37A424E39}" srcOrd="4" destOrd="0" parTransId="{0FABC453-0A5C-4CAE-813B-F0494A34E025}" sibTransId="{DCD34884-F96E-475A-9010-14DE66A403A6}"/>
    <dgm:cxn modelId="{BBE63E41-42A5-4C8B-93F2-532386B84109}" type="presOf" srcId="{E25ACED9-64BE-4FFA-8C93-F38031958FA9}" destId="{E3CB5DB8-2282-45FB-9E5F-A0F7C1267DC9}" srcOrd="0" destOrd="0" presId="urn:microsoft.com/office/officeart/2005/8/layout/radial1"/>
    <dgm:cxn modelId="{02B86E38-CCB6-4D3A-AA7C-D53189F64C90}" type="presOf" srcId="{E6BC16BB-F93A-4745-8B71-07703A9D0891}" destId="{4C755D63-E57A-4826-AD35-228CF0B8702F}" srcOrd="0" destOrd="0" presId="urn:microsoft.com/office/officeart/2005/8/layout/radial1"/>
    <dgm:cxn modelId="{F01CCE84-8188-4FE1-87C8-F5768CAD8898}" type="presOf" srcId="{4631C2C5-1554-4289-90B0-F2D55D1595B6}" destId="{035B4C9A-0916-4FCC-A1CF-85DB358A289A}" srcOrd="0" destOrd="0" presId="urn:microsoft.com/office/officeart/2005/8/layout/radial1"/>
    <dgm:cxn modelId="{65E560A0-8E6A-46BA-B2A4-6AB5D18CA0FB}" type="presOf" srcId="{0BE60BA9-2025-462F-AA1B-F34616BD63F6}" destId="{24E3E7DC-0BA5-48AF-955A-AA52F4F430B1}"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DB613666-54CF-4D7E-982B-E399CC961051}" srcId="{DE541715-C648-404D-8124-F14F463E9202}" destId="{8D95C031-B53C-42FF-A312-F15FA4C9B96F}" srcOrd="1" destOrd="0" parTransId="{8350B580-CEC5-40B7-8EB5-A172D5915A6B}" sibTransId="{F52C44D8-90AA-45A0-B521-998C42893448}"/>
    <dgm:cxn modelId="{0A488BA5-E243-4DFB-96AD-502764B8912C}" type="presOf" srcId="{0FABC453-0A5C-4CAE-813B-F0494A34E025}" destId="{EA4144E0-C5B2-4FC0-BDB2-550B61DB7DFD}" srcOrd="1" destOrd="0" presId="urn:microsoft.com/office/officeart/2005/8/layout/radial1"/>
    <dgm:cxn modelId="{BF65F824-D4F4-4A84-83B4-6B1944B62AAD}" srcId="{DE541715-C648-404D-8124-F14F463E9202}" destId="{4631C2C5-1554-4289-90B0-F2D55D1595B6}" srcOrd="3" destOrd="0" parTransId="{4693CA52-075F-4BD8-ABEA-5368BE377DDA}" sibTransId="{9B3CB24D-A47A-4081-B256-B868D89D5387}"/>
    <dgm:cxn modelId="{13B72ADE-3D81-4A81-8DBD-9BB8DB9BEB0D}" type="presOf" srcId="{E25ACED9-64BE-4FFA-8C93-F38031958FA9}" destId="{737E721F-8678-45AE-8B6B-48BBD5CBAE25}" srcOrd="1" destOrd="0" presId="urn:microsoft.com/office/officeart/2005/8/layout/radial1"/>
    <dgm:cxn modelId="{3A8F8273-0687-430C-A448-161E7DA79A1E}" type="presOf" srcId="{34E6C8D5-8D4F-4714-8A12-8F4599A8E760}" destId="{08F189A1-AB47-41D1-8058-7A6DA66B3F52}" srcOrd="0" destOrd="0" presId="urn:microsoft.com/office/officeart/2005/8/layout/radial1"/>
    <dgm:cxn modelId="{04A9D649-7378-4F04-A931-35246A114585}" type="presOf" srcId="{E2FC291C-D685-4C64-9B85-7318D8496566}" destId="{AB25BD6D-C05F-49D2-AE4A-144CA3C0FC88}" srcOrd="1" destOrd="0" presId="urn:microsoft.com/office/officeart/2005/8/layout/radial1"/>
    <dgm:cxn modelId="{613392EB-8526-4EF9-821E-D1588FEB44E3}" type="presOf" srcId="{D034F6AC-E459-483A-BC18-22A33AE5BDAE}" destId="{2EA04359-081B-43A3-861D-095126BB9402}" srcOrd="0" destOrd="0" presId="urn:microsoft.com/office/officeart/2005/8/layout/radial1"/>
    <dgm:cxn modelId="{3597F8D4-E0D8-45F4-BB48-7FD22AAE79C7}" srcId="{DE541715-C648-404D-8124-F14F463E9202}" destId="{70EC699C-58C9-413E-92A6-88F3FF9B1DC9}" srcOrd="0" destOrd="0" parTransId="{E2FC291C-D685-4C64-9B85-7318D8496566}" sibTransId="{18BDC942-54AA-48C8-9849-2287B2AEC32C}"/>
    <dgm:cxn modelId="{055A6CD0-A9DE-4C40-8643-25B3892B7FD9}" type="presOf" srcId="{E6BC16BB-F93A-4745-8B71-07703A9D0891}" destId="{7ABA132F-4D21-4791-9A9A-84D258152BDE}" srcOrd="1" destOrd="0" presId="urn:microsoft.com/office/officeart/2005/8/layout/radial1"/>
    <dgm:cxn modelId="{0819CA27-79F1-4092-863C-868C927B16D9}" type="presParOf" srcId="{08F189A1-AB47-41D1-8058-7A6DA66B3F52}" destId="{062AF917-2F47-4639-8A23-58AD52EC0F32}" srcOrd="0" destOrd="0" presId="urn:microsoft.com/office/officeart/2005/8/layout/radial1"/>
    <dgm:cxn modelId="{59F47990-2944-49D1-9141-6646989582CD}" type="presParOf" srcId="{08F189A1-AB47-41D1-8058-7A6DA66B3F52}" destId="{743B4520-8441-42A0-AFCB-45C212516FFF}" srcOrd="1" destOrd="0" presId="urn:microsoft.com/office/officeart/2005/8/layout/radial1"/>
    <dgm:cxn modelId="{68DB5C3C-3C0F-45C9-8A8C-DBB44552A3DA}" type="presParOf" srcId="{743B4520-8441-42A0-AFCB-45C212516FFF}" destId="{AB25BD6D-C05F-49D2-AE4A-144CA3C0FC88}" srcOrd="0" destOrd="0" presId="urn:microsoft.com/office/officeart/2005/8/layout/radial1"/>
    <dgm:cxn modelId="{326181BD-0F06-45B8-8B32-D12DE5CCA548}" type="presParOf" srcId="{08F189A1-AB47-41D1-8058-7A6DA66B3F52}" destId="{825B4589-2D50-4097-AF2B-6D3BD9DDE0B2}" srcOrd="2" destOrd="0" presId="urn:microsoft.com/office/officeart/2005/8/layout/radial1"/>
    <dgm:cxn modelId="{930305A4-6349-45F7-A42B-42D5359BE277}" type="presParOf" srcId="{08F189A1-AB47-41D1-8058-7A6DA66B3F52}" destId="{7A96B68C-E15D-4E1B-A46C-7E5DE405A90C}" srcOrd="3" destOrd="0" presId="urn:microsoft.com/office/officeart/2005/8/layout/radial1"/>
    <dgm:cxn modelId="{A902CA26-A46E-463E-A8DC-929E62A58FE5}" type="presParOf" srcId="{7A96B68C-E15D-4E1B-A46C-7E5DE405A90C}" destId="{55614E8E-7D68-4791-82B7-FD152FE54268}" srcOrd="0" destOrd="0" presId="urn:microsoft.com/office/officeart/2005/8/layout/radial1"/>
    <dgm:cxn modelId="{3F6436D4-B031-400B-9791-38C80F0A06ED}" type="presParOf" srcId="{08F189A1-AB47-41D1-8058-7A6DA66B3F52}" destId="{9DCD972B-1513-465A-AD2B-AD5E9EEB7291}" srcOrd="4" destOrd="0" presId="urn:microsoft.com/office/officeart/2005/8/layout/radial1"/>
    <dgm:cxn modelId="{4472232A-BB9F-4ECB-9637-F5927BC6DB8F}" type="presParOf" srcId="{08F189A1-AB47-41D1-8058-7A6DA66B3F52}" destId="{5337AE63-3722-42CC-AF72-36670EB7C5E1}" srcOrd="5" destOrd="0" presId="urn:microsoft.com/office/officeart/2005/8/layout/radial1"/>
    <dgm:cxn modelId="{3994ACCC-8D80-400D-9B24-C68BF688404B}" type="presParOf" srcId="{5337AE63-3722-42CC-AF72-36670EB7C5E1}" destId="{326412CE-9911-4799-A459-B56F02EB4473}" srcOrd="0" destOrd="0" presId="urn:microsoft.com/office/officeart/2005/8/layout/radial1"/>
    <dgm:cxn modelId="{301A9F49-64D1-4664-9747-49F14FE951F9}" type="presParOf" srcId="{08F189A1-AB47-41D1-8058-7A6DA66B3F52}" destId="{CED9197C-8322-406B-917C-172FA36E7B76}" srcOrd="6" destOrd="0" presId="urn:microsoft.com/office/officeart/2005/8/layout/radial1"/>
    <dgm:cxn modelId="{CC50478B-8F9F-42C0-BB01-8767428339DA}" type="presParOf" srcId="{08F189A1-AB47-41D1-8058-7A6DA66B3F52}" destId="{4AC11394-3179-4EC5-A97F-D1A1B521CE2F}" srcOrd="7" destOrd="0" presId="urn:microsoft.com/office/officeart/2005/8/layout/radial1"/>
    <dgm:cxn modelId="{48A4CA3C-63D2-4B79-98ED-35A51C57D20D}" type="presParOf" srcId="{4AC11394-3179-4EC5-A97F-D1A1B521CE2F}" destId="{62A1F741-432F-46BE-AE07-15F0B6D5EA89}" srcOrd="0" destOrd="0" presId="urn:microsoft.com/office/officeart/2005/8/layout/radial1"/>
    <dgm:cxn modelId="{AC34C5AB-7728-4846-BE7B-838BD212E111}" type="presParOf" srcId="{08F189A1-AB47-41D1-8058-7A6DA66B3F52}" destId="{035B4C9A-0916-4FCC-A1CF-85DB358A289A}" srcOrd="8" destOrd="0" presId="urn:microsoft.com/office/officeart/2005/8/layout/radial1"/>
    <dgm:cxn modelId="{A43EA0E6-FE89-408C-B5B7-F71CBB2B7938}" type="presParOf" srcId="{08F189A1-AB47-41D1-8058-7A6DA66B3F52}" destId="{ADF94B70-0D7F-4A27-8DF9-17BCD27F4A7A}" srcOrd="9" destOrd="0" presId="urn:microsoft.com/office/officeart/2005/8/layout/radial1"/>
    <dgm:cxn modelId="{093B20C1-95FF-4863-9AF5-835574B1C161}" type="presParOf" srcId="{ADF94B70-0D7F-4A27-8DF9-17BCD27F4A7A}" destId="{EA4144E0-C5B2-4FC0-BDB2-550B61DB7DFD}" srcOrd="0" destOrd="0" presId="urn:microsoft.com/office/officeart/2005/8/layout/radial1"/>
    <dgm:cxn modelId="{9758A64F-3104-435D-BCA5-172CA7C5A8DD}" type="presParOf" srcId="{08F189A1-AB47-41D1-8058-7A6DA66B3F52}" destId="{0FAF3FA1-8E6C-455E-B189-A468B3F4D8BC}" srcOrd="10" destOrd="0" presId="urn:microsoft.com/office/officeart/2005/8/layout/radial1"/>
    <dgm:cxn modelId="{5ABBEFFE-F90F-4041-9509-992BEEC378B2}" type="presParOf" srcId="{08F189A1-AB47-41D1-8058-7A6DA66B3F52}" destId="{4C755D63-E57A-4826-AD35-228CF0B8702F}" srcOrd="11" destOrd="0" presId="urn:microsoft.com/office/officeart/2005/8/layout/radial1"/>
    <dgm:cxn modelId="{F29704E3-2EDF-43E2-8F02-0303676EB8BD}" type="presParOf" srcId="{4C755D63-E57A-4826-AD35-228CF0B8702F}" destId="{7ABA132F-4D21-4791-9A9A-84D258152BDE}" srcOrd="0" destOrd="0" presId="urn:microsoft.com/office/officeart/2005/8/layout/radial1"/>
    <dgm:cxn modelId="{CDD9F274-910F-4578-9318-E4E6010D488E}" type="presParOf" srcId="{08F189A1-AB47-41D1-8058-7A6DA66B3F52}" destId="{24E3E7DC-0BA5-48AF-955A-AA52F4F430B1}" srcOrd="12" destOrd="0" presId="urn:microsoft.com/office/officeart/2005/8/layout/radial1"/>
    <dgm:cxn modelId="{26C8DCE2-43F4-4700-866F-F60153ABC10B}" type="presParOf" srcId="{08F189A1-AB47-41D1-8058-7A6DA66B3F52}" destId="{E3CB5DB8-2282-45FB-9E5F-A0F7C1267DC9}" srcOrd="13" destOrd="0" presId="urn:microsoft.com/office/officeart/2005/8/layout/radial1"/>
    <dgm:cxn modelId="{A6F3F8F7-6C68-4BD8-8481-741A04BF2C4B}" type="presParOf" srcId="{E3CB5DB8-2282-45FB-9E5F-A0F7C1267DC9}" destId="{737E721F-8678-45AE-8B6B-48BBD5CBAE25}" srcOrd="0" destOrd="0" presId="urn:microsoft.com/office/officeart/2005/8/layout/radial1"/>
    <dgm:cxn modelId="{CBB68347-6CC8-4014-BA46-D12F48B0ACE0}" type="presParOf" srcId="{08F189A1-AB47-41D1-8058-7A6DA66B3F52}" destId="{2EA04359-081B-43A3-861D-095126BB9402}" srcOrd="14" destOrd="0" presId="urn:microsoft.com/office/officeart/2005/8/layout/radial1"/>
  </dgm:cxnLst>
  <dgm:bg/>
  <dgm:whole/>
  <dgm:extLst>
    <a:ext uri="http://schemas.microsoft.com/office/drawing/2008/diagram">
      <dsp:dataModelExt xmlns:dsp="http://schemas.microsoft.com/office/drawing/2008/diagram" relId="rId138" minVer="http://schemas.openxmlformats.org/drawingml/2006/diagram"/>
    </a:ext>
    <a:ext uri="{C62137D5-CB1D-491B-B009-E17868A290BF}">
      <dgm14:recolorImg xmlns:dgm14="http://schemas.microsoft.com/office/drawing/2010/diagram" val="1"/>
    </a:ext>
  </dgm:extLst>
</dgm:dataModel>
</file>

<file path=word/diagrams/data16.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436956" y="928028"/>
          <a:ext cx="1163496" cy="4861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14</a:t>
          </a:r>
        </a:p>
      </dgm:t>
    </dgm:pt>
    <dgm:pt modelId="{474A81AD-BFE3-4D32-9342-2C25E06E5B46}" type="parTrans" cxnId="{0872B5C3-971C-4397-94C1-FDC0412A9ADC}">
      <dgm:prSet/>
      <dgm:spPr/>
      <dgm:t>
        <a:bodyPr/>
        <a:lstStyle/>
        <a:p>
          <a:endParaRPr lang="en-US"/>
        </a:p>
      </dgm:t>
    </dgm:pt>
    <dgm:pt modelId="{28FB44EF-A1AD-4FBB-B0D1-E98EB36FC510}" type="sibTrans" cxnId="{0872B5C3-971C-4397-94C1-FDC0412A9ADC}">
      <dgm:prSet/>
      <dgm:spPr/>
      <dgm:t>
        <a:bodyPr/>
        <a:lstStyle/>
        <a:p>
          <a:endParaRPr lang="en-US"/>
        </a:p>
      </dgm:t>
    </dgm:pt>
    <dgm:pt modelId="{2EF75B39-F486-43BE-8B27-294595126005}">
      <dgm:prSet phldrT="[Text]" custT="1"/>
      <dgm:spPr>
        <a:xfrm>
          <a:off x="2461162" y="10017"/>
          <a:ext cx="1126909" cy="533024"/>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spcAft>
              <a:spcPts val="0"/>
            </a:spcAft>
          </a:pP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pPr>
            <a:spcAft>
              <a:spcPct val="35000"/>
            </a:spcAft>
          </a:pP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gm:t>
    </dgm:pt>
    <dgm:pt modelId="{66F0DCEC-2B26-4038-AF1F-D0A98A0F7930}" type="parTrans" cxnId="{D0987D88-807B-4994-94E2-80A6C1D9AE52}">
      <dgm:prSet/>
      <dgm:spPr>
        <a:xfrm rot="16222721">
          <a:off x="2829084" y="727032"/>
          <a:ext cx="384996" cy="1700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29EC13D-3B1F-4904-8025-5B38BEEF3183}" type="sibTrans" cxnId="{D0987D88-807B-4994-94E2-80A6C1D9AE52}">
      <dgm:prSet/>
      <dgm:spPr/>
      <dgm:t>
        <a:bodyPr/>
        <a:lstStyle/>
        <a:p>
          <a:endParaRPr lang="en-US"/>
        </a:p>
      </dgm:t>
    </dgm:pt>
    <dgm:pt modelId="{4761FE57-664D-44AD-8EF1-E6096D64297F}">
      <dgm:prSet phldrT="[Text]" custT="1"/>
      <dgm:spPr>
        <a:xfrm>
          <a:off x="3842803" y="396965"/>
          <a:ext cx="1095195" cy="48383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r>
            <a:rPr lang="es-ES_tradnl" sz="900">
              <a:latin typeface="Arial" panose="020B0604020202020204" pitchFamily="34" charset="0"/>
              <a:cs typeface="Arial" panose="020B0604020202020204" pitchFamily="34" charset="0"/>
            </a:rPr>
            <a:t>Países T/D</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F6DE2413-45CD-453B-A258-F22A53BBB241}" type="parTrans" cxnId="{A5666C79-BF01-4153-AB0A-BB16CAE1F135}">
      <dgm:prSet/>
      <dgm:spPr>
        <a:xfrm rot="20327628">
          <a:off x="3425607" y="893608"/>
          <a:ext cx="572741" cy="1700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88511AC-ECAB-47A8-A0B0-D7AAFEE02A39}" type="sibTrans" cxnId="{A5666C79-BF01-4153-AB0A-BB16CAE1F135}">
      <dgm:prSet/>
      <dgm:spPr/>
      <dgm:t>
        <a:bodyPr/>
        <a:lstStyle/>
        <a:p>
          <a:endParaRPr lang="en-US"/>
        </a:p>
      </dgm:t>
    </dgm:pt>
    <dgm:pt modelId="{576E161B-59E2-4177-8320-584EBC426979}">
      <dgm:prSet phldrT="[Text]" custT="1"/>
      <dgm:spPr>
        <a:xfrm>
          <a:off x="86786" y="886842"/>
          <a:ext cx="1157634" cy="586562"/>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spcAft>
              <a:spcPts val="0"/>
            </a:spcAft>
          </a:pP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13</a:t>
          </a:r>
        </a:p>
        <a:p>
          <a:pPr>
            <a:spcAft>
              <a:spcPct val="35000"/>
            </a:spcAft>
          </a:pP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Bases mundiales de datos</a:t>
          </a:r>
        </a:p>
      </dgm:t>
    </dgm:pt>
    <dgm:pt modelId="{52A69187-F965-4704-9C1A-29B2281F912F}" type="parTrans" cxnId="{BA0B21AC-350F-4DDA-A443-58447D95EEF1}">
      <dgm:prSet/>
      <dgm:spPr>
        <a:xfrm rot="10786818">
          <a:off x="1244400" y="1167115"/>
          <a:ext cx="1192585" cy="1700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9F92651-5262-450E-9258-F1F8976476A8}" type="sibTrans" cxnId="{BA0B21AC-350F-4DDA-A443-58447D95EEF1}">
      <dgm:prSet/>
      <dgm:spPr/>
      <dgm:t>
        <a:bodyPr/>
        <a:lstStyle/>
        <a:p>
          <a:endParaRPr lang="en-US"/>
        </a:p>
      </dgm:t>
    </dgm:pt>
    <dgm:pt modelId="{CEEBDBB9-7602-49B1-BBEB-80C6D1238598}">
      <dgm:prSet phldrT="[Text]" custT="1"/>
      <dgm:spPr>
        <a:xfrm>
          <a:off x="971210" y="327875"/>
          <a:ext cx="1299827" cy="511715"/>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spcAft>
              <a:spcPts val="0"/>
            </a:spcAft>
          </a:pP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15 </a:t>
          </a:r>
        </a:p>
        <a:p>
          <a:pPr>
            <a:spcAft>
              <a:spcPct val="35000"/>
            </a:spcAft>
          </a:pPr>
          <a:r>
            <a:rPr lang="en-US" sz="900">
              <a:solidFill>
                <a:sysClr val="windowText" lastClr="000000"/>
              </a:solidFill>
              <a:latin typeface="Arial" panose="020B0604020202020204" pitchFamily="34" charset="0"/>
              <a:ea typeface="+mn-ea"/>
              <a:cs typeface="Arial" panose="020B0604020202020204" pitchFamily="34" charset="0"/>
            </a:rPr>
            <a:t>Soluciones operativas para las oficinas de P.I</a:t>
          </a:r>
        </a:p>
      </dgm:t>
    </dgm:pt>
    <dgm:pt modelId="{D6278D4F-93AB-42D0-B837-2B99BC1EE808}" type="parTrans" cxnId="{D4C1BC69-C745-405B-9248-C6E8862DD509}">
      <dgm:prSet/>
      <dgm:spPr>
        <a:xfrm rot="12167746">
          <a:off x="2042422" y="876090"/>
          <a:ext cx="589133" cy="1700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F7B98CE-94D6-4D7D-8314-AFA01590058A}" type="sibTrans" cxnId="{D4C1BC69-C745-405B-9248-C6E8862DD509}">
      <dgm:prSet/>
      <dgm:spPr/>
      <dgm:t>
        <a:bodyPr/>
        <a:lstStyle/>
        <a:p>
          <a:endParaRPr lang="en-US"/>
        </a:p>
      </dgm:t>
    </dgm:pt>
    <dgm:pt modelId="{21293A80-0F61-406E-BFCA-C5725BC3581F}">
      <dgm:prSet phldrT="[Text]" custT="1"/>
      <dgm:spPr>
        <a:xfrm>
          <a:off x="4699105" y="911064"/>
          <a:ext cx="1244492" cy="509924"/>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spcAft>
              <a:spcPts val="0"/>
            </a:spcAft>
          </a:pP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a:t>
          </a:r>
        </a:p>
        <a:p>
          <a:pPr>
            <a:spcAft>
              <a:spcPct val="35000"/>
            </a:spcAft>
          </a:pP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a:t>
          </a:r>
        </a:p>
      </dgm:t>
    </dgm:pt>
    <dgm:pt modelId="{93D773F4-8F00-40EC-A451-C5A5ADE485BC}" type="parTrans" cxnId="{BD8D6ADE-EC44-459F-BA83-8828A6DCC5C3}">
      <dgm:prSet/>
      <dgm:spPr>
        <a:xfrm rot="21592425">
          <a:off x="3600443" y="1160105"/>
          <a:ext cx="1098672" cy="1700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57D66A3-5C96-41AD-A09B-F6DC2C7DFB10}" type="sibTrans" cxnId="{BD8D6ADE-EC44-459F-BA83-8828A6DCC5C3}">
      <dgm:prSet/>
      <dgm:spPr/>
      <dgm:t>
        <a:bodyPr/>
        <a:lstStyle/>
        <a:p>
          <a:endParaRPr lang="en-US"/>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237380" custScaleY="86580" custLinFactNeighborX="-291" custLinFactNeighborY="11301"/>
      <dgm:spPr>
        <a:prstGeom prst="ellipse">
          <a:avLst/>
        </a:prstGeom>
      </dgm:spPr>
      <dgm:t>
        <a:bodyPr/>
        <a:lstStyle/>
        <a:p>
          <a:endParaRPr lang="en-US"/>
        </a:p>
      </dgm:t>
    </dgm:pt>
    <dgm:pt modelId="{650854B0-9FE7-4FFD-96B2-18F6452E0859}" type="pres">
      <dgm:prSet presAssocID="{66F0DCEC-2B26-4038-AF1F-D0A98A0F7930}" presName="Name9" presStyleLbl="parChTrans1D2" presStyleIdx="0" presStyleCnt="5"/>
      <dgm:spPr>
        <a:custGeom>
          <a:avLst/>
          <a:gdLst/>
          <a:ahLst/>
          <a:cxnLst/>
          <a:rect l="0" t="0" r="0" b="0"/>
          <a:pathLst>
            <a:path>
              <a:moveTo>
                <a:pt x="0" y="8502"/>
              </a:moveTo>
              <a:lnTo>
                <a:pt x="401655" y="8502"/>
              </a:lnTo>
            </a:path>
          </a:pathLst>
        </a:custGeom>
      </dgm:spPr>
      <dgm:t>
        <a:bodyPr/>
        <a:lstStyle/>
        <a:p>
          <a:endParaRPr lang="en-US"/>
        </a:p>
      </dgm:t>
    </dgm:pt>
    <dgm:pt modelId="{7FE108B5-F558-4942-A9EC-465F3C2E5813}" type="pres">
      <dgm:prSet presAssocID="{66F0DCEC-2B26-4038-AF1F-D0A98A0F7930}" presName="connTx" presStyleLbl="parChTrans1D2" presStyleIdx="0" presStyleCnt="5"/>
      <dgm:spPr/>
      <dgm:t>
        <a:bodyPr/>
        <a:lstStyle/>
        <a:p>
          <a:endParaRPr lang="en-US"/>
        </a:p>
      </dgm:t>
    </dgm:pt>
    <dgm:pt modelId="{6394B413-6D12-4C4F-9A8D-E0508CAE8617}" type="pres">
      <dgm:prSet presAssocID="{2EF75B39-F486-43BE-8B27-294595126005}" presName="node" presStyleLbl="node1" presStyleIdx="0" presStyleCnt="5" custScaleX="235023" custScaleY="103606" custRadScaleRad="99803" custRadScaleInc="362">
        <dgm:presLayoutVars>
          <dgm:bulletEnabled val="1"/>
        </dgm:presLayoutVars>
      </dgm:prSet>
      <dgm:spPr>
        <a:prstGeom prst="ellipse">
          <a:avLst/>
        </a:prstGeom>
      </dgm:spPr>
      <dgm:t>
        <a:bodyPr/>
        <a:lstStyle/>
        <a:p>
          <a:endParaRPr lang="en-US"/>
        </a:p>
      </dgm:t>
    </dgm:pt>
    <dgm:pt modelId="{DEF09AAB-E09E-4486-8914-E37D47E60824}" type="pres">
      <dgm:prSet presAssocID="{F6DE2413-45CD-453B-A258-F22A53BBB241}" presName="Name9" presStyleLbl="parChTrans1D2" presStyleIdx="1" presStyleCnt="5"/>
      <dgm:spPr>
        <a:custGeom>
          <a:avLst/>
          <a:gdLst/>
          <a:ahLst/>
          <a:cxnLst/>
          <a:rect l="0" t="0" r="0" b="0"/>
          <a:pathLst>
            <a:path>
              <a:moveTo>
                <a:pt x="0" y="8502"/>
              </a:moveTo>
              <a:lnTo>
                <a:pt x="611519" y="8502"/>
              </a:lnTo>
            </a:path>
          </a:pathLst>
        </a:custGeom>
      </dgm:spPr>
      <dgm:t>
        <a:bodyPr/>
        <a:lstStyle/>
        <a:p>
          <a:endParaRPr lang="en-US"/>
        </a:p>
      </dgm:t>
    </dgm:pt>
    <dgm:pt modelId="{B0514361-30D3-4311-BC21-0743B7F01673}" type="pres">
      <dgm:prSet presAssocID="{F6DE2413-45CD-453B-A258-F22A53BBB241}" presName="connTx" presStyleLbl="parChTrans1D2" presStyleIdx="1" presStyleCnt="5"/>
      <dgm:spPr/>
      <dgm:t>
        <a:bodyPr/>
        <a:lstStyle/>
        <a:p>
          <a:endParaRPr lang="en-US"/>
        </a:p>
      </dgm:t>
    </dgm:pt>
    <dgm:pt modelId="{2ED32773-10C9-4671-A0BF-4C0DAB40AE25}" type="pres">
      <dgm:prSet presAssocID="{4761FE57-664D-44AD-8EF1-E6096D64297F}" presName="node" presStyleLbl="node1" presStyleIdx="1" presStyleCnt="5" custScaleX="195049" custScaleY="86169" custRadScaleRad="193731" custRadScaleInc="8265">
        <dgm:presLayoutVars>
          <dgm:bulletEnabled val="1"/>
        </dgm:presLayoutVars>
      </dgm:prSet>
      <dgm:spPr>
        <a:prstGeom prst="ellipse">
          <a:avLst/>
        </a:prstGeom>
      </dgm:spPr>
      <dgm:t>
        <a:bodyPr/>
        <a:lstStyle/>
        <a:p>
          <a:endParaRPr lang="en-US"/>
        </a:p>
      </dgm:t>
    </dgm:pt>
    <dgm:pt modelId="{6A5F15CA-77E2-4C48-8498-A7C7D3C4428C}" type="pres">
      <dgm:prSet presAssocID="{93D773F4-8F00-40EC-A451-C5A5ADE485BC}" presName="Name9" presStyleLbl="parChTrans1D2" presStyleIdx="2" presStyleCnt="5"/>
      <dgm:spPr>
        <a:custGeom>
          <a:avLst/>
          <a:gdLst/>
          <a:ahLst/>
          <a:cxnLst/>
          <a:rect l="0" t="0" r="0" b="0"/>
          <a:pathLst>
            <a:path>
              <a:moveTo>
                <a:pt x="0" y="8502"/>
              </a:moveTo>
              <a:lnTo>
                <a:pt x="1178174" y="8502"/>
              </a:lnTo>
            </a:path>
          </a:pathLst>
        </a:custGeom>
      </dgm:spPr>
      <dgm:t>
        <a:bodyPr/>
        <a:lstStyle/>
        <a:p>
          <a:endParaRPr lang="en-US"/>
        </a:p>
      </dgm:t>
    </dgm:pt>
    <dgm:pt modelId="{F87499B4-AA7B-416D-9B28-377D046017EC}" type="pres">
      <dgm:prSet presAssocID="{93D773F4-8F00-40EC-A451-C5A5ADE485BC}" presName="connTx" presStyleLbl="parChTrans1D2" presStyleIdx="2" presStyleCnt="5"/>
      <dgm:spPr/>
      <dgm:t>
        <a:bodyPr/>
        <a:lstStyle/>
        <a:p>
          <a:endParaRPr lang="en-US"/>
        </a:p>
      </dgm:t>
    </dgm:pt>
    <dgm:pt modelId="{638FE4E5-2063-40D0-A44F-91C88716CF8C}" type="pres">
      <dgm:prSet presAssocID="{21293A80-0F61-406E-BFCA-C5725BC3581F}" presName="node" presStyleLbl="node1" presStyleIdx="2" presStyleCnt="5" custScaleX="221638" custScaleY="90815" custRadScaleRad="315253" custRadScaleInc="-138931">
        <dgm:presLayoutVars>
          <dgm:bulletEnabled val="1"/>
        </dgm:presLayoutVars>
      </dgm:prSet>
      <dgm:spPr>
        <a:prstGeom prst="ellipse">
          <a:avLst/>
        </a:prstGeom>
      </dgm:spPr>
      <dgm:t>
        <a:bodyPr/>
        <a:lstStyle/>
        <a:p>
          <a:endParaRPr lang="en-US"/>
        </a:p>
      </dgm:t>
    </dgm:pt>
    <dgm:pt modelId="{EAF47FDD-7D57-4FF6-9F6B-6E604D2CC0DE}" type="pres">
      <dgm:prSet presAssocID="{52A69187-F965-4704-9C1A-29B2281F912F}" presName="Name9" presStyleLbl="parChTrans1D2" presStyleIdx="3" presStyleCnt="5"/>
      <dgm:spPr>
        <a:custGeom>
          <a:avLst/>
          <a:gdLst/>
          <a:ahLst/>
          <a:cxnLst/>
          <a:rect l="0" t="0" r="0" b="0"/>
          <a:pathLst>
            <a:path>
              <a:moveTo>
                <a:pt x="0" y="8502"/>
              </a:moveTo>
              <a:lnTo>
                <a:pt x="1276148" y="8502"/>
              </a:lnTo>
            </a:path>
          </a:pathLst>
        </a:custGeom>
      </dgm:spPr>
      <dgm:t>
        <a:bodyPr/>
        <a:lstStyle/>
        <a:p>
          <a:endParaRPr lang="en-US"/>
        </a:p>
      </dgm:t>
    </dgm:pt>
    <dgm:pt modelId="{E01163DA-75CF-4C32-B81E-41BBCCC937B3}" type="pres">
      <dgm:prSet presAssocID="{52A69187-F965-4704-9C1A-29B2281F912F}" presName="connTx" presStyleLbl="parChTrans1D2" presStyleIdx="3" presStyleCnt="5"/>
      <dgm:spPr/>
      <dgm:t>
        <a:bodyPr/>
        <a:lstStyle/>
        <a:p>
          <a:endParaRPr lang="en-US"/>
        </a:p>
      </dgm:t>
    </dgm:pt>
    <dgm:pt modelId="{F74F2681-A109-4B75-8C08-B2B26769CF03}" type="pres">
      <dgm:prSet presAssocID="{576E161B-59E2-4177-8320-584EBC426979}" presName="node" presStyleLbl="node1" presStyleIdx="3" presStyleCnt="5" custScaleX="218713" custScaleY="117851" custRadScaleRad="323438" custRadScaleInc="138260">
        <dgm:presLayoutVars>
          <dgm:bulletEnabled val="1"/>
        </dgm:presLayoutVars>
      </dgm:prSet>
      <dgm:spPr>
        <a:prstGeom prst="ellipse">
          <a:avLst/>
        </a:prstGeom>
      </dgm:spPr>
      <dgm:t>
        <a:bodyPr/>
        <a:lstStyle/>
        <a:p>
          <a:endParaRPr lang="en-US"/>
        </a:p>
      </dgm:t>
    </dgm:pt>
    <dgm:pt modelId="{AC7E3352-64BC-4978-9AB6-2DD833483239}" type="pres">
      <dgm:prSet presAssocID="{D6278D4F-93AB-42D0-B837-2B99BC1EE808}" presName="Name9" presStyleLbl="parChTrans1D2" presStyleIdx="4" presStyleCnt="5"/>
      <dgm:spPr>
        <a:custGeom>
          <a:avLst/>
          <a:gdLst/>
          <a:ahLst/>
          <a:cxnLst/>
          <a:rect l="0" t="0" r="0" b="0"/>
          <a:pathLst>
            <a:path>
              <a:moveTo>
                <a:pt x="0" y="8502"/>
              </a:moveTo>
              <a:lnTo>
                <a:pt x="766822" y="8502"/>
              </a:lnTo>
            </a:path>
          </a:pathLst>
        </a:custGeom>
      </dgm:spPr>
      <dgm:t>
        <a:bodyPr/>
        <a:lstStyle/>
        <a:p>
          <a:endParaRPr lang="en-US"/>
        </a:p>
      </dgm:t>
    </dgm:pt>
    <dgm:pt modelId="{C620A703-6BE9-4C0F-B737-266F7434DAB4}" type="pres">
      <dgm:prSet presAssocID="{D6278D4F-93AB-42D0-B837-2B99BC1EE808}" presName="connTx" presStyleLbl="parChTrans1D2" presStyleIdx="4" presStyleCnt="5"/>
      <dgm:spPr/>
      <dgm:t>
        <a:bodyPr/>
        <a:lstStyle/>
        <a:p>
          <a:endParaRPr lang="en-US"/>
        </a:p>
      </dgm:t>
    </dgm:pt>
    <dgm:pt modelId="{05C48364-E63B-4056-87CF-0BE50D74190B}" type="pres">
      <dgm:prSet presAssocID="{CEEBDBB9-7602-49B1-BBEB-80C6D1238598}" presName="node" presStyleLbl="node1" presStyleIdx="4" presStyleCnt="5" custScaleX="249467" custScaleY="106391" custRadScaleRad="200324" custRadScaleInc="-3443">
        <dgm:presLayoutVars>
          <dgm:bulletEnabled val="1"/>
        </dgm:presLayoutVars>
      </dgm:prSet>
      <dgm:spPr>
        <a:prstGeom prst="ellipse">
          <a:avLst/>
        </a:prstGeom>
      </dgm:spPr>
      <dgm:t>
        <a:bodyPr/>
        <a:lstStyle/>
        <a:p>
          <a:endParaRPr lang="en-US"/>
        </a:p>
      </dgm:t>
    </dgm:pt>
  </dgm:ptLst>
  <dgm:cxnLst>
    <dgm:cxn modelId="{F84568D2-F29F-4F71-9494-A61303162FDE}" type="presOf" srcId="{60F584FC-F7FF-4FD7-86E3-8773293C0460}" destId="{3C7CADF7-0742-432E-9EEF-EA9C347A7661}" srcOrd="0" destOrd="0" presId="urn:microsoft.com/office/officeart/2005/8/layout/radial1"/>
    <dgm:cxn modelId="{BD8D6ADE-EC44-459F-BA83-8828A6DCC5C3}" srcId="{60F584FC-F7FF-4FD7-86E3-8773293C0460}" destId="{21293A80-0F61-406E-BFCA-C5725BC3581F}" srcOrd="2" destOrd="0" parTransId="{93D773F4-8F00-40EC-A451-C5A5ADE485BC}" sibTransId="{257D66A3-5C96-41AD-A09B-F6DC2C7DFB10}"/>
    <dgm:cxn modelId="{924403CA-3F31-475B-99A8-246BB656A3B8}" type="presOf" srcId="{F6DE2413-45CD-453B-A258-F22A53BBB241}" destId="{B0514361-30D3-4311-BC21-0743B7F01673}" srcOrd="1" destOrd="0" presId="urn:microsoft.com/office/officeart/2005/8/layout/radial1"/>
    <dgm:cxn modelId="{FE68AC30-64A8-4CF9-AE34-B87B0C0AC0CE}" type="presOf" srcId="{D6278D4F-93AB-42D0-B837-2B99BC1EE808}" destId="{AC7E3352-64BC-4978-9AB6-2DD833483239}" srcOrd="0" destOrd="0" presId="urn:microsoft.com/office/officeart/2005/8/layout/radial1"/>
    <dgm:cxn modelId="{A5666C79-BF01-4153-AB0A-BB16CAE1F135}" srcId="{60F584FC-F7FF-4FD7-86E3-8773293C0460}" destId="{4761FE57-664D-44AD-8EF1-E6096D64297F}" srcOrd="1" destOrd="0" parTransId="{F6DE2413-45CD-453B-A258-F22A53BBB241}" sibTransId="{288511AC-ECAB-47A8-A0B0-D7AAFEE02A39}"/>
    <dgm:cxn modelId="{BA0B21AC-350F-4DDA-A443-58447D95EEF1}" srcId="{60F584FC-F7FF-4FD7-86E3-8773293C0460}" destId="{576E161B-59E2-4177-8320-584EBC426979}" srcOrd="3" destOrd="0" parTransId="{52A69187-F965-4704-9C1A-29B2281F912F}" sibTransId="{E9F92651-5262-450E-9258-F1F8976476A8}"/>
    <dgm:cxn modelId="{665CDA84-7AEE-485D-9FA4-C3A667C63C11}" type="presOf" srcId="{66F0DCEC-2B26-4038-AF1F-D0A98A0F7930}" destId="{650854B0-9FE7-4FFD-96B2-18F6452E0859}" srcOrd="0" destOrd="0" presId="urn:microsoft.com/office/officeart/2005/8/layout/radial1"/>
    <dgm:cxn modelId="{D745B4EC-5790-4203-9F58-A8F054CD6151}" type="presOf" srcId="{2EF75B39-F486-43BE-8B27-294595126005}" destId="{6394B413-6D12-4C4F-9A8D-E0508CAE8617}" srcOrd="0" destOrd="0" presId="urn:microsoft.com/office/officeart/2005/8/layout/radial1"/>
    <dgm:cxn modelId="{7D031B22-A743-4C2F-A8DC-722D9D31BF40}" type="presOf" srcId="{93D773F4-8F00-40EC-A451-C5A5ADE485BC}" destId="{6A5F15CA-77E2-4C48-8498-A7C7D3C4428C}" srcOrd="0" destOrd="0" presId="urn:microsoft.com/office/officeart/2005/8/layout/radial1"/>
    <dgm:cxn modelId="{D0987D88-807B-4994-94E2-80A6C1D9AE52}" srcId="{60F584FC-F7FF-4FD7-86E3-8773293C0460}" destId="{2EF75B39-F486-43BE-8B27-294595126005}" srcOrd="0" destOrd="0" parTransId="{66F0DCEC-2B26-4038-AF1F-D0A98A0F7930}" sibTransId="{A29EC13D-3B1F-4904-8025-5B38BEEF3183}"/>
    <dgm:cxn modelId="{0872B5C3-971C-4397-94C1-FDC0412A9ADC}" srcId="{3E4183EF-B989-4620-A02C-D54686D6628F}" destId="{60F584FC-F7FF-4FD7-86E3-8773293C0460}" srcOrd="0" destOrd="0" parTransId="{474A81AD-BFE3-4D32-9342-2C25E06E5B46}" sibTransId="{28FB44EF-A1AD-4FBB-B0D1-E98EB36FC510}"/>
    <dgm:cxn modelId="{3505C4E7-086E-44C4-B579-1376CA4F8558}" type="presOf" srcId="{3E4183EF-B989-4620-A02C-D54686D6628F}" destId="{4FC73BDC-CE2C-45F4-85CD-F387963DA006}" srcOrd="0" destOrd="0" presId="urn:microsoft.com/office/officeart/2005/8/layout/radial1"/>
    <dgm:cxn modelId="{35025D21-ECAA-468B-931F-0BE82648D1A3}" type="presOf" srcId="{52A69187-F965-4704-9C1A-29B2281F912F}" destId="{E01163DA-75CF-4C32-B81E-41BBCCC937B3}" srcOrd="1" destOrd="0" presId="urn:microsoft.com/office/officeart/2005/8/layout/radial1"/>
    <dgm:cxn modelId="{C9300090-396E-484C-B691-F3300D65CC03}" type="presOf" srcId="{576E161B-59E2-4177-8320-584EBC426979}" destId="{F74F2681-A109-4B75-8C08-B2B26769CF03}" srcOrd="0" destOrd="0" presId="urn:microsoft.com/office/officeart/2005/8/layout/radial1"/>
    <dgm:cxn modelId="{DDC83E48-29F6-4B6C-AD9D-CD2AF7C6AEB6}" type="presOf" srcId="{4761FE57-664D-44AD-8EF1-E6096D64297F}" destId="{2ED32773-10C9-4671-A0BF-4C0DAB40AE25}" srcOrd="0" destOrd="0" presId="urn:microsoft.com/office/officeart/2005/8/layout/radial1"/>
    <dgm:cxn modelId="{73E56EF3-1772-4C60-8137-35AD8E4D7DE7}" type="presOf" srcId="{D6278D4F-93AB-42D0-B837-2B99BC1EE808}" destId="{C620A703-6BE9-4C0F-B737-266F7434DAB4}" srcOrd="1" destOrd="0" presId="urn:microsoft.com/office/officeart/2005/8/layout/radial1"/>
    <dgm:cxn modelId="{808BCCF2-C582-4B30-B6C5-9975ECEC1CE8}" type="presOf" srcId="{CEEBDBB9-7602-49B1-BBEB-80C6D1238598}" destId="{05C48364-E63B-4056-87CF-0BE50D74190B}" srcOrd="0" destOrd="0" presId="urn:microsoft.com/office/officeart/2005/8/layout/radial1"/>
    <dgm:cxn modelId="{D86F1C4E-6FE8-4FAC-847C-F37F19B69B46}" type="presOf" srcId="{21293A80-0F61-406E-BFCA-C5725BC3581F}" destId="{638FE4E5-2063-40D0-A44F-91C88716CF8C}" srcOrd="0" destOrd="0" presId="urn:microsoft.com/office/officeart/2005/8/layout/radial1"/>
    <dgm:cxn modelId="{860B1B83-5B21-463D-9FC4-B5315CED7613}" type="presOf" srcId="{93D773F4-8F00-40EC-A451-C5A5ADE485BC}" destId="{F87499B4-AA7B-416D-9B28-377D046017EC}" srcOrd="1" destOrd="0" presId="urn:microsoft.com/office/officeart/2005/8/layout/radial1"/>
    <dgm:cxn modelId="{F392197D-F2DD-42A7-902E-B67609F162D9}" type="presOf" srcId="{66F0DCEC-2B26-4038-AF1F-D0A98A0F7930}" destId="{7FE108B5-F558-4942-A9EC-465F3C2E5813}" srcOrd="1" destOrd="0" presId="urn:microsoft.com/office/officeart/2005/8/layout/radial1"/>
    <dgm:cxn modelId="{388F1298-3790-4360-9B01-9B2617BFA2C5}" type="presOf" srcId="{F6DE2413-45CD-453B-A258-F22A53BBB241}" destId="{DEF09AAB-E09E-4486-8914-E37D47E60824}" srcOrd="0" destOrd="0" presId="urn:microsoft.com/office/officeart/2005/8/layout/radial1"/>
    <dgm:cxn modelId="{F4E923ED-CE9A-4CB7-9798-BC76A6A2E61F}" type="presOf" srcId="{52A69187-F965-4704-9C1A-29B2281F912F}" destId="{EAF47FDD-7D57-4FF6-9F6B-6E604D2CC0DE}" srcOrd="0" destOrd="0" presId="urn:microsoft.com/office/officeart/2005/8/layout/radial1"/>
    <dgm:cxn modelId="{D4C1BC69-C745-405B-9248-C6E8862DD509}" srcId="{60F584FC-F7FF-4FD7-86E3-8773293C0460}" destId="{CEEBDBB9-7602-49B1-BBEB-80C6D1238598}" srcOrd="4" destOrd="0" parTransId="{D6278D4F-93AB-42D0-B837-2B99BC1EE808}" sibTransId="{3F7B98CE-94D6-4D7D-8314-AFA01590058A}"/>
    <dgm:cxn modelId="{3CB7A6BF-45AA-48E0-9AC6-4E4BA76B3924}" type="presParOf" srcId="{4FC73BDC-CE2C-45F4-85CD-F387963DA006}" destId="{3C7CADF7-0742-432E-9EEF-EA9C347A7661}" srcOrd="0" destOrd="0" presId="urn:microsoft.com/office/officeart/2005/8/layout/radial1"/>
    <dgm:cxn modelId="{F7FD27CE-EE07-4889-AFD3-9811344A2E68}" type="presParOf" srcId="{4FC73BDC-CE2C-45F4-85CD-F387963DA006}" destId="{650854B0-9FE7-4FFD-96B2-18F6452E0859}" srcOrd="1" destOrd="0" presId="urn:microsoft.com/office/officeart/2005/8/layout/radial1"/>
    <dgm:cxn modelId="{686AA4F8-67DF-4E3F-962B-DE9369A31599}" type="presParOf" srcId="{650854B0-9FE7-4FFD-96B2-18F6452E0859}" destId="{7FE108B5-F558-4942-A9EC-465F3C2E5813}" srcOrd="0" destOrd="0" presId="urn:microsoft.com/office/officeart/2005/8/layout/radial1"/>
    <dgm:cxn modelId="{2A11FB76-B439-42F0-B1A0-9897A4EA90F6}" type="presParOf" srcId="{4FC73BDC-CE2C-45F4-85CD-F387963DA006}" destId="{6394B413-6D12-4C4F-9A8D-E0508CAE8617}" srcOrd="2" destOrd="0" presId="urn:microsoft.com/office/officeart/2005/8/layout/radial1"/>
    <dgm:cxn modelId="{37A5E355-15E4-4ED8-9818-A04B548C9700}" type="presParOf" srcId="{4FC73BDC-CE2C-45F4-85CD-F387963DA006}" destId="{DEF09AAB-E09E-4486-8914-E37D47E60824}" srcOrd="3" destOrd="0" presId="urn:microsoft.com/office/officeart/2005/8/layout/radial1"/>
    <dgm:cxn modelId="{12A38726-065F-4F9E-9481-52EC25EB7B39}" type="presParOf" srcId="{DEF09AAB-E09E-4486-8914-E37D47E60824}" destId="{B0514361-30D3-4311-BC21-0743B7F01673}" srcOrd="0" destOrd="0" presId="urn:microsoft.com/office/officeart/2005/8/layout/radial1"/>
    <dgm:cxn modelId="{B33CD442-A05B-4B2F-A3C7-827A0CC50A63}" type="presParOf" srcId="{4FC73BDC-CE2C-45F4-85CD-F387963DA006}" destId="{2ED32773-10C9-4671-A0BF-4C0DAB40AE25}" srcOrd="4" destOrd="0" presId="urn:microsoft.com/office/officeart/2005/8/layout/radial1"/>
    <dgm:cxn modelId="{264927B4-DC8D-4E46-AF5B-37984748D278}" type="presParOf" srcId="{4FC73BDC-CE2C-45F4-85CD-F387963DA006}" destId="{6A5F15CA-77E2-4C48-8498-A7C7D3C4428C}" srcOrd="5" destOrd="0" presId="urn:microsoft.com/office/officeart/2005/8/layout/radial1"/>
    <dgm:cxn modelId="{AB85C1D8-F28F-4176-A348-DEE064B5D0E9}" type="presParOf" srcId="{6A5F15CA-77E2-4C48-8498-A7C7D3C4428C}" destId="{F87499B4-AA7B-416D-9B28-377D046017EC}" srcOrd="0" destOrd="0" presId="urn:microsoft.com/office/officeart/2005/8/layout/radial1"/>
    <dgm:cxn modelId="{AD4A12B9-1700-46DB-9B89-8E9CDC2CA02E}" type="presParOf" srcId="{4FC73BDC-CE2C-45F4-85CD-F387963DA006}" destId="{638FE4E5-2063-40D0-A44F-91C88716CF8C}" srcOrd="6" destOrd="0" presId="urn:microsoft.com/office/officeart/2005/8/layout/radial1"/>
    <dgm:cxn modelId="{DB4DD84A-196E-43C3-9211-04E930A15D4B}" type="presParOf" srcId="{4FC73BDC-CE2C-45F4-85CD-F387963DA006}" destId="{EAF47FDD-7D57-4FF6-9F6B-6E604D2CC0DE}" srcOrd="7" destOrd="0" presId="urn:microsoft.com/office/officeart/2005/8/layout/radial1"/>
    <dgm:cxn modelId="{2216C415-7A33-40E1-B431-DD29278A8A4C}" type="presParOf" srcId="{EAF47FDD-7D57-4FF6-9F6B-6E604D2CC0DE}" destId="{E01163DA-75CF-4C32-B81E-41BBCCC937B3}" srcOrd="0" destOrd="0" presId="urn:microsoft.com/office/officeart/2005/8/layout/radial1"/>
    <dgm:cxn modelId="{9BE34849-085A-4CCA-AFBE-474661CD0794}" type="presParOf" srcId="{4FC73BDC-CE2C-45F4-85CD-F387963DA006}" destId="{F74F2681-A109-4B75-8C08-B2B26769CF03}" srcOrd="8" destOrd="0" presId="urn:microsoft.com/office/officeart/2005/8/layout/radial1"/>
    <dgm:cxn modelId="{CE090F12-A13E-4BBA-ABFB-FF14ED9BD172}" type="presParOf" srcId="{4FC73BDC-CE2C-45F4-85CD-F387963DA006}" destId="{AC7E3352-64BC-4978-9AB6-2DD833483239}" srcOrd="9" destOrd="0" presId="urn:microsoft.com/office/officeart/2005/8/layout/radial1"/>
    <dgm:cxn modelId="{8BC34E77-011A-4692-B162-8D9F4C445756}" type="presParOf" srcId="{AC7E3352-64BC-4978-9AB6-2DD833483239}" destId="{C620A703-6BE9-4C0F-B737-266F7434DAB4}" srcOrd="0" destOrd="0" presId="urn:microsoft.com/office/officeart/2005/8/layout/radial1"/>
    <dgm:cxn modelId="{CA80FA90-6918-4DE2-AE28-44BB7EF40443}" type="presParOf" srcId="{4FC73BDC-CE2C-45F4-85CD-F387963DA006}" destId="{05C48364-E63B-4056-87CF-0BE50D74190B}" srcOrd="10" destOrd="0" presId="urn:microsoft.com/office/officeart/2005/8/layout/radial1"/>
  </dgm:cxnLst>
  <dgm:bg/>
  <dgm:whole/>
  <dgm:extLst>
    <a:ext uri="http://schemas.microsoft.com/office/drawing/2008/diagram">
      <dsp:dataModelExt xmlns:dsp="http://schemas.microsoft.com/office/drawing/2008/diagram" relId="rId145"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280006" y="676165"/>
          <a:ext cx="1197503" cy="449222"/>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200">
              <a:solidFill>
                <a:sysClr val="windowText" lastClr="000000"/>
              </a:solidFill>
              <a:latin typeface="Arial" panose="020B0604020202020204" pitchFamily="34" charset="0"/>
              <a:ea typeface="+mn-ea"/>
              <a:cs typeface="Arial" panose="020B0604020202020204" pitchFamily="34" charset="0"/>
            </a:rPr>
            <a:t>Programa 15</a:t>
          </a:r>
        </a:p>
      </dgm:t>
    </dgm:pt>
    <dgm:pt modelId="{474A81AD-BFE3-4D32-9342-2C25E06E5B46}" type="parTrans" cxnId="{0872B5C3-971C-4397-94C1-FDC0412A9ADC}">
      <dgm:prSet/>
      <dgm:spPr/>
      <dgm:t>
        <a:bodyPr/>
        <a:lstStyle/>
        <a:p>
          <a:endParaRPr lang="en-US">
            <a:solidFill>
              <a:sysClr val="windowText" lastClr="000000"/>
            </a:solidFill>
          </a:endParaRPr>
        </a:p>
      </dgm:t>
    </dgm:pt>
    <dgm:pt modelId="{28FB44EF-A1AD-4FBB-B0D1-E98EB36FC510}" type="sibTrans" cxnId="{0872B5C3-971C-4397-94C1-FDC0412A9ADC}">
      <dgm:prSet/>
      <dgm:spPr/>
      <dgm:t>
        <a:bodyPr/>
        <a:lstStyle/>
        <a:p>
          <a:endParaRPr lang="en-US">
            <a:solidFill>
              <a:sysClr val="windowText" lastClr="000000"/>
            </a:solidFill>
          </a:endParaRPr>
        </a:p>
      </dgm:t>
    </dgm:pt>
    <dgm:pt modelId="{94B19768-91E8-4E7A-A857-C8521D65AF24}">
      <dgm:prSet phldrT="[Text]" custT="1"/>
      <dgm:spPr>
        <a:xfrm>
          <a:off x="2377322" y="58667"/>
          <a:ext cx="1007929" cy="50475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solidFill>
              <a:latin typeface="Arial" panose="020B0604020202020204" pitchFamily="34" charset="0"/>
              <a:ea typeface="+mn-ea"/>
              <a:cs typeface="Arial" panose="020B0604020202020204" pitchFamily="34" charset="0"/>
            </a:rPr>
            <a:t>Programa 3</a:t>
          </a:r>
        </a:p>
        <a:p>
          <a:r>
            <a:rPr lang="en-US" sz="900">
              <a:solidFill>
                <a:sysClr val="windowText" lastClr="000000"/>
              </a:solidFill>
              <a:latin typeface="Arial" panose="020B0604020202020204" pitchFamily="34" charset="0"/>
              <a:ea typeface="+mn-ea"/>
              <a:cs typeface="Arial" panose="020B0604020202020204" pitchFamily="34" charset="0"/>
            </a:rPr>
            <a:t>  D.A.D.C.</a:t>
          </a:r>
        </a:p>
      </dgm:t>
    </dgm:pt>
    <dgm:pt modelId="{1F889DAC-CE52-4F0F-B94D-85598619AB82}" type="parTrans" cxnId="{E719C6E7-4776-4FC2-9ECD-F0D273135B37}">
      <dgm:prSet/>
      <dgm:spPr>
        <a:xfrm rot="16214742">
          <a:off x="2823589" y="612015"/>
          <a:ext cx="112746" cy="1555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solidFill>
            <a:latin typeface="Calibri"/>
            <a:ea typeface="+mn-ea"/>
            <a:cs typeface="+mn-cs"/>
          </a:endParaRPr>
        </a:p>
      </dgm:t>
    </dgm:pt>
    <dgm:pt modelId="{174FD7F3-8467-46EB-ACD9-4B0EA7D3C4BA}" type="sibTrans" cxnId="{E719C6E7-4776-4FC2-9ECD-F0D273135B37}">
      <dgm:prSet/>
      <dgm:spPr/>
      <dgm:t>
        <a:bodyPr/>
        <a:lstStyle/>
        <a:p>
          <a:endParaRPr lang="en-US">
            <a:solidFill>
              <a:sysClr val="windowText" lastClr="000000"/>
            </a:solidFill>
          </a:endParaRPr>
        </a:p>
      </dgm:t>
    </dgm:pt>
    <dgm:pt modelId="{584F0456-7C88-4E15-A6D5-3DF2BDDC45F2}">
      <dgm:prSet phldrT="[Text]" custT="1"/>
      <dgm:spPr>
        <a:xfrm>
          <a:off x="3499843" y="278257"/>
          <a:ext cx="1111588" cy="44203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solidFill>
              <a:latin typeface="Arial" panose="020B0604020202020204" pitchFamily="34" charset="0"/>
              <a:ea typeface="+mn-ea"/>
              <a:cs typeface="Arial" panose="020B0604020202020204" pitchFamily="34" charset="0"/>
            </a:rPr>
            <a:t>Programa 5</a:t>
          </a:r>
        </a:p>
        <a:p>
          <a:r>
            <a:rPr lang="en-US" sz="900">
              <a:solidFill>
                <a:sysClr val="windowText" lastClr="000000"/>
              </a:solidFill>
              <a:latin typeface="Arial" panose="020B0604020202020204" pitchFamily="34" charset="0"/>
              <a:ea typeface="+mn-ea"/>
              <a:cs typeface="Arial" panose="020B0604020202020204" pitchFamily="34" charset="0"/>
            </a:rPr>
            <a:t>PCT</a:t>
          </a:r>
        </a:p>
      </dgm:t>
    </dgm:pt>
    <dgm:pt modelId="{5BE92476-635C-4AE2-AD14-BF50BB0972EC}" type="parTrans" cxnId="{44EB880B-7660-4CF0-97E5-4E577ACA821D}">
      <dgm:prSet/>
      <dgm:spPr>
        <a:xfrm rot="20469744">
          <a:off x="3312890" y="688641"/>
          <a:ext cx="329751" cy="1555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solidFill>
            <a:latin typeface="Calibri"/>
            <a:ea typeface="+mn-ea"/>
            <a:cs typeface="+mn-cs"/>
          </a:endParaRPr>
        </a:p>
      </dgm:t>
    </dgm:pt>
    <dgm:pt modelId="{3EF0F88F-A3C1-4CFC-8CDA-621CE91394E1}" type="sibTrans" cxnId="{44EB880B-7660-4CF0-97E5-4E577ACA821D}">
      <dgm:prSet/>
      <dgm:spPr/>
      <dgm:t>
        <a:bodyPr/>
        <a:lstStyle/>
        <a:p>
          <a:endParaRPr lang="en-US">
            <a:solidFill>
              <a:sysClr val="windowText" lastClr="000000"/>
            </a:solidFill>
          </a:endParaRPr>
        </a:p>
      </dgm:t>
    </dgm:pt>
    <dgm:pt modelId="{2EF75B39-F486-43BE-8B27-294595126005}">
      <dgm:prSet phldrT="[Text]" custT="1"/>
      <dgm:spPr>
        <a:xfrm>
          <a:off x="3892329" y="936890"/>
          <a:ext cx="1238703" cy="49588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solidFill>
              <a:latin typeface="Arial" panose="020B0604020202020204" pitchFamily="34" charset="0"/>
              <a:ea typeface="+mn-ea"/>
              <a:cs typeface="Arial" panose="020B0604020202020204" pitchFamily="34" charset="0"/>
            </a:rPr>
            <a:t>Programa 6</a:t>
          </a:r>
        </a:p>
        <a:p>
          <a:r>
            <a:rPr lang="en-US" sz="900">
              <a:solidFill>
                <a:sysClr val="windowText" lastClr="000000"/>
              </a:solidFill>
              <a:latin typeface="Arial" panose="020B0604020202020204" pitchFamily="34" charset="0"/>
              <a:ea typeface="+mn-ea"/>
              <a:cs typeface="Arial" panose="020B0604020202020204" pitchFamily="34" charset="0"/>
            </a:rPr>
            <a:t>Sistema de Madrid</a:t>
          </a:r>
        </a:p>
      </dgm:t>
    </dgm:pt>
    <dgm:pt modelId="{66F0DCEC-2B26-4038-AF1F-D0A98A0F7930}" type="parTrans" cxnId="{D0987D88-807B-4994-94E2-80A6C1D9AE52}">
      <dgm:prSet/>
      <dgm:spPr>
        <a:xfrm rot="592092">
          <a:off x="3418031" y="1032866"/>
          <a:ext cx="529526" cy="1555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solidFill>
            <a:latin typeface="Calibri"/>
            <a:ea typeface="+mn-ea"/>
            <a:cs typeface="+mn-cs"/>
          </a:endParaRPr>
        </a:p>
      </dgm:t>
    </dgm:pt>
    <dgm:pt modelId="{A29EC13D-3B1F-4904-8025-5B38BEEF3183}" type="sibTrans" cxnId="{D0987D88-807B-4994-94E2-80A6C1D9AE52}">
      <dgm:prSet/>
      <dgm:spPr/>
      <dgm:t>
        <a:bodyPr/>
        <a:lstStyle/>
        <a:p>
          <a:endParaRPr lang="en-US">
            <a:solidFill>
              <a:sysClr val="windowText" lastClr="000000"/>
            </a:solidFill>
          </a:endParaRPr>
        </a:p>
      </dgm:t>
    </dgm:pt>
    <dgm:pt modelId="{576E161B-59E2-4177-8320-584EBC426979}">
      <dgm:prSet phldrT="[Text]" custT="1"/>
      <dgm:spPr>
        <a:xfrm>
          <a:off x="695950" y="957721"/>
          <a:ext cx="1154436" cy="53230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solidFill>
              <a:latin typeface="Arial" panose="020B0604020202020204" pitchFamily="34" charset="0"/>
              <a:ea typeface="+mn-ea"/>
              <a:cs typeface="Arial" panose="020B0604020202020204" pitchFamily="34" charset="0"/>
            </a:rPr>
            <a:t>Programa 10</a:t>
          </a:r>
        </a:p>
        <a:p>
          <a:r>
            <a:rPr lang="en-US" sz="900">
              <a:solidFill>
                <a:sysClr val="windowText" lastClr="000000"/>
              </a:solidFill>
              <a:latin typeface="Arial" panose="020B0604020202020204" pitchFamily="34" charset="0"/>
              <a:ea typeface="+mn-ea"/>
              <a:cs typeface="Arial" panose="020B0604020202020204" pitchFamily="34" charset="0"/>
            </a:rPr>
            <a:t>Países T/D</a:t>
          </a:r>
        </a:p>
      </dgm:t>
    </dgm:pt>
    <dgm:pt modelId="{52A69187-F965-4704-9C1A-29B2281F912F}" type="parTrans" cxnId="{BA0B21AC-350F-4DDA-A443-58447D95EEF1}">
      <dgm:prSet/>
      <dgm:spPr>
        <a:xfrm rot="10117332">
          <a:off x="1796698" y="1054406"/>
          <a:ext cx="559931" cy="1555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solidFill>
            <a:latin typeface="Calibri"/>
            <a:ea typeface="+mn-ea"/>
            <a:cs typeface="+mn-cs"/>
          </a:endParaRPr>
        </a:p>
      </dgm:t>
    </dgm:pt>
    <dgm:pt modelId="{E9F92651-5262-450E-9258-F1F8976476A8}" type="sibTrans" cxnId="{BA0B21AC-350F-4DDA-A443-58447D95EEF1}">
      <dgm:prSet/>
      <dgm:spPr/>
      <dgm:t>
        <a:bodyPr/>
        <a:lstStyle/>
        <a:p>
          <a:endParaRPr lang="en-US">
            <a:solidFill>
              <a:sysClr val="windowText" lastClr="000000"/>
            </a:solidFill>
          </a:endParaRPr>
        </a:p>
      </dgm:t>
    </dgm:pt>
    <dgm:pt modelId="{CEEBDBB9-7602-49B1-BBEB-80C6D1238598}">
      <dgm:prSet phldrT="[Text]" custT="1"/>
      <dgm:spPr>
        <a:xfrm>
          <a:off x="1071148" y="211517"/>
          <a:ext cx="1234835" cy="48607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solidFill>
              <a:latin typeface="Arial" panose="020B0604020202020204" pitchFamily="34" charset="0"/>
              <a:ea typeface="+mn-ea"/>
              <a:cs typeface="Arial" panose="020B0604020202020204" pitchFamily="34" charset="0"/>
            </a:rPr>
            <a:t>Programa 14 </a:t>
          </a:r>
        </a:p>
        <a:p>
          <a:r>
            <a:rPr lang="en-US" sz="900">
              <a:solidFill>
                <a:sysClr val="windowText" lastClr="000000"/>
              </a:solidFill>
              <a:latin typeface="Arial" panose="020B0604020202020204" pitchFamily="34" charset="0"/>
              <a:ea typeface="+mn-ea"/>
              <a:cs typeface="Arial" panose="020B0604020202020204" pitchFamily="34" charset="0"/>
            </a:rPr>
            <a:t>Acceso a la información y los conocimientos</a:t>
          </a:r>
        </a:p>
      </dgm:t>
    </dgm:pt>
    <dgm:pt modelId="{D6278D4F-93AB-42D0-B837-2B99BC1EE808}" type="parTrans" cxnId="{D4C1BC69-C745-405B-9248-C6E8862DD509}">
      <dgm:prSet/>
      <dgm:spPr>
        <a:xfrm rot="12033108">
          <a:off x="2124787" y="674308"/>
          <a:ext cx="341328" cy="1555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solidFill>
            <a:latin typeface="Calibri"/>
            <a:ea typeface="+mn-ea"/>
            <a:cs typeface="+mn-cs"/>
          </a:endParaRPr>
        </a:p>
      </dgm:t>
    </dgm:pt>
    <dgm:pt modelId="{3F7B98CE-94D6-4D7D-8314-AFA01590058A}" type="sibTrans" cxnId="{D4C1BC69-C745-405B-9248-C6E8862DD509}">
      <dgm:prSet/>
      <dgm:spPr/>
      <dgm:t>
        <a:bodyPr/>
        <a:lstStyle/>
        <a:p>
          <a:endParaRPr lang="en-US">
            <a:solidFill>
              <a:sysClr val="windowText" lastClr="000000"/>
            </a:solidFill>
          </a:endParaRPr>
        </a:p>
      </dgm:t>
    </dgm:pt>
    <dgm:pt modelId="{21293A80-0F61-406E-BFCA-C5725BC3581F}">
      <dgm:prSet phldrT="[Text]" custT="1"/>
      <dgm:spPr>
        <a:xfrm>
          <a:off x="2213689" y="1254483"/>
          <a:ext cx="1356105" cy="49149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solidFill>
              <a:latin typeface="Arial" panose="020B0604020202020204" pitchFamily="34" charset="0"/>
              <a:ea typeface="+mn-ea"/>
              <a:cs typeface="Arial" panose="020B0604020202020204" pitchFamily="34" charset="0"/>
            </a:rPr>
            <a:t>Programa 9</a:t>
          </a:r>
        </a:p>
        <a:p>
          <a:r>
            <a:rPr lang="en-US" sz="900">
              <a:solidFill>
                <a:sysClr val="windowText" lastClr="000000"/>
              </a:solidFill>
              <a:latin typeface="Arial" panose="020B0604020202020204" pitchFamily="34" charset="0"/>
              <a:ea typeface="+mn-ea"/>
              <a:cs typeface="Arial" panose="020B0604020202020204" pitchFamily="34" charset="0"/>
            </a:rPr>
            <a:t>Oficinas regionales en la sede</a:t>
          </a:r>
        </a:p>
      </dgm:t>
    </dgm:pt>
    <dgm:pt modelId="{93D773F4-8F00-40EC-A451-C5A5ADE485BC}" type="parTrans" cxnId="{BD8D6ADE-EC44-459F-BA83-8828A6DCC5C3}">
      <dgm:prSet/>
      <dgm:spPr>
        <a:xfrm rot="5325552">
          <a:off x="2820451" y="1182158"/>
          <a:ext cx="129140" cy="1555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solidFill>
            <a:latin typeface="Calibri"/>
            <a:ea typeface="+mn-ea"/>
            <a:cs typeface="+mn-cs"/>
          </a:endParaRPr>
        </a:p>
      </dgm:t>
    </dgm:pt>
    <dgm:pt modelId="{257D66A3-5C96-41AD-A09B-F6DC2C7DFB10}" type="sibTrans" cxnId="{BD8D6ADE-EC44-459F-BA83-8828A6DCC5C3}">
      <dgm:prSet/>
      <dgm:spPr/>
      <dgm:t>
        <a:bodyPr/>
        <a:lstStyle/>
        <a:p>
          <a:endParaRPr lang="en-US">
            <a:solidFill>
              <a:sysClr val="windowText" lastClr="000000"/>
            </a:solidFill>
          </a:endParaRPr>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284658" custScaleY="90248"/>
      <dgm:spPr>
        <a:prstGeom prst="ellipse">
          <a:avLst/>
        </a:prstGeom>
      </dgm:spPr>
      <dgm:t>
        <a:bodyPr/>
        <a:lstStyle/>
        <a:p>
          <a:endParaRPr lang="en-US"/>
        </a:p>
      </dgm:t>
    </dgm:pt>
    <dgm:pt modelId="{72463A3F-A956-4917-8722-9FD79FB3E09A}" type="pres">
      <dgm:prSet presAssocID="{1F889DAC-CE52-4F0F-B94D-85598619AB82}" presName="Name9" presStyleLbl="parChTrans1D2" presStyleIdx="0" presStyleCnt="6"/>
      <dgm:spPr>
        <a:custGeom>
          <a:avLst/>
          <a:gdLst/>
          <a:ahLst/>
          <a:cxnLst/>
          <a:rect l="0" t="0" r="0" b="0"/>
          <a:pathLst>
            <a:path>
              <a:moveTo>
                <a:pt x="0" y="7778"/>
              </a:moveTo>
              <a:lnTo>
                <a:pt x="126270" y="7778"/>
              </a:lnTo>
            </a:path>
          </a:pathLst>
        </a:custGeom>
      </dgm:spPr>
      <dgm:t>
        <a:bodyPr/>
        <a:lstStyle/>
        <a:p>
          <a:endParaRPr lang="en-US"/>
        </a:p>
      </dgm:t>
    </dgm:pt>
    <dgm:pt modelId="{E5E0F749-58A7-4B5D-B40F-552D5369ABEE}" type="pres">
      <dgm:prSet presAssocID="{1F889DAC-CE52-4F0F-B94D-85598619AB82}" presName="connTx" presStyleLbl="parChTrans1D2" presStyleIdx="0" presStyleCnt="6"/>
      <dgm:spPr/>
      <dgm:t>
        <a:bodyPr/>
        <a:lstStyle/>
        <a:p>
          <a:endParaRPr lang="en-US"/>
        </a:p>
      </dgm:t>
    </dgm:pt>
    <dgm:pt modelId="{A030EF9D-9337-4706-B87A-64BDE162520A}" type="pres">
      <dgm:prSet presAssocID="{94B19768-91E8-4E7A-A857-C8521D65AF24}" presName="node" presStyleLbl="node1" presStyleIdx="0" presStyleCnt="6" custScaleX="202491" custScaleY="101404" custRadScaleRad="91113" custRadScaleInc="819">
        <dgm:presLayoutVars>
          <dgm:bulletEnabled val="1"/>
        </dgm:presLayoutVars>
      </dgm:prSet>
      <dgm:spPr>
        <a:prstGeom prst="ellipse">
          <a:avLst/>
        </a:prstGeom>
      </dgm:spPr>
      <dgm:t>
        <a:bodyPr/>
        <a:lstStyle/>
        <a:p>
          <a:endParaRPr lang="en-US"/>
        </a:p>
      </dgm:t>
    </dgm:pt>
    <dgm:pt modelId="{00112A8F-12E8-45AC-B551-DFB66BE45059}" type="pres">
      <dgm:prSet presAssocID="{5BE92476-635C-4AE2-AD14-BF50BB0972EC}" presName="Name9" presStyleLbl="parChTrans1D2" presStyleIdx="1" presStyleCnt="6"/>
      <dgm:spPr>
        <a:custGeom>
          <a:avLst/>
          <a:gdLst/>
          <a:ahLst/>
          <a:cxnLst/>
          <a:rect l="0" t="0" r="0" b="0"/>
          <a:pathLst>
            <a:path>
              <a:moveTo>
                <a:pt x="0" y="7778"/>
              </a:moveTo>
              <a:lnTo>
                <a:pt x="403209" y="7778"/>
              </a:lnTo>
            </a:path>
          </a:pathLst>
        </a:custGeom>
      </dgm:spPr>
      <dgm:t>
        <a:bodyPr/>
        <a:lstStyle/>
        <a:p>
          <a:endParaRPr lang="en-US"/>
        </a:p>
      </dgm:t>
    </dgm:pt>
    <dgm:pt modelId="{48B32C5A-7076-4480-B5CB-D9EFDA8D8FDB}" type="pres">
      <dgm:prSet presAssocID="{5BE92476-635C-4AE2-AD14-BF50BB0972EC}" presName="connTx" presStyleLbl="parChTrans1D2" presStyleIdx="1" presStyleCnt="6"/>
      <dgm:spPr/>
      <dgm:t>
        <a:bodyPr/>
        <a:lstStyle/>
        <a:p>
          <a:endParaRPr lang="en-US"/>
        </a:p>
      </dgm:t>
    </dgm:pt>
    <dgm:pt modelId="{423B6D89-2000-40C7-8429-BD38C7402395}" type="pres">
      <dgm:prSet presAssocID="{584F0456-7C88-4E15-A6D5-3DF2BDDC45F2}" presName="node" presStyleLbl="node1" presStyleIdx="1" presStyleCnt="6" custScaleX="223316" custScaleY="88803" custRadScaleRad="235527" custRadScaleInc="45986">
        <dgm:presLayoutVars>
          <dgm:bulletEnabled val="1"/>
        </dgm:presLayoutVars>
      </dgm:prSet>
      <dgm:spPr>
        <a:prstGeom prst="ellipse">
          <a:avLst/>
        </a:prstGeom>
      </dgm:spPr>
      <dgm:t>
        <a:bodyPr/>
        <a:lstStyle/>
        <a:p>
          <a:endParaRPr lang="en-US"/>
        </a:p>
      </dgm:t>
    </dgm:pt>
    <dgm:pt modelId="{650854B0-9FE7-4FFD-96B2-18F6452E0859}" type="pres">
      <dgm:prSet presAssocID="{66F0DCEC-2B26-4038-AF1F-D0A98A0F7930}" presName="Name9" presStyleLbl="parChTrans1D2" presStyleIdx="2" presStyleCnt="6"/>
      <dgm:spPr>
        <a:custGeom>
          <a:avLst/>
          <a:gdLst/>
          <a:ahLst/>
          <a:cxnLst/>
          <a:rect l="0" t="0" r="0" b="0"/>
          <a:pathLst>
            <a:path>
              <a:moveTo>
                <a:pt x="0" y="7778"/>
              </a:moveTo>
              <a:lnTo>
                <a:pt x="1060081" y="7778"/>
              </a:lnTo>
            </a:path>
          </a:pathLst>
        </a:custGeom>
      </dgm:spPr>
      <dgm:t>
        <a:bodyPr/>
        <a:lstStyle/>
        <a:p>
          <a:endParaRPr lang="en-US"/>
        </a:p>
      </dgm:t>
    </dgm:pt>
    <dgm:pt modelId="{7FE108B5-F558-4942-A9EC-465F3C2E5813}" type="pres">
      <dgm:prSet presAssocID="{66F0DCEC-2B26-4038-AF1F-D0A98A0F7930}" presName="connTx" presStyleLbl="parChTrans1D2" presStyleIdx="2" presStyleCnt="6"/>
      <dgm:spPr/>
      <dgm:t>
        <a:bodyPr/>
        <a:lstStyle/>
        <a:p>
          <a:endParaRPr lang="en-US"/>
        </a:p>
      </dgm:t>
    </dgm:pt>
    <dgm:pt modelId="{6394B413-6D12-4C4F-9A8D-E0508CAE8617}" type="pres">
      <dgm:prSet presAssocID="{2EF75B39-F486-43BE-8B27-294595126005}" presName="node" presStyleLbl="node1" presStyleIdx="2" presStyleCnt="6" custScaleX="299232" custScaleY="103422" custRadScaleRad="258601" custRadScaleInc="-57691">
        <dgm:presLayoutVars>
          <dgm:bulletEnabled val="1"/>
        </dgm:presLayoutVars>
      </dgm:prSet>
      <dgm:spPr>
        <a:prstGeom prst="ellipse">
          <a:avLst/>
        </a:prstGeom>
      </dgm:spPr>
      <dgm:t>
        <a:bodyPr/>
        <a:lstStyle/>
        <a:p>
          <a:endParaRPr lang="en-US"/>
        </a:p>
      </dgm:t>
    </dgm:pt>
    <dgm:pt modelId="{6A5F15CA-77E2-4C48-8498-A7C7D3C4428C}" type="pres">
      <dgm:prSet presAssocID="{93D773F4-8F00-40EC-A451-C5A5ADE485BC}" presName="Name9" presStyleLbl="parChTrans1D2" presStyleIdx="3" presStyleCnt="6"/>
      <dgm:spPr>
        <a:custGeom>
          <a:avLst/>
          <a:gdLst/>
          <a:ahLst/>
          <a:cxnLst/>
          <a:rect l="0" t="0" r="0" b="0"/>
          <a:pathLst>
            <a:path>
              <a:moveTo>
                <a:pt x="0" y="7778"/>
              </a:moveTo>
              <a:lnTo>
                <a:pt x="141173" y="7778"/>
              </a:lnTo>
            </a:path>
          </a:pathLst>
        </a:custGeom>
      </dgm:spPr>
      <dgm:t>
        <a:bodyPr/>
        <a:lstStyle/>
        <a:p>
          <a:endParaRPr lang="en-US"/>
        </a:p>
      </dgm:t>
    </dgm:pt>
    <dgm:pt modelId="{F87499B4-AA7B-416D-9B28-377D046017EC}" type="pres">
      <dgm:prSet presAssocID="{93D773F4-8F00-40EC-A451-C5A5ADE485BC}" presName="connTx" presStyleLbl="parChTrans1D2" presStyleIdx="3" presStyleCnt="6"/>
      <dgm:spPr/>
      <dgm:t>
        <a:bodyPr/>
        <a:lstStyle/>
        <a:p>
          <a:endParaRPr lang="en-US"/>
        </a:p>
      </dgm:t>
    </dgm:pt>
    <dgm:pt modelId="{638FE4E5-2063-40D0-A44F-91C88716CF8C}" type="pres">
      <dgm:prSet presAssocID="{21293A80-0F61-406E-BFCA-C5725BC3581F}" presName="node" presStyleLbl="node1" presStyleIdx="3" presStyleCnt="6" custScaleX="297233" custScaleY="98741" custRadScaleRad="92636" custRadScaleInc="-4136">
        <dgm:presLayoutVars>
          <dgm:bulletEnabled val="1"/>
        </dgm:presLayoutVars>
      </dgm:prSet>
      <dgm:spPr>
        <a:prstGeom prst="ellipse">
          <a:avLst/>
        </a:prstGeom>
      </dgm:spPr>
      <dgm:t>
        <a:bodyPr/>
        <a:lstStyle/>
        <a:p>
          <a:endParaRPr lang="en-US"/>
        </a:p>
      </dgm:t>
    </dgm:pt>
    <dgm:pt modelId="{EAF47FDD-7D57-4FF6-9F6B-6E604D2CC0DE}" type="pres">
      <dgm:prSet presAssocID="{52A69187-F965-4704-9C1A-29B2281F912F}" presName="Name9" presStyleLbl="parChTrans1D2" presStyleIdx="4" presStyleCnt="6"/>
      <dgm:spPr>
        <a:custGeom>
          <a:avLst/>
          <a:gdLst/>
          <a:ahLst/>
          <a:cxnLst/>
          <a:rect l="0" t="0" r="0" b="0"/>
          <a:pathLst>
            <a:path>
              <a:moveTo>
                <a:pt x="0" y="7778"/>
              </a:moveTo>
              <a:lnTo>
                <a:pt x="942251" y="7778"/>
              </a:lnTo>
            </a:path>
          </a:pathLst>
        </a:custGeom>
      </dgm:spPr>
      <dgm:t>
        <a:bodyPr/>
        <a:lstStyle/>
        <a:p>
          <a:endParaRPr lang="en-US"/>
        </a:p>
      </dgm:t>
    </dgm:pt>
    <dgm:pt modelId="{E01163DA-75CF-4C32-B81E-41BBCCC937B3}" type="pres">
      <dgm:prSet presAssocID="{52A69187-F965-4704-9C1A-29B2281F912F}" presName="connTx" presStyleLbl="parChTrans1D2" presStyleIdx="4" presStyleCnt="6"/>
      <dgm:spPr/>
      <dgm:t>
        <a:bodyPr/>
        <a:lstStyle/>
        <a:p>
          <a:endParaRPr lang="en-US"/>
        </a:p>
      </dgm:t>
    </dgm:pt>
    <dgm:pt modelId="{F74F2681-A109-4B75-8C08-B2B26769CF03}" type="pres">
      <dgm:prSet presAssocID="{576E161B-59E2-4177-8320-584EBC426979}" presName="node" presStyleLbl="node1" presStyleIdx="4" presStyleCnt="6" custScaleX="231924" custScaleY="106939" custRadScaleRad="276631" custRadScaleInc="58841">
        <dgm:presLayoutVars>
          <dgm:bulletEnabled val="1"/>
        </dgm:presLayoutVars>
      </dgm:prSet>
      <dgm:spPr>
        <a:prstGeom prst="ellipse">
          <a:avLst/>
        </a:prstGeom>
      </dgm:spPr>
      <dgm:t>
        <a:bodyPr/>
        <a:lstStyle/>
        <a:p>
          <a:endParaRPr lang="en-US"/>
        </a:p>
      </dgm:t>
    </dgm:pt>
    <dgm:pt modelId="{AC7E3352-64BC-4978-9AB6-2DD833483239}" type="pres">
      <dgm:prSet presAssocID="{D6278D4F-93AB-42D0-B837-2B99BC1EE808}" presName="Name9" presStyleLbl="parChTrans1D2" presStyleIdx="5" presStyleCnt="6"/>
      <dgm:spPr>
        <a:custGeom>
          <a:avLst/>
          <a:gdLst/>
          <a:ahLst/>
          <a:cxnLst/>
          <a:rect l="0" t="0" r="0" b="0"/>
          <a:pathLst>
            <a:path>
              <a:moveTo>
                <a:pt x="0" y="7778"/>
              </a:moveTo>
              <a:lnTo>
                <a:pt x="386761" y="7778"/>
              </a:lnTo>
            </a:path>
          </a:pathLst>
        </a:custGeom>
      </dgm:spPr>
      <dgm:t>
        <a:bodyPr/>
        <a:lstStyle/>
        <a:p>
          <a:endParaRPr lang="en-US"/>
        </a:p>
      </dgm:t>
    </dgm:pt>
    <dgm:pt modelId="{C620A703-6BE9-4C0F-B737-266F7434DAB4}" type="pres">
      <dgm:prSet presAssocID="{D6278D4F-93AB-42D0-B837-2B99BC1EE808}" presName="connTx" presStyleLbl="parChTrans1D2" presStyleIdx="5" presStyleCnt="6"/>
      <dgm:spPr/>
      <dgm:t>
        <a:bodyPr/>
        <a:lstStyle/>
        <a:p>
          <a:endParaRPr lang="en-US"/>
        </a:p>
      </dgm:t>
    </dgm:pt>
    <dgm:pt modelId="{05C48364-E63B-4056-87CF-0BE50D74190B}" type="pres">
      <dgm:prSet presAssocID="{CEEBDBB9-7602-49B1-BBEB-80C6D1238598}" presName="node" presStyleLbl="node1" presStyleIdx="5" presStyleCnt="6" custScaleX="388228" custScaleY="107134" custRadScaleRad="233558" custRadScaleInc="-54945">
        <dgm:presLayoutVars>
          <dgm:bulletEnabled val="1"/>
        </dgm:presLayoutVars>
      </dgm:prSet>
      <dgm:spPr>
        <a:prstGeom prst="ellipse">
          <a:avLst/>
        </a:prstGeom>
      </dgm:spPr>
      <dgm:t>
        <a:bodyPr/>
        <a:lstStyle/>
        <a:p>
          <a:endParaRPr lang="en-US"/>
        </a:p>
      </dgm:t>
    </dgm:pt>
  </dgm:ptLst>
  <dgm:cxnLst>
    <dgm:cxn modelId="{44EB880B-7660-4CF0-97E5-4E577ACA821D}" srcId="{60F584FC-F7FF-4FD7-86E3-8773293C0460}" destId="{584F0456-7C88-4E15-A6D5-3DF2BDDC45F2}" srcOrd="1" destOrd="0" parTransId="{5BE92476-635C-4AE2-AD14-BF50BB0972EC}" sibTransId="{3EF0F88F-A3C1-4CFC-8CDA-621CE91394E1}"/>
    <dgm:cxn modelId="{D464C17F-6BDB-467F-9B66-BD88B4FE8AD6}" type="presOf" srcId="{21293A80-0F61-406E-BFCA-C5725BC3581F}" destId="{638FE4E5-2063-40D0-A44F-91C88716CF8C}" srcOrd="0" destOrd="0" presId="urn:microsoft.com/office/officeart/2005/8/layout/radial1"/>
    <dgm:cxn modelId="{E34F4D30-A958-4DCD-B2CC-E95BB20CB91C}" type="presOf" srcId="{CEEBDBB9-7602-49B1-BBEB-80C6D1238598}" destId="{05C48364-E63B-4056-87CF-0BE50D74190B}" srcOrd="0" destOrd="0" presId="urn:microsoft.com/office/officeart/2005/8/layout/radial1"/>
    <dgm:cxn modelId="{1C279B7E-4B66-498D-8B3E-4FA61A8DBFD8}" type="presOf" srcId="{D6278D4F-93AB-42D0-B837-2B99BC1EE808}" destId="{C620A703-6BE9-4C0F-B737-266F7434DAB4}" srcOrd="1" destOrd="0" presId="urn:microsoft.com/office/officeart/2005/8/layout/radial1"/>
    <dgm:cxn modelId="{F0631013-526C-4BC2-9868-E539D4D64470}" type="presOf" srcId="{94B19768-91E8-4E7A-A857-C8521D65AF24}" destId="{A030EF9D-9337-4706-B87A-64BDE162520A}" srcOrd="0" destOrd="0" presId="urn:microsoft.com/office/officeart/2005/8/layout/radial1"/>
    <dgm:cxn modelId="{4120A083-4751-419E-8D81-27DE48722C1D}" type="presOf" srcId="{66F0DCEC-2B26-4038-AF1F-D0A98A0F7930}" destId="{7FE108B5-F558-4942-A9EC-465F3C2E5813}" srcOrd="1" destOrd="0" presId="urn:microsoft.com/office/officeart/2005/8/layout/radial1"/>
    <dgm:cxn modelId="{B7C1F4C7-F8D2-4E8E-9688-97FB71E7FDAB}" type="presOf" srcId="{60F584FC-F7FF-4FD7-86E3-8773293C0460}" destId="{3C7CADF7-0742-432E-9EEF-EA9C347A7661}" srcOrd="0" destOrd="0" presId="urn:microsoft.com/office/officeart/2005/8/layout/radial1"/>
    <dgm:cxn modelId="{44C162E1-BE40-4C37-A359-1EFA5D6F2EB1}" type="presOf" srcId="{66F0DCEC-2B26-4038-AF1F-D0A98A0F7930}" destId="{650854B0-9FE7-4FFD-96B2-18F6452E0859}" srcOrd="0" destOrd="0" presId="urn:microsoft.com/office/officeart/2005/8/layout/radial1"/>
    <dgm:cxn modelId="{814DD225-1BC7-45D9-B205-7F46F1079622}" type="presOf" srcId="{3E4183EF-B989-4620-A02C-D54686D6628F}" destId="{4FC73BDC-CE2C-45F4-85CD-F387963DA006}" srcOrd="0" destOrd="0" presId="urn:microsoft.com/office/officeart/2005/8/layout/radial1"/>
    <dgm:cxn modelId="{4743D0B7-30D2-4477-B0F3-968A5A2030E2}" type="presOf" srcId="{93D773F4-8F00-40EC-A451-C5A5ADE485BC}" destId="{F87499B4-AA7B-416D-9B28-377D046017EC}" srcOrd="1" destOrd="0" presId="urn:microsoft.com/office/officeart/2005/8/layout/radial1"/>
    <dgm:cxn modelId="{5154E972-7D5D-4BEB-A0A9-591D29B6BF18}" type="presOf" srcId="{1F889DAC-CE52-4F0F-B94D-85598619AB82}" destId="{E5E0F749-58A7-4B5D-B40F-552D5369ABEE}" srcOrd="1" destOrd="0" presId="urn:microsoft.com/office/officeart/2005/8/layout/radial1"/>
    <dgm:cxn modelId="{D4DE9D39-33AE-4B7E-A144-FFDD0066A140}" type="presOf" srcId="{93D773F4-8F00-40EC-A451-C5A5ADE485BC}" destId="{6A5F15CA-77E2-4C48-8498-A7C7D3C4428C}" srcOrd="0" destOrd="0" presId="urn:microsoft.com/office/officeart/2005/8/layout/radial1"/>
    <dgm:cxn modelId="{FDC22861-9C81-42E4-902F-BBA6EB74BAF0}" type="presOf" srcId="{576E161B-59E2-4177-8320-584EBC426979}" destId="{F74F2681-A109-4B75-8C08-B2B26769CF03}" srcOrd="0" destOrd="0" presId="urn:microsoft.com/office/officeart/2005/8/layout/radial1"/>
    <dgm:cxn modelId="{3B72EE61-4B03-43F9-A8DC-A7E55ABEA7B3}" type="presOf" srcId="{2EF75B39-F486-43BE-8B27-294595126005}" destId="{6394B413-6D12-4C4F-9A8D-E0508CAE8617}" srcOrd="0" destOrd="0" presId="urn:microsoft.com/office/officeart/2005/8/layout/radial1"/>
    <dgm:cxn modelId="{61DD94F1-6346-4D48-B5EE-FCA63EE53020}" type="presOf" srcId="{52A69187-F965-4704-9C1A-29B2281F912F}" destId="{EAF47FDD-7D57-4FF6-9F6B-6E604D2CC0DE}" srcOrd="0" destOrd="0" presId="urn:microsoft.com/office/officeart/2005/8/layout/radial1"/>
    <dgm:cxn modelId="{DEEB71CF-DBF7-4D92-B73C-8EADD419B542}" type="presOf" srcId="{52A69187-F965-4704-9C1A-29B2281F912F}" destId="{E01163DA-75CF-4C32-B81E-41BBCCC937B3}" srcOrd="1" destOrd="0" presId="urn:microsoft.com/office/officeart/2005/8/layout/radial1"/>
    <dgm:cxn modelId="{CA3895D6-DA75-4522-9725-E4D3EC8CB171}" type="presOf" srcId="{5BE92476-635C-4AE2-AD14-BF50BB0972EC}" destId="{00112A8F-12E8-45AC-B551-DFB66BE45059}" srcOrd="0" destOrd="0" presId="urn:microsoft.com/office/officeart/2005/8/layout/radial1"/>
    <dgm:cxn modelId="{9E5FEA84-9167-449A-8D4E-6AC1E114EE89}" type="presOf" srcId="{1F889DAC-CE52-4F0F-B94D-85598619AB82}" destId="{72463A3F-A956-4917-8722-9FD79FB3E09A}" srcOrd="0" destOrd="0" presId="urn:microsoft.com/office/officeart/2005/8/layout/radial1"/>
    <dgm:cxn modelId="{BD8D6ADE-EC44-459F-BA83-8828A6DCC5C3}" srcId="{60F584FC-F7FF-4FD7-86E3-8773293C0460}" destId="{21293A80-0F61-406E-BFCA-C5725BC3581F}" srcOrd="3" destOrd="0" parTransId="{93D773F4-8F00-40EC-A451-C5A5ADE485BC}" sibTransId="{257D66A3-5C96-41AD-A09B-F6DC2C7DFB10}"/>
    <dgm:cxn modelId="{D4C1BC69-C745-405B-9248-C6E8862DD509}" srcId="{60F584FC-F7FF-4FD7-86E3-8773293C0460}" destId="{CEEBDBB9-7602-49B1-BBEB-80C6D1238598}" srcOrd="5" destOrd="0" parTransId="{D6278D4F-93AB-42D0-B837-2B99BC1EE808}" sibTransId="{3F7B98CE-94D6-4D7D-8314-AFA01590058A}"/>
    <dgm:cxn modelId="{0872B5C3-971C-4397-94C1-FDC0412A9ADC}" srcId="{3E4183EF-B989-4620-A02C-D54686D6628F}" destId="{60F584FC-F7FF-4FD7-86E3-8773293C0460}" srcOrd="0" destOrd="0" parTransId="{474A81AD-BFE3-4D32-9342-2C25E06E5B46}" sibTransId="{28FB44EF-A1AD-4FBB-B0D1-E98EB36FC510}"/>
    <dgm:cxn modelId="{BA0B21AC-350F-4DDA-A443-58447D95EEF1}" srcId="{60F584FC-F7FF-4FD7-86E3-8773293C0460}" destId="{576E161B-59E2-4177-8320-584EBC426979}" srcOrd="4" destOrd="0" parTransId="{52A69187-F965-4704-9C1A-29B2281F912F}" sibTransId="{E9F92651-5262-450E-9258-F1F8976476A8}"/>
    <dgm:cxn modelId="{BDF88ED4-9A0D-48B1-9EC9-29537EA510AD}" type="presOf" srcId="{584F0456-7C88-4E15-A6D5-3DF2BDDC45F2}" destId="{423B6D89-2000-40C7-8429-BD38C7402395}" srcOrd="0" destOrd="0" presId="urn:microsoft.com/office/officeart/2005/8/layout/radial1"/>
    <dgm:cxn modelId="{7A535EC5-DDDD-4623-B4E4-F6D5A643D821}" type="presOf" srcId="{D6278D4F-93AB-42D0-B837-2B99BC1EE808}" destId="{AC7E3352-64BC-4978-9AB6-2DD833483239}" srcOrd="0" destOrd="0" presId="urn:microsoft.com/office/officeart/2005/8/layout/radial1"/>
    <dgm:cxn modelId="{13EE055A-49C0-4BF7-A342-0F3BBD87F360}" type="presOf" srcId="{5BE92476-635C-4AE2-AD14-BF50BB0972EC}" destId="{48B32C5A-7076-4480-B5CB-D9EFDA8D8FDB}" srcOrd="1" destOrd="0" presId="urn:microsoft.com/office/officeart/2005/8/layout/radial1"/>
    <dgm:cxn modelId="{E719C6E7-4776-4FC2-9ECD-F0D273135B37}" srcId="{60F584FC-F7FF-4FD7-86E3-8773293C0460}" destId="{94B19768-91E8-4E7A-A857-C8521D65AF24}" srcOrd="0" destOrd="0" parTransId="{1F889DAC-CE52-4F0F-B94D-85598619AB82}" sibTransId="{174FD7F3-8467-46EB-ACD9-4B0EA7D3C4BA}"/>
    <dgm:cxn modelId="{D0987D88-807B-4994-94E2-80A6C1D9AE52}" srcId="{60F584FC-F7FF-4FD7-86E3-8773293C0460}" destId="{2EF75B39-F486-43BE-8B27-294595126005}" srcOrd="2" destOrd="0" parTransId="{66F0DCEC-2B26-4038-AF1F-D0A98A0F7930}" sibTransId="{A29EC13D-3B1F-4904-8025-5B38BEEF3183}"/>
    <dgm:cxn modelId="{E1FEC13E-D1BB-4135-86D2-D30038C02731}" type="presParOf" srcId="{4FC73BDC-CE2C-45F4-85CD-F387963DA006}" destId="{3C7CADF7-0742-432E-9EEF-EA9C347A7661}" srcOrd="0" destOrd="0" presId="urn:microsoft.com/office/officeart/2005/8/layout/radial1"/>
    <dgm:cxn modelId="{E706CC28-F84D-4E49-B538-67187F4A403D}" type="presParOf" srcId="{4FC73BDC-CE2C-45F4-85CD-F387963DA006}" destId="{72463A3F-A956-4917-8722-9FD79FB3E09A}" srcOrd="1" destOrd="0" presId="urn:microsoft.com/office/officeart/2005/8/layout/radial1"/>
    <dgm:cxn modelId="{F960E0FD-DBBD-4AAD-B00E-8716B61E90FF}" type="presParOf" srcId="{72463A3F-A956-4917-8722-9FD79FB3E09A}" destId="{E5E0F749-58A7-4B5D-B40F-552D5369ABEE}" srcOrd="0" destOrd="0" presId="urn:microsoft.com/office/officeart/2005/8/layout/radial1"/>
    <dgm:cxn modelId="{030C77AF-22A9-4543-8C08-24975A7A26C5}" type="presParOf" srcId="{4FC73BDC-CE2C-45F4-85CD-F387963DA006}" destId="{A030EF9D-9337-4706-B87A-64BDE162520A}" srcOrd="2" destOrd="0" presId="urn:microsoft.com/office/officeart/2005/8/layout/radial1"/>
    <dgm:cxn modelId="{7A574BA1-7F15-421A-B559-89195898CAFA}" type="presParOf" srcId="{4FC73BDC-CE2C-45F4-85CD-F387963DA006}" destId="{00112A8F-12E8-45AC-B551-DFB66BE45059}" srcOrd="3" destOrd="0" presId="urn:microsoft.com/office/officeart/2005/8/layout/radial1"/>
    <dgm:cxn modelId="{5A2319C1-365B-4F62-B588-DF7F832D3179}" type="presParOf" srcId="{00112A8F-12E8-45AC-B551-DFB66BE45059}" destId="{48B32C5A-7076-4480-B5CB-D9EFDA8D8FDB}" srcOrd="0" destOrd="0" presId="urn:microsoft.com/office/officeart/2005/8/layout/radial1"/>
    <dgm:cxn modelId="{61523128-5D7B-411A-AD7D-77F29952B5AD}" type="presParOf" srcId="{4FC73BDC-CE2C-45F4-85CD-F387963DA006}" destId="{423B6D89-2000-40C7-8429-BD38C7402395}" srcOrd="4" destOrd="0" presId="urn:microsoft.com/office/officeart/2005/8/layout/radial1"/>
    <dgm:cxn modelId="{5ECE9783-26B3-411B-80E9-1C8E6C358032}" type="presParOf" srcId="{4FC73BDC-CE2C-45F4-85CD-F387963DA006}" destId="{650854B0-9FE7-4FFD-96B2-18F6452E0859}" srcOrd="5" destOrd="0" presId="urn:microsoft.com/office/officeart/2005/8/layout/radial1"/>
    <dgm:cxn modelId="{CF12FB9E-0494-42CA-867B-6A79E0A54534}" type="presParOf" srcId="{650854B0-9FE7-4FFD-96B2-18F6452E0859}" destId="{7FE108B5-F558-4942-A9EC-465F3C2E5813}" srcOrd="0" destOrd="0" presId="urn:microsoft.com/office/officeart/2005/8/layout/radial1"/>
    <dgm:cxn modelId="{D8A34B88-8F6E-45C7-94B1-8AF443E146A7}" type="presParOf" srcId="{4FC73BDC-CE2C-45F4-85CD-F387963DA006}" destId="{6394B413-6D12-4C4F-9A8D-E0508CAE8617}" srcOrd="6" destOrd="0" presId="urn:microsoft.com/office/officeart/2005/8/layout/radial1"/>
    <dgm:cxn modelId="{4ED55EA7-A8BA-41A2-B55E-83E2F5D1315B}" type="presParOf" srcId="{4FC73BDC-CE2C-45F4-85CD-F387963DA006}" destId="{6A5F15CA-77E2-4C48-8498-A7C7D3C4428C}" srcOrd="7" destOrd="0" presId="urn:microsoft.com/office/officeart/2005/8/layout/radial1"/>
    <dgm:cxn modelId="{CC80FEA8-3ADE-4174-BA9C-39D16AAEE2CC}" type="presParOf" srcId="{6A5F15CA-77E2-4C48-8498-A7C7D3C4428C}" destId="{F87499B4-AA7B-416D-9B28-377D046017EC}" srcOrd="0" destOrd="0" presId="urn:microsoft.com/office/officeart/2005/8/layout/radial1"/>
    <dgm:cxn modelId="{A14220BA-F0E2-448C-830A-021E60F10948}" type="presParOf" srcId="{4FC73BDC-CE2C-45F4-85CD-F387963DA006}" destId="{638FE4E5-2063-40D0-A44F-91C88716CF8C}" srcOrd="8" destOrd="0" presId="urn:microsoft.com/office/officeart/2005/8/layout/radial1"/>
    <dgm:cxn modelId="{C444E006-D2A9-4189-915E-7C990C8D65B1}" type="presParOf" srcId="{4FC73BDC-CE2C-45F4-85CD-F387963DA006}" destId="{EAF47FDD-7D57-4FF6-9F6B-6E604D2CC0DE}" srcOrd="9" destOrd="0" presId="urn:microsoft.com/office/officeart/2005/8/layout/radial1"/>
    <dgm:cxn modelId="{F7954D72-C708-4B33-8685-574DCE506D06}" type="presParOf" srcId="{EAF47FDD-7D57-4FF6-9F6B-6E604D2CC0DE}" destId="{E01163DA-75CF-4C32-B81E-41BBCCC937B3}" srcOrd="0" destOrd="0" presId="urn:microsoft.com/office/officeart/2005/8/layout/radial1"/>
    <dgm:cxn modelId="{C10CD896-C4FE-41AB-8DCF-384FB3DEF929}" type="presParOf" srcId="{4FC73BDC-CE2C-45F4-85CD-F387963DA006}" destId="{F74F2681-A109-4B75-8C08-B2B26769CF03}" srcOrd="10" destOrd="0" presId="urn:microsoft.com/office/officeart/2005/8/layout/radial1"/>
    <dgm:cxn modelId="{53F36CE0-E29E-4D5A-8155-0E782524624D}" type="presParOf" srcId="{4FC73BDC-CE2C-45F4-85CD-F387963DA006}" destId="{AC7E3352-64BC-4978-9AB6-2DD833483239}" srcOrd="11" destOrd="0" presId="urn:microsoft.com/office/officeart/2005/8/layout/radial1"/>
    <dgm:cxn modelId="{A6415ABB-BFA2-49EC-80B5-1980FCB1AADE}" type="presParOf" srcId="{AC7E3352-64BC-4978-9AB6-2DD833483239}" destId="{C620A703-6BE9-4C0F-B737-266F7434DAB4}" srcOrd="0" destOrd="0" presId="urn:microsoft.com/office/officeart/2005/8/layout/radial1"/>
    <dgm:cxn modelId="{4F7AA668-9EC9-4C54-9927-B670787052F7}" type="presParOf" srcId="{4FC73BDC-CE2C-45F4-85CD-F387963DA006}" destId="{05C48364-E63B-4056-87CF-0BE50D74190B}" srcOrd="12" destOrd="0" presId="urn:microsoft.com/office/officeart/2005/8/layout/radial1"/>
  </dgm:cxnLst>
  <dgm:bg/>
  <dgm:whole/>
  <dgm:extLst>
    <a:ext uri="http://schemas.microsoft.com/office/drawing/2008/diagram">
      <dsp:dataModelExt xmlns:dsp="http://schemas.microsoft.com/office/drawing/2008/diagram" relId="rId153"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348506" y="1028053"/>
          <a:ext cx="1208818" cy="360702"/>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16</a:t>
          </a:r>
        </a:p>
      </dgm:t>
    </dgm:pt>
    <dgm:pt modelId="{474A81AD-BFE3-4D32-9342-2C25E06E5B46}" type="parTrans" cxnId="{0872B5C3-971C-4397-94C1-FDC0412A9ADC}">
      <dgm:prSet/>
      <dgm:spPr/>
      <dgm:t>
        <a:bodyPr/>
        <a:lstStyle/>
        <a:p>
          <a:endParaRPr lang="en-US"/>
        </a:p>
      </dgm:t>
    </dgm:pt>
    <dgm:pt modelId="{28FB44EF-A1AD-4FBB-B0D1-E98EB36FC510}" type="sibTrans" cxnId="{0872B5C3-971C-4397-94C1-FDC0412A9ADC}">
      <dgm:prSet/>
      <dgm:spPr/>
      <dgm:t>
        <a:bodyPr/>
        <a:lstStyle/>
        <a:p>
          <a:endParaRPr lang="en-US"/>
        </a:p>
      </dgm:t>
    </dgm:pt>
    <dgm:pt modelId="{9A4BDCAE-D9CA-400C-8B2D-68AB68A08E2A}">
      <dgm:prSet phldrT="[Text]" custT="1"/>
      <dgm:spPr>
        <a:xfrm>
          <a:off x="2477943" y="104069"/>
          <a:ext cx="950689" cy="45434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Sistema del PCT</a:t>
          </a:r>
        </a:p>
      </dgm:t>
    </dgm:pt>
    <dgm:pt modelId="{E9A3E352-4E95-497B-A994-2D750C2A9509}" type="parTrans" cxnId="{A0D7B160-B2D6-4FF0-B898-61A69264BA8C}">
      <dgm:prSet/>
      <dgm:spPr>
        <a:xfrm rot="16201461">
          <a:off x="2718271" y="785718"/>
          <a:ext cx="469641"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8ADEECF-D7D2-4E14-BB97-4FB081DAC71A}" type="sibTrans" cxnId="{A0D7B160-B2D6-4FF0-B898-61A69264BA8C}">
      <dgm:prSet/>
      <dgm:spPr/>
      <dgm:t>
        <a:bodyPr/>
        <a:lstStyle/>
        <a:p>
          <a:endParaRPr lang="en-US"/>
        </a:p>
      </dgm:t>
    </dgm:pt>
    <dgm:pt modelId="{94B19768-91E8-4E7A-A857-C8521D65AF24}">
      <dgm:prSet phldrT="[Text]" custT="1"/>
      <dgm:spPr>
        <a:xfrm>
          <a:off x="3527819" y="148075"/>
          <a:ext cx="1229666" cy="52266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Madrid</a:t>
          </a:r>
        </a:p>
      </dgm:t>
    </dgm:pt>
    <dgm:pt modelId="{1F889DAC-CE52-4F0F-B94D-85598619AB82}" type="parTrans" cxnId="{E719C6E7-4776-4FC2-9ECD-F0D273135B37}">
      <dgm:prSet/>
      <dgm:spPr>
        <a:xfrm rot="19566942">
          <a:off x="3135369" y="829394"/>
          <a:ext cx="741432"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74FD7F3-8467-46EB-ACD9-4B0EA7D3C4BA}" type="sibTrans" cxnId="{E719C6E7-4776-4FC2-9ECD-F0D273135B37}">
      <dgm:prSet/>
      <dgm:spPr/>
      <dgm:t>
        <a:bodyPr/>
        <a:lstStyle/>
        <a:p>
          <a:endParaRPr lang="en-US"/>
        </a:p>
      </dgm:t>
    </dgm:pt>
    <dgm:pt modelId="{584F0456-7C88-4E15-A6D5-3DF2BDDC45F2}">
      <dgm:prSet phldrT="[Text]" custT="1"/>
      <dgm:spPr>
        <a:xfrm>
          <a:off x="4512130" y="647338"/>
          <a:ext cx="940669" cy="44392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8</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C.A.D</a:t>
          </a:r>
        </a:p>
      </dgm:t>
    </dgm:pt>
    <dgm:pt modelId="{5BE92476-635C-4AE2-AD14-BF50BB0972EC}" type="parTrans" cxnId="{44EB880B-7660-4CF0-97E5-4E577ACA821D}">
      <dgm:prSet/>
      <dgm:spPr>
        <a:xfrm rot="21030864">
          <a:off x="3472938" y="1024320"/>
          <a:ext cx="1073498"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EF0F88F-A3C1-4CFC-8CDA-621CE91394E1}" type="sibTrans" cxnId="{44EB880B-7660-4CF0-97E5-4E577ACA821D}">
      <dgm:prSet/>
      <dgm:spPr/>
      <dgm:t>
        <a:bodyPr/>
        <a:lstStyle/>
        <a:p>
          <a:endParaRPr lang="en-US"/>
        </a:p>
      </dgm:t>
    </dgm:pt>
    <dgm:pt modelId="{2EF75B39-F486-43BE-8B27-294595126005}">
      <dgm:prSet phldrT="[Text]" custT="1"/>
      <dgm:spPr>
        <a:xfrm>
          <a:off x="4260806" y="1250044"/>
          <a:ext cx="1336596" cy="51044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gm:t>
    </dgm:pt>
    <dgm:pt modelId="{66F0DCEC-2B26-4038-AF1F-D0A98A0F7930}" type="parTrans" cxnId="{D0987D88-807B-4994-94E2-80A6C1D9AE52}">
      <dgm:prSet/>
      <dgm:spPr>
        <a:xfrm rot="512584">
          <a:off x="3488203" y="1343157"/>
          <a:ext cx="823554"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29EC13D-3B1F-4904-8025-5B38BEEF3183}" type="sibTrans" cxnId="{D0987D88-807B-4994-94E2-80A6C1D9AE52}">
      <dgm:prSet/>
      <dgm:spPr/>
      <dgm:t>
        <a:bodyPr/>
        <a:lstStyle/>
        <a:p>
          <a:endParaRPr lang="en-US"/>
        </a:p>
      </dgm:t>
    </dgm:pt>
    <dgm:pt modelId="{4761FE57-664D-44AD-8EF1-E6096D64297F}">
      <dgm:prSet phldrT="[Text]" custT="1"/>
      <dgm:spPr>
        <a:xfrm>
          <a:off x="3755225" y="1818795"/>
          <a:ext cx="1030826" cy="43369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a:t>
          </a:r>
        </a:p>
      </dgm:t>
    </dgm:pt>
    <dgm:pt modelId="{F6DE2413-45CD-453B-A258-F22A53BBB241}" type="parTrans" cxnId="{A5666C79-BF01-4153-AB0A-BB16CAE1F135}">
      <dgm:prSet/>
      <dgm:spPr>
        <a:xfrm rot="1927179">
          <a:off x="3142684" y="1605884"/>
          <a:ext cx="910711"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88511AC-ECAB-47A8-A0B0-D7AAFEE02A39}" type="sibTrans" cxnId="{A5666C79-BF01-4153-AB0A-BB16CAE1F135}">
      <dgm:prSet/>
      <dgm:spPr/>
      <dgm:t>
        <a:bodyPr/>
        <a:lstStyle/>
        <a:p>
          <a:endParaRPr lang="en-US"/>
        </a:p>
      </dgm:t>
    </dgm:pt>
    <dgm:pt modelId="{576E161B-59E2-4177-8320-584EBC426979}">
      <dgm:prSet phldrT="[Text]" custT="1"/>
      <dgm:spPr>
        <a:xfrm>
          <a:off x="2315104" y="2004458"/>
          <a:ext cx="1265928" cy="47325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52A69187-F965-4704-9C1A-29B2281F912F}" type="parTrans" cxnId="{BA0B21AC-350F-4DDA-A443-58447D95EEF1}">
      <dgm:prSet/>
      <dgm:spPr>
        <a:xfrm rot="5416133">
          <a:off x="2642768" y="1689092"/>
          <a:ext cx="615710"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9F92651-5262-450E-9258-F1F8976476A8}" type="sibTrans" cxnId="{BA0B21AC-350F-4DDA-A443-58447D95EEF1}">
      <dgm:prSet/>
      <dgm:spPr/>
      <dgm:t>
        <a:bodyPr/>
        <a:lstStyle/>
        <a:p>
          <a:endParaRPr lang="en-US"/>
        </a:p>
      </dgm:t>
    </dgm:pt>
    <dgm:pt modelId="{CEEBDBB9-7602-49B1-BBEB-80C6D1238598}">
      <dgm:prSet phldrT="[Text]" custT="1"/>
      <dgm:spPr>
        <a:xfrm>
          <a:off x="894205" y="1817199"/>
          <a:ext cx="1262940" cy="46386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19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Comunicaciones</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6278D4F-93AB-42D0-B837-2B99BC1EE808}" type="parTrans" cxnId="{D4C1BC69-C745-405B-9248-C6E8862DD509}">
      <dgm:prSet/>
      <dgm:spPr>
        <a:xfrm rot="8969968">
          <a:off x="1793936" y="1603292"/>
          <a:ext cx="951698"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F7B98CE-94D6-4D7D-8314-AFA01590058A}" type="sibTrans" cxnId="{D4C1BC69-C745-405B-9248-C6E8862DD509}">
      <dgm:prSet/>
      <dgm:spPr/>
      <dgm:t>
        <a:bodyPr/>
        <a:lstStyle/>
        <a:p>
          <a:endParaRPr lang="en-US"/>
        </a:p>
      </dgm:t>
    </dgm:pt>
    <dgm:pt modelId="{61905482-A221-41E9-B64F-E0DDCF7406CB}">
      <dgm:prSet phldrT="[Text]" custT="1"/>
      <dgm:spPr>
        <a:xfrm>
          <a:off x="158067" y="1301921"/>
          <a:ext cx="1198351" cy="48899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21</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Gestión ejecutiva</a:t>
          </a:r>
        </a:p>
      </dgm:t>
    </dgm:pt>
    <dgm:pt modelId="{19A5BFAE-AE0D-4BC3-821E-ACDBC402E1F3}" type="parTrans" cxnId="{7A10D267-5114-47D3-9B72-BCDF70FFAB8C}">
      <dgm:prSet/>
      <dgm:spPr>
        <a:xfrm rot="10274898">
          <a:off x="1311383" y="1368089"/>
          <a:ext cx="1110861"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1B3C576-1467-4E2A-8F61-40CA47AE2A73}" type="sibTrans" cxnId="{7A10D267-5114-47D3-9B72-BCDF70FFAB8C}">
      <dgm:prSet/>
      <dgm:spPr/>
      <dgm:t>
        <a:bodyPr/>
        <a:lstStyle/>
        <a:p>
          <a:endParaRPr lang="en-US"/>
        </a:p>
      </dgm:t>
    </dgm:pt>
    <dgm:pt modelId="{39DF5EDE-47C5-44AA-84A0-610EE4D8EEAF}">
      <dgm:prSet phldrT="[Text]" custT="1"/>
      <dgm:spPr>
        <a:xfrm>
          <a:off x="1257301" y="171450"/>
          <a:ext cx="1137261" cy="49808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31</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La Haya</a:t>
          </a:r>
        </a:p>
      </dgm:t>
    </dgm:pt>
    <dgm:pt modelId="{2C8D74EC-0F5E-4E72-B00E-305D37408E09}" type="parTrans" cxnId="{12DD7879-5DAB-453E-8626-CC034CCD481D}">
      <dgm:prSet/>
      <dgm:spPr>
        <a:xfrm rot="12897517">
          <a:off x="2063098" y="829523"/>
          <a:ext cx="717268"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B460AF1-5C69-4760-9FBE-539FD0921E3A}" type="sibTrans" cxnId="{12DD7879-5DAB-453E-8626-CC034CCD481D}">
      <dgm:prSet/>
      <dgm:spPr/>
      <dgm:t>
        <a:bodyPr/>
        <a:lstStyle/>
        <a:p>
          <a:endParaRPr lang="en-US"/>
        </a:p>
      </dgm:t>
    </dgm:pt>
    <dgm:pt modelId="{8EC353A6-4F6A-4502-96F3-6C0A4C1DAA96}">
      <dgm:prSet phldrT="[Text]" custT="1"/>
      <dgm:spPr>
        <a:xfrm>
          <a:off x="271200" y="623711"/>
          <a:ext cx="1247273" cy="546812"/>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22</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Gestión de programas y recursos</a:t>
          </a: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B96F5D54-1A60-4750-86C5-C7C55223704E}" type="parTrans" cxnId="{5DAFA89F-4C50-49EC-868E-81320326A617}">
      <dgm:prSet/>
      <dgm:spPr>
        <a:xfrm rot="11316053">
          <a:off x="1479089" y="1049060"/>
          <a:ext cx="940004"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F43BDEE-CFCB-4DD6-B860-72E17A3E4431}" type="sibTrans" cxnId="{5DAFA89F-4C50-49EC-868E-81320326A617}">
      <dgm:prSet/>
      <dgm:spPr/>
      <dgm:t>
        <a:bodyPr/>
        <a:lstStyle/>
        <a:p>
          <a:endParaRPr lang="en-US"/>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243582" custScaleY="72683" custLinFactNeighborX="165" custLinFactNeighborY="-3939"/>
      <dgm:spPr>
        <a:prstGeom prst="ellipse">
          <a:avLst/>
        </a:prstGeom>
      </dgm:spPr>
      <dgm:t>
        <a:bodyPr/>
        <a:lstStyle/>
        <a:p>
          <a:endParaRPr lang="en-US"/>
        </a:p>
      </dgm:t>
    </dgm:pt>
    <dgm:pt modelId="{E887F142-3B93-49E1-A09D-1DCD207D21D1}" type="pres">
      <dgm:prSet presAssocID="{E9A3E352-4E95-497B-A994-2D750C2A9509}" presName="Name9" presStyleLbl="parChTrans1D2" presStyleIdx="0" presStyleCnt="10"/>
      <dgm:spPr>
        <a:custGeom>
          <a:avLst/>
          <a:gdLst/>
          <a:ahLst/>
          <a:cxnLst/>
          <a:rect l="0" t="0" r="0" b="0"/>
          <a:pathLst>
            <a:path>
              <a:moveTo>
                <a:pt x="0" y="7514"/>
              </a:moveTo>
              <a:lnTo>
                <a:pt x="469641" y="7514"/>
              </a:lnTo>
            </a:path>
          </a:pathLst>
        </a:custGeom>
      </dgm:spPr>
      <dgm:t>
        <a:bodyPr/>
        <a:lstStyle/>
        <a:p>
          <a:endParaRPr lang="en-US"/>
        </a:p>
      </dgm:t>
    </dgm:pt>
    <dgm:pt modelId="{0C3245EA-B4A2-4A29-A94D-6F5271E8D13D}" type="pres">
      <dgm:prSet presAssocID="{E9A3E352-4E95-497B-A994-2D750C2A9509}" presName="connTx" presStyleLbl="parChTrans1D2" presStyleIdx="0" presStyleCnt="10"/>
      <dgm:spPr/>
      <dgm:t>
        <a:bodyPr/>
        <a:lstStyle/>
        <a:p>
          <a:endParaRPr lang="en-US"/>
        </a:p>
      </dgm:t>
    </dgm:pt>
    <dgm:pt modelId="{3EA08C86-6A87-4381-A9A9-F10D993E2D53}" type="pres">
      <dgm:prSet presAssocID="{9A4BDCAE-D9CA-400C-8B2D-68AB68A08E2A}" presName="node" presStyleLbl="node1" presStyleIdx="0" presStyleCnt="10" custScaleX="216243" custScaleY="97495" custRadScaleRad="91877" custRadScaleInc="1267">
        <dgm:presLayoutVars>
          <dgm:bulletEnabled val="1"/>
        </dgm:presLayoutVars>
      </dgm:prSet>
      <dgm:spPr>
        <a:prstGeom prst="ellipse">
          <a:avLst/>
        </a:prstGeom>
      </dgm:spPr>
      <dgm:t>
        <a:bodyPr/>
        <a:lstStyle/>
        <a:p>
          <a:endParaRPr lang="en-US"/>
        </a:p>
      </dgm:t>
    </dgm:pt>
    <dgm:pt modelId="{72463A3F-A956-4917-8722-9FD79FB3E09A}" type="pres">
      <dgm:prSet presAssocID="{1F889DAC-CE52-4F0F-B94D-85598619AB82}" presName="Name9" presStyleLbl="parChTrans1D2" presStyleIdx="1" presStyleCnt="10"/>
      <dgm:spPr>
        <a:custGeom>
          <a:avLst/>
          <a:gdLst/>
          <a:ahLst/>
          <a:cxnLst/>
          <a:rect l="0" t="0" r="0" b="0"/>
          <a:pathLst>
            <a:path>
              <a:moveTo>
                <a:pt x="0" y="7514"/>
              </a:moveTo>
              <a:lnTo>
                <a:pt x="741432" y="7514"/>
              </a:lnTo>
            </a:path>
          </a:pathLst>
        </a:custGeom>
      </dgm:spPr>
      <dgm:t>
        <a:bodyPr/>
        <a:lstStyle/>
        <a:p>
          <a:endParaRPr lang="en-US"/>
        </a:p>
      </dgm:t>
    </dgm:pt>
    <dgm:pt modelId="{E5E0F749-58A7-4B5D-B40F-552D5369ABEE}" type="pres">
      <dgm:prSet presAssocID="{1F889DAC-CE52-4F0F-B94D-85598619AB82}" presName="connTx" presStyleLbl="parChTrans1D2" presStyleIdx="1" presStyleCnt="10"/>
      <dgm:spPr/>
      <dgm:t>
        <a:bodyPr/>
        <a:lstStyle/>
        <a:p>
          <a:endParaRPr lang="en-US"/>
        </a:p>
      </dgm:t>
    </dgm:pt>
    <dgm:pt modelId="{A030EF9D-9337-4706-B87A-64BDE162520A}" type="pres">
      <dgm:prSet presAssocID="{94B19768-91E8-4E7A-A857-C8521D65AF24}" presName="node" presStyleLbl="node1" presStyleIdx="1" presStyleCnt="10" custScaleX="252970" custScaleY="105319" custRadScaleRad="146976" custRadScaleInc="110999">
        <dgm:presLayoutVars>
          <dgm:bulletEnabled val="1"/>
        </dgm:presLayoutVars>
      </dgm:prSet>
      <dgm:spPr>
        <a:prstGeom prst="ellipse">
          <a:avLst/>
        </a:prstGeom>
      </dgm:spPr>
      <dgm:t>
        <a:bodyPr/>
        <a:lstStyle/>
        <a:p>
          <a:endParaRPr lang="en-US"/>
        </a:p>
      </dgm:t>
    </dgm:pt>
    <dgm:pt modelId="{00112A8F-12E8-45AC-B551-DFB66BE45059}" type="pres">
      <dgm:prSet presAssocID="{5BE92476-635C-4AE2-AD14-BF50BB0972EC}" presName="Name9" presStyleLbl="parChTrans1D2" presStyleIdx="2" presStyleCnt="10"/>
      <dgm:spPr>
        <a:custGeom>
          <a:avLst/>
          <a:gdLst/>
          <a:ahLst/>
          <a:cxnLst/>
          <a:rect l="0" t="0" r="0" b="0"/>
          <a:pathLst>
            <a:path>
              <a:moveTo>
                <a:pt x="0" y="7514"/>
              </a:moveTo>
              <a:lnTo>
                <a:pt x="1073498" y="7514"/>
              </a:lnTo>
            </a:path>
          </a:pathLst>
        </a:custGeom>
      </dgm:spPr>
      <dgm:t>
        <a:bodyPr/>
        <a:lstStyle/>
        <a:p>
          <a:endParaRPr lang="en-US"/>
        </a:p>
      </dgm:t>
    </dgm:pt>
    <dgm:pt modelId="{48B32C5A-7076-4480-B5CB-D9EFDA8D8FDB}" type="pres">
      <dgm:prSet presAssocID="{5BE92476-635C-4AE2-AD14-BF50BB0972EC}" presName="connTx" presStyleLbl="parChTrans1D2" presStyleIdx="2" presStyleCnt="10"/>
      <dgm:spPr/>
      <dgm:t>
        <a:bodyPr/>
        <a:lstStyle/>
        <a:p>
          <a:endParaRPr lang="en-US"/>
        </a:p>
      </dgm:t>
    </dgm:pt>
    <dgm:pt modelId="{423B6D89-2000-40C7-8429-BD38C7402395}" type="pres">
      <dgm:prSet presAssocID="{584F0456-7C88-4E15-A6D5-3DF2BDDC45F2}" presName="node" presStyleLbl="node1" presStyleIdx="2" presStyleCnt="10" custScaleX="189549" custScaleY="89452" custRadScaleRad="198820" custRadScaleInc="34946">
        <dgm:presLayoutVars>
          <dgm:bulletEnabled val="1"/>
        </dgm:presLayoutVars>
      </dgm:prSet>
      <dgm:spPr>
        <a:prstGeom prst="ellipse">
          <a:avLst/>
        </a:prstGeom>
      </dgm:spPr>
      <dgm:t>
        <a:bodyPr/>
        <a:lstStyle/>
        <a:p>
          <a:endParaRPr lang="en-US"/>
        </a:p>
      </dgm:t>
    </dgm:pt>
    <dgm:pt modelId="{650854B0-9FE7-4FFD-96B2-18F6452E0859}" type="pres">
      <dgm:prSet presAssocID="{66F0DCEC-2B26-4038-AF1F-D0A98A0F7930}" presName="Name9" presStyleLbl="parChTrans1D2" presStyleIdx="3" presStyleCnt="10"/>
      <dgm:spPr>
        <a:custGeom>
          <a:avLst/>
          <a:gdLst/>
          <a:ahLst/>
          <a:cxnLst/>
          <a:rect l="0" t="0" r="0" b="0"/>
          <a:pathLst>
            <a:path>
              <a:moveTo>
                <a:pt x="0" y="7514"/>
              </a:moveTo>
              <a:lnTo>
                <a:pt x="823554" y="7514"/>
              </a:lnTo>
            </a:path>
          </a:pathLst>
        </a:custGeom>
      </dgm:spPr>
      <dgm:t>
        <a:bodyPr/>
        <a:lstStyle/>
        <a:p>
          <a:endParaRPr lang="en-US"/>
        </a:p>
      </dgm:t>
    </dgm:pt>
    <dgm:pt modelId="{7FE108B5-F558-4942-A9EC-465F3C2E5813}" type="pres">
      <dgm:prSet presAssocID="{66F0DCEC-2B26-4038-AF1F-D0A98A0F7930}" presName="connTx" presStyleLbl="parChTrans1D2" presStyleIdx="3" presStyleCnt="10"/>
      <dgm:spPr/>
      <dgm:t>
        <a:bodyPr/>
        <a:lstStyle/>
        <a:p>
          <a:endParaRPr lang="en-US"/>
        </a:p>
      </dgm:t>
    </dgm:pt>
    <dgm:pt modelId="{6394B413-6D12-4C4F-9A8D-E0508CAE8617}" type="pres">
      <dgm:prSet presAssocID="{2EF75B39-F486-43BE-8B27-294595126005}" presName="node" presStyleLbl="node1" presStyleIdx="3" presStyleCnt="10" custScaleX="269330" custScaleY="102857" custRadScaleRad="190683" custRadScaleInc="-65629">
        <dgm:presLayoutVars>
          <dgm:bulletEnabled val="1"/>
        </dgm:presLayoutVars>
      </dgm:prSet>
      <dgm:spPr>
        <a:prstGeom prst="ellipse">
          <a:avLst/>
        </a:prstGeom>
      </dgm:spPr>
      <dgm:t>
        <a:bodyPr/>
        <a:lstStyle/>
        <a:p>
          <a:endParaRPr lang="en-US"/>
        </a:p>
      </dgm:t>
    </dgm:pt>
    <dgm:pt modelId="{DEF09AAB-E09E-4486-8914-E37D47E60824}" type="pres">
      <dgm:prSet presAssocID="{F6DE2413-45CD-453B-A258-F22A53BBB241}" presName="Name9" presStyleLbl="parChTrans1D2" presStyleIdx="4" presStyleCnt="10"/>
      <dgm:spPr>
        <a:custGeom>
          <a:avLst/>
          <a:gdLst/>
          <a:ahLst/>
          <a:cxnLst/>
          <a:rect l="0" t="0" r="0" b="0"/>
          <a:pathLst>
            <a:path>
              <a:moveTo>
                <a:pt x="0" y="7514"/>
              </a:moveTo>
              <a:lnTo>
                <a:pt x="910711" y="7514"/>
              </a:lnTo>
            </a:path>
          </a:pathLst>
        </a:custGeom>
      </dgm:spPr>
      <dgm:t>
        <a:bodyPr/>
        <a:lstStyle/>
        <a:p>
          <a:endParaRPr lang="en-US"/>
        </a:p>
      </dgm:t>
    </dgm:pt>
    <dgm:pt modelId="{B0514361-30D3-4311-BC21-0743B7F01673}" type="pres">
      <dgm:prSet presAssocID="{F6DE2413-45CD-453B-A258-F22A53BBB241}" presName="connTx" presStyleLbl="parChTrans1D2" presStyleIdx="4" presStyleCnt="10"/>
      <dgm:spPr/>
      <dgm:t>
        <a:bodyPr/>
        <a:lstStyle/>
        <a:p>
          <a:endParaRPr lang="en-US"/>
        </a:p>
      </dgm:t>
    </dgm:pt>
    <dgm:pt modelId="{2ED32773-10C9-4671-A0BF-4C0DAB40AE25}" type="pres">
      <dgm:prSet presAssocID="{4761FE57-664D-44AD-8EF1-E6096D64297F}" presName="node" presStyleLbl="node1" presStyleIdx="4" presStyleCnt="10" custScaleX="207716" custScaleY="87391" custRadScaleRad="145244" custRadScaleInc="-136570">
        <dgm:presLayoutVars>
          <dgm:bulletEnabled val="1"/>
        </dgm:presLayoutVars>
      </dgm:prSet>
      <dgm:spPr>
        <a:prstGeom prst="ellipse">
          <a:avLst/>
        </a:prstGeom>
      </dgm:spPr>
      <dgm:t>
        <a:bodyPr/>
        <a:lstStyle/>
        <a:p>
          <a:endParaRPr lang="en-US"/>
        </a:p>
      </dgm:t>
    </dgm:pt>
    <dgm:pt modelId="{EAF47FDD-7D57-4FF6-9F6B-6E604D2CC0DE}" type="pres">
      <dgm:prSet presAssocID="{52A69187-F965-4704-9C1A-29B2281F912F}" presName="Name9" presStyleLbl="parChTrans1D2" presStyleIdx="5" presStyleCnt="10"/>
      <dgm:spPr>
        <a:custGeom>
          <a:avLst/>
          <a:gdLst/>
          <a:ahLst/>
          <a:cxnLst/>
          <a:rect l="0" t="0" r="0" b="0"/>
          <a:pathLst>
            <a:path>
              <a:moveTo>
                <a:pt x="0" y="7514"/>
              </a:moveTo>
              <a:lnTo>
                <a:pt x="615710" y="7514"/>
              </a:lnTo>
            </a:path>
          </a:pathLst>
        </a:custGeom>
      </dgm:spPr>
      <dgm:t>
        <a:bodyPr/>
        <a:lstStyle/>
        <a:p>
          <a:endParaRPr lang="en-US"/>
        </a:p>
      </dgm:t>
    </dgm:pt>
    <dgm:pt modelId="{E01163DA-75CF-4C32-B81E-41BBCCC937B3}" type="pres">
      <dgm:prSet presAssocID="{52A69187-F965-4704-9C1A-29B2281F912F}" presName="connTx" presStyleLbl="parChTrans1D2" presStyleIdx="5" presStyleCnt="10"/>
      <dgm:spPr/>
      <dgm:t>
        <a:bodyPr/>
        <a:lstStyle/>
        <a:p>
          <a:endParaRPr lang="en-US"/>
        </a:p>
      </dgm:t>
    </dgm:pt>
    <dgm:pt modelId="{F74F2681-A109-4B75-8C08-B2B26769CF03}" type="pres">
      <dgm:prSet presAssocID="{576E161B-59E2-4177-8320-584EBC426979}" presName="node" presStyleLbl="node1" presStyleIdx="5" presStyleCnt="10" custScaleX="282022" custScaleY="99990" custRadScaleRad="91013" custRadScaleInc="469">
        <dgm:presLayoutVars>
          <dgm:bulletEnabled val="1"/>
        </dgm:presLayoutVars>
      </dgm:prSet>
      <dgm:spPr>
        <a:prstGeom prst="ellipse">
          <a:avLst/>
        </a:prstGeom>
      </dgm:spPr>
      <dgm:t>
        <a:bodyPr/>
        <a:lstStyle/>
        <a:p>
          <a:endParaRPr lang="en-US"/>
        </a:p>
      </dgm:t>
    </dgm:pt>
    <dgm:pt modelId="{AC7E3352-64BC-4978-9AB6-2DD833483239}" type="pres">
      <dgm:prSet presAssocID="{D6278D4F-93AB-42D0-B837-2B99BC1EE808}" presName="Name9" presStyleLbl="parChTrans1D2" presStyleIdx="6" presStyleCnt="10"/>
      <dgm:spPr>
        <a:custGeom>
          <a:avLst/>
          <a:gdLst/>
          <a:ahLst/>
          <a:cxnLst/>
          <a:rect l="0" t="0" r="0" b="0"/>
          <a:pathLst>
            <a:path>
              <a:moveTo>
                <a:pt x="0" y="7514"/>
              </a:moveTo>
              <a:lnTo>
                <a:pt x="951698" y="7514"/>
              </a:lnTo>
            </a:path>
          </a:pathLst>
        </a:custGeom>
      </dgm:spPr>
      <dgm:t>
        <a:bodyPr/>
        <a:lstStyle/>
        <a:p>
          <a:endParaRPr lang="en-US"/>
        </a:p>
      </dgm:t>
    </dgm:pt>
    <dgm:pt modelId="{C620A703-6BE9-4C0F-B737-266F7434DAB4}" type="pres">
      <dgm:prSet presAssocID="{D6278D4F-93AB-42D0-B837-2B99BC1EE808}" presName="connTx" presStyleLbl="parChTrans1D2" presStyleIdx="6" presStyleCnt="10"/>
      <dgm:spPr/>
      <dgm:t>
        <a:bodyPr/>
        <a:lstStyle/>
        <a:p>
          <a:endParaRPr lang="en-US"/>
        </a:p>
      </dgm:t>
    </dgm:pt>
    <dgm:pt modelId="{05C48364-E63B-4056-87CF-0BE50D74190B}" type="pres">
      <dgm:prSet presAssocID="{CEEBDBB9-7602-49B1-BBEB-80C6D1238598}" presName="node" presStyleLbl="node1" presStyleIdx="6" presStyleCnt="10" custScaleX="254488" custScaleY="93470" custRadScaleRad="154483" custRadScaleInc="144198">
        <dgm:presLayoutVars>
          <dgm:bulletEnabled val="1"/>
        </dgm:presLayoutVars>
      </dgm:prSet>
      <dgm:spPr>
        <a:prstGeom prst="ellipse">
          <a:avLst/>
        </a:prstGeom>
      </dgm:spPr>
      <dgm:t>
        <a:bodyPr/>
        <a:lstStyle/>
        <a:p>
          <a:endParaRPr lang="en-US"/>
        </a:p>
      </dgm:t>
    </dgm:pt>
    <dgm:pt modelId="{06FD983D-3F71-4BCE-AD7F-6DD1041A2F23}" type="pres">
      <dgm:prSet presAssocID="{19A5BFAE-AE0D-4BC3-821E-ACDBC402E1F3}" presName="Name9" presStyleLbl="parChTrans1D2" presStyleIdx="7" presStyleCnt="10"/>
      <dgm:spPr>
        <a:custGeom>
          <a:avLst/>
          <a:gdLst/>
          <a:ahLst/>
          <a:cxnLst/>
          <a:rect l="0" t="0" r="0" b="0"/>
          <a:pathLst>
            <a:path>
              <a:moveTo>
                <a:pt x="0" y="7514"/>
              </a:moveTo>
              <a:lnTo>
                <a:pt x="1110861" y="7514"/>
              </a:lnTo>
            </a:path>
          </a:pathLst>
        </a:custGeom>
      </dgm:spPr>
      <dgm:t>
        <a:bodyPr/>
        <a:lstStyle/>
        <a:p>
          <a:endParaRPr lang="en-US"/>
        </a:p>
      </dgm:t>
    </dgm:pt>
    <dgm:pt modelId="{2261EECA-A4AA-4C81-9B4D-3893A28ED758}" type="pres">
      <dgm:prSet presAssocID="{19A5BFAE-AE0D-4BC3-821E-ACDBC402E1F3}" presName="connTx" presStyleLbl="parChTrans1D2" presStyleIdx="7" presStyleCnt="10"/>
      <dgm:spPr/>
      <dgm:t>
        <a:bodyPr/>
        <a:lstStyle/>
        <a:p>
          <a:endParaRPr lang="en-US"/>
        </a:p>
      </dgm:t>
    </dgm:pt>
    <dgm:pt modelId="{CFBB929F-8BEB-442D-8D00-28EE1C02C39C}" type="pres">
      <dgm:prSet presAssocID="{61905482-A221-41E9-B64F-E0DDCF7406CB}" presName="node" presStyleLbl="node1" presStyleIdx="7" presStyleCnt="10" custScaleX="241473" custScaleY="98534" custRadScaleRad="211354" custRadScaleInc="63033">
        <dgm:presLayoutVars>
          <dgm:bulletEnabled val="1"/>
        </dgm:presLayoutVars>
      </dgm:prSet>
      <dgm:spPr>
        <a:prstGeom prst="ellipse">
          <a:avLst/>
        </a:prstGeom>
      </dgm:spPr>
      <dgm:t>
        <a:bodyPr/>
        <a:lstStyle/>
        <a:p>
          <a:endParaRPr lang="en-US"/>
        </a:p>
      </dgm:t>
    </dgm:pt>
    <dgm:pt modelId="{C494819C-C98E-47AA-9AF0-D23BA2FEB24F}" type="pres">
      <dgm:prSet presAssocID="{B96F5D54-1A60-4750-86C5-C7C55223704E}" presName="Name9" presStyleLbl="parChTrans1D2" presStyleIdx="8" presStyleCnt="10"/>
      <dgm:spPr>
        <a:custGeom>
          <a:avLst/>
          <a:gdLst/>
          <a:ahLst/>
          <a:cxnLst/>
          <a:rect l="0" t="0" r="0" b="0"/>
          <a:pathLst>
            <a:path>
              <a:moveTo>
                <a:pt x="0" y="7514"/>
              </a:moveTo>
              <a:lnTo>
                <a:pt x="940004" y="7514"/>
              </a:lnTo>
            </a:path>
          </a:pathLst>
        </a:custGeom>
      </dgm:spPr>
      <dgm:t>
        <a:bodyPr/>
        <a:lstStyle/>
        <a:p>
          <a:endParaRPr lang="en-US"/>
        </a:p>
      </dgm:t>
    </dgm:pt>
    <dgm:pt modelId="{0DC7814B-4209-4BC4-A177-2102084D3CE1}" type="pres">
      <dgm:prSet presAssocID="{B96F5D54-1A60-4750-86C5-C7C55223704E}" presName="connTx" presStyleLbl="parChTrans1D2" presStyleIdx="8" presStyleCnt="10"/>
      <dgm:spPr/>
      <dgm:t>
        <a:bodyPr/>
        <a:lstStyle/>
        <a:p>
          <a:endParaRPr lang="en-US"/>
        </a:p>
      </dgm:t>
    </dgm:pt>
    <dgm:pt modelId="{77FEFA40-E907-476F-8675-3DC698720930}" type="pres">
      <dgm:prSet presAssocID="{8EC353A6-4F6A-4502-96F3-6C0A4C1DAA96}" presName="node" presStyleLbl="node1" presStyleIdx="8" presStyleCnt="10" custScaleX="324963" custScaleY="126523" custRadScaleRad="200331" custRadScaleInc="-39759">
        <dgm:presLayoutVars>
          <dgm:bulletEnabled val="1"/>
        </dgm:presLayoutVars>
      </dgm:prSet>
      <dgm:spPr>
        <a:prstGeom prst="ellipse">
          <a:avLst/>
        </a:prstGeom>
      </dgm:spPr>
      <dgm:t>
        <a:bodyPr/>
        <a:lstStyle/>
        <a:p>
          <a:endParaRPr lang="en-US"/>
        </a:p>
      </dgm:t>
    </dgm:pt>
    <dgm:pt modelId="{EF98737B-1136-4CD3-A0AC-E4FF8E58DD83}" type="pres">
      <dgm:prSet presAssocID="{2C8D74EC-0F5E-4E72-B00E-305D37408E09}" presName="Name9" presStyleLbl="parChTrans1D2" presStyleIdx="9" presStyleCnt="10"/>
      <dgm:spPr>
        <a:custGeom>
          <a:avLst/>
          <a:gdLst/>
          <a:ahLst/>
          <a:cxnLst/>
          <a:rect l="0" t="0" r="0" b="0"/>
          <a:pathLst>
            <a:path>
              <a:moveTo>
                <a:pt x="0" y="7514"/>
              </a:moveTo>
              <a:lnTo>
                <a:pt x="717268" y="7514"/>
              </a:lnTo>
            </a:path>
          </a:pathLst>
        </a:custGeom>
      </dgm:spPr>
      <dgm:t>
        <a:bodyPr/>
        <a:lstStyle/>
        <a:p>
          <a:endParaRPr lang="en-US"/>
        </a:p>
      </dgm:t>
    </dgm:pt>
    <dgm:pt modelId="{4E2AD2D6-918F-4857-8567-9FCA82A4E2B0}" type="pres">
      <dgm:prSet presAssocID="{2C8D74EC-0F5E-4E72-B00E-305D37408E09}" presName="connTx" presStyleLbl="parChTrans1D2" presStyleIdx="9" presStyleCnt="10"/>
      <dgm:spPr/>
      <dgm:t>
        <a:bodyPr/>
        <a:lstStyle/>
        <a:p>
          <a:endParaRPr lang="en-US"/>
        </a:p>
      </dgm:t>
    </dgm:pt>
    <dgm:pt modelId="{C8187693-0532-46C7-A6F3-C4A32348C87B}" type="pres">
      <dgm:prSet presAssocID="{39DF5EDE-47C5-44AA-84A0-610EE4D8EEAF}" presName="node" presStyleLbl="node1" presStyleIdx="9" presStyleCnt="10" custScaleX="229163" custScaleY="100367" custRadScaleRad="136087" custRadScaleInc="-90235">
        <dgm:presLayoutVars>
          <dgm:bulletEnabled val="1"/>
        </dgm:presLayoutVars>
      </dgm:prSet>
      <dgm:spPr>
        <a:prstGeom prst="ellipse">
          <a:avLst/>
        </a:prstGeom>
      </dgm:spPr>
      <dgm:t>
        <a:bodyPr/>
        <a:lstStyle/>
        <a:p>
          <a:endParaRPr lang="en-US"/>
        </a:p>
      </dgm:t>
    </dgm:pt>
  </dgm:ptLst>
  <dgm:cxnLst>
    <dgm:cxn modelId="{5B992048-B9BE-4216-9F90-5BDF93F84E9F}" type="presOf" srcId="{2C8D74EC-0F5E-4E72-B00E-305D37408E09}" destId="{4E2AD2D6-918F-4857-8567-9FCA82A4E2B0}" srcOrd="1" destOrd="0" presId="urn:microsoft.com/office/officeart/2005/8/layout/radial1"/>
    <dgm:cxn modelId="{E719C6E7-4776-4FC2-9ECD-F0D273135B37}" srcId="{60F584FC-F7FF-4FD7-86E3-8773293C0460}" destId="{94B19768-91E8-4E7A-A857-C8521D65AF24}" srcOrd="1" destOrd="0" parTransId="{1F889DAC-CE52-4F0F-B94D-85598619AB82}" sibTransId="{174FD7F3-8467-46EB-ACD9-4B0EA7D3C4BA}"/>
    <dgm:cxn modelId="{12DD7879-5DAB-453E-8626-CC034CCD481D}" srcId="{60F584FC-F7FF-4FD7-86E3-8773293C0460}" destId="{39DF5EDE-47C5-44AA-84A0-610EE4D8EEAF}" srcOrd="9" destOrd="0" parTransId="{2C8D74EC-0F5E-4E72-B00E-305D37408E09}" sibTransId="{7B460AF1-5C69-4760-9FBE-539FD0921E3A}"/>
    <dgm:cxn modelId="{C25D6D8C-FC0F-4A34-B4B2-F48B2DFD9CC7}" type="presOf" srcId="{8EC353A6-4F6A-4502-96F3-6C0A4C1DAA96}" destId="{77FEFA40-E907-476F-8675-3DC698720930}" srcOrd="0" destOrd="0" presId="urn:microsoft.com/office/officeart/2005/8/layout/radial1"/>
    <dgm:cxn modelId="{879EAD61-3ECE-4D2B-85DE-BF155E4B94F8}" type="presOf" srcId="{2C8D74EC-0F5E-4E72-B00E-305D37408E09}" destId="{EF98737B-1136-4CD3-A0AC-E4FF8E58DD83}" srcOrd="0" destOrd="0" presId="urn:microsoft.com/office/officeart/2005/8/layout/radial1"/>
    <dgm:cxn modelId="{5E9A0A4F-230E-43EC-815B-4FE78F85DBCE}" type="presOf" srcId="{1F889DAC-CE52-4F0F-B94D-85598619AB82}" destId="{E5E0F749-58A7-4B5D-B40F-552D5369ABEE}" srcOrd="1" destOrd="0" presId="urn:microsoft.com/office/officeart/2005/8/layout/radial1"/>
    <dgm:cxn modelId="{7012226D-C2F0-407A-BAE8-35A01A5CA63C}" type="presOf" srcId="{B96F5D54-1A60-4750-86C5-C7C55223704E}" destId="{0DC7814B-4209-4BC4-A177-2102084D3CE1}" srcOrd="1" destOrd="0" presId="urn:microsoft.com/office/officeart/2005/8/layout/radial1"/>
    <dgm:cxn modelId="{81593A0C-E81D-4ADB-B36E-70B381A5F97E}" type="presOf" srcId="{E9A3E352-4E95-497B-A994-2D750C2A9509}" destId="{E887F142-3B93-49E1-A09D-1DCD207D21D1}" srcOrd="0" destOrd="0" presId="urn:microsoft.com/office/officeart/2005/8/layout/radial1"/>
    <dgm:cxn modelId="{A512D782-7A93-459B-95D1-C17C041F9876}" type="presOf" srcId="{3E4183EF-B989-4620-A02C-D54686D6628F}" destId="{4FC73BDC-CE2C-45F4-85CD-F387963DA006}" srcOrd="0" destOrd="0" presId="urn:microsoft.com/office/officeart/2005/8/layout/radial1"/>
    <dgm:cxn modelId="{DA2371ED-C5FD-4620-8E09-916D27A93549}" type="presOf" srcId="{D6278D4F-93AB-42D0-B837-2B99BC1EE808}" destId="{AC7E3352-64BC-4978-9AB6-2DD833483239}" srcOrd="0" destOrd="0" presId="urn:microsoft.com/office/officeart/2005/8/layout/radial1"/>
    <dgm:cxn modelId="{50BD0A3F-390A-4546-8D3C-28483ED08511}" type="presOf" srcId="{1F889DAC-CE52-4F0F-B94D-85598619AB82}" destId="{72463A3F-A956-4917-8722-9FD79FB3E09A}" srcOrd="0" destOrd="0" presId="urn:microsoft.com/office/officeart/2005/8/layout/radial1"/>
    <dgm:cxn modelId="{7E87EA71-8DC8-4BDA-8E60-3D34A1CAE7FB}" type="presOf" srcId="{576E161B-59E2-4177-8320-584EBC426979}" destId="{F74F2681-A109-4B75-8C08-B2B26769CF03}" srcOrd="0" destOrd="0" presId="urn:microsoft.com/office/officeart/2005/8/layout/radial1"/>
    <dgm:cxn modelId="{7A10D267-5114-47D3-9B72-BCDF70FFAB8C}" srcId="{60F584FC-F7FF-4FD7-86E3-8773293C0460}" destId="{61905482-A221-41E9-B64F-E0DDCF7406CB}" srcOrd="7" destOrd="0" parTransId="{19A5BFAE-AE0D-4BC3-821E-ACDBC402E1F3}" sibTransId="{41B3C576-1467-4E2A-8F61-40CA47AE2A73}"/>
    <dgm:cxn modelId="{31F62F17-5C56-465D-B9AF-C93BA963675A}" type="presOf" srcId="{F6DE2413-45CD-453B-A258-F22A53BBB241}" destId="{B0514361-30D3-4311-BC21-0743B7F01673}" srcOrd="1" destOrd="0" presId="urn:microsoft.com/office/officeart/2005/8/layout/radial1"/>
    <dgm:cxn modelId="{9E229881-AFD5-456D-8EB8-8CB0A42B471D}" type="presOf" srcId="{94B19768-91E8-4E7A-A857-C8521D65AF24}" destId="{A030EF9D-9337-4706-B87A-64BDE162520A}" srcOrd="0" destOrd="0" presId="urn:microsoft.com/office/officeart/2005/8/layout/radial1"/>
    <dgm:cxn modelId="{55FAAA15-67D0-4866-8D07-5A38A2094FAD}" type="presOf" srcId="{52A69187-F965-4704-9C1A-29B2281F912F}" destId="{E01163DA-75CF-4C32-B81E-41BBCCC937B3}" srcOrd="1" destOrd="0" presId="urn:microsoft.com/office/officeart/2005/8/layout/radial1"/>
    <dgm:cxn modelId="{BA0B21AC-350F-4DDA-A443-58447D95EEF1}" srcId="{60F584FC-F7FF-4FD7-86E3-8773293C0460}" destId="{576E161B-59E2-4177-8320-584EBC426979}" srcOrd="5" destOrd="0" parTransId="{52A69187-F965-4704-9C1A-29B2281F912F}" sibTransId="{E9F92651-5262-450E-9258-F1F8976476A8}"/>
    <dgm:cxn modelId="{E37D781A-5034-4451-8088-FB818A32AB97}" type="presOf" srcId="{19A5BFAE-AE0D-4BC3-821E-ACDBC402E1F3}" destId="{2261EECA-A4AA-4C81-9B4D-3893A28ED758}" srcOrd="1" destOrd="0" presId="urn:microsoft.com/office/officeart/2005/8/layout/radial1"/>
    <dgm:cxn modelId="{A048E8AF-1BFE-45EC-9880-644624EEA355}" type="presOf" srcId="{19A5BFAE-AE0D-4BC3-821E-ACDBC402E1F3}" destId="{06FD983D-3F71-4BCE-AD7F-6DD1041A2F23}" srcOrd="0" destOrd="0" presId="urn:microsoft.com/office/officeart/2005/8/layout/radial1"/>
    <dgm:cxn modelId="{0872B5C3-971C-4397-94C1-FDC0412A9ADC}" srcId="{3E4183EF-B989-4620-A02C-D54686D6628F}" destId="{60F584FC-F7FF-4FD7-86E3-8773293C0460}" srcOrd="0" destOrd="0" parTransId="{474A81AD-BFE3-4D32-9342-2C25E06E5B46}" sibTransId="{28FB44EF-A1AD-4FBB-B0D1-E98EB36FC510}"/>
    <dgm:cxn modelId="{C48DD988-C1DB-4602-8715-50BD500F7D22}" type="presOf" srcId="{5BE92476-635C-4AE2-AD14-BF50BB0972EC}" destId="{00112A8F-12E8-45AC-B551-DFB66BE45059}" srcOrd="0" destOrd="0" presId="urn:microsoft.com/office/officeart/2005/8/layout/radial1"/>
    <dgm:cxn modelId="{44EB880B-7660-4CF0-97E5-4E577ACA821D}" srcId="{60F584FC-F7FF-4FD7-86E3-8773293C0460}" destId="{584F0456-7C88-4E15-A6D5-3DF2BDDC45F2}" srcOrd="2" destOrd="0" parTransId="{5BE92476-635C-4AE2-AD14-BF50BB0972EC}" sibTransId="{3EF0F88F-A3C1-4CFC-8CDA-621CE91394E1}"/>
    <dgm:cxn modelId="{A0D7B160-B2D6-4FF0-B898-61A69264BA8C}" srcId="{60F584FC-F7FF-4FD7-86E3-8773293C0460}" destId="{9A4BDCAE-D9CA-400C-8B2D-68AB68A08E2A}" srcOrd="0" destOrd="0" parTransId="{E9A3E352-4E95-497B-A994-2D750C2A9509}" sibTransId="{D8ADEECF-D7D2-4E14-BB97-4FB081DAC71A}"/>
    <dgm:cxn modelId="{DAC8F2C7-B4FF-4B13-A81C-D33ADDD729FA}" type="presOf" srcId="{F6DE2413-45CD-453B-A258-F22A53BBB241}" destId="{DEF09AAB-E09E-4486-8914-E37D47E60824}" srcOrd="0" destOrd="0" presId="urn:microsoft.com/office/officeart/2005/8/layout/radial1"/>
    <dgm:cxn modelId="{37D35D6F-F7FD-400D-9D4B-6BC8C29A3EF5}" type="presOf" srcId="{39DF5EDE-47C5-44AA-84A0-610EE4D8EEAF}" destId="{C8187693-0532-46C7-A6F3-C4A32348C87B}" srcOrd="0" destOrd="0" presId="urn:microsoft.com/office/officeart/2005/8/layout/radial1"/>
    <dgm:cxn modelId="{36228554-AF3E-4CBC-A18A-511E622960C3}" type="presOf" srcId="{66F0DCEC-2B26-4038-AF1F-D0A98A0F7930}" destId="{7FE108B5-F558-4942-A9EC-465F3C2E5813}" srcOrd="1" destOrd="0" presId="urn:microsoft.com/office/officeart/2005/8/layout/radial1"/>
    <dgm:cxn modelId="{5DAFA89F-4C50-49EC-868E-81320326A617}" srcId="{60F584FC-F7FF-4FD7-86E3-8773293C0460}" destId="{8EC353A6-4F6A-4502-96F3-6C0A4C1DAA96}" srcOrd="8" destOrd="0" parTransId="{B96F5D54-1A60-4750-86C5-C7C55223704E}" sibTransId="{1F43BDEE-CFCB-4DD6-B860-72E17A3E4431}"/>
    <dgm:cxn modelId="{B3FB7A1B-19C3-4A1E-9B92-9B1202D285D4}" type="presOf" srcId="{4761FE57-664D-44AD-8EF1-E6096D64297F}" destId="{2ED32773-10C9-4671-A0BF-4C0DAB40AE25}" srcOrd="0" destOrd="0" presId="urn:microsoft.com/office/officeart/2005/8/layout/radial1"/>
    <dgm:cxn modelId="{FA244D82-E140-438F-9E4C-25860FB89795}" type="presOf" srcId="{9A4BDCAE-D9CA-400C-8B2D-68AB68A08E2A}" destId="{3EA08C86-6A87-4381-A9A9-F10D993E2D53}" srcOrd="0" destOrd="0" presId="urn:microsoft.com/office/officeart/2005/8/layout/radial1"/>
    <dgm:cxn modelId="{D0987D88-807B-4994-94E2-80A6C1D9AE52}" srcId="{60F584FC-F7FF-4FD7-86E3-8773293C0460}" destId="{2EF75B39-F486-43BE-8B27-294595126005}" srcOrd="3" destOrd="0" parTransId="{66F0DCEC-2B26-4038-AF1F-D0A98A0F7930}" sibTransId="{A29EC13D-3B1F-4904-8025-5B38BEEF3183}"/>
    <dgm:cxn modelId="{D4C1BC69-C745-405B-9248-C6E8862DD509}" srcId="{60F584FC-F7FF-4FD7-86E3-8773293C0460}" destId="{CEEBDBB9-7602-49B1-BBEB-80C6D1238598}" srcOrd="6" destOrd="0" parTransId="{D6278D4F-93AB-42D0-B837-2B99BC1EE808}" sibTransId="{3F7B98CE-94D6-4D7D-8314-AFA01590058A}"/>
    <dgm:cxn modelId="{B028A7FF-FAAB-4BBF-B554-E55654D2A848}" type="presOf" srcId="{E9A3E352-4E95-497B-A994-2D750C2A9509}" destId="{0C3245EA-B4A2-4A29-A94D-6F5271E8D13D}" srcOrd="1" destOrd="0" presId="urn:microsoft.com/office/officeart/2005/8/layout/radial1"/>
    <dgm:cxn modelId="{96397674-F930-489E-B39D-333F64871BAD}" type="presOf" srcId="{584F0456-7C88-4E15-A6D5-3DF2BDDC45F2}" destId="{423B6D89-2000-40C7-8429-BD38C7402395}" srcOrd="0" destOrd="0" presId="urn:microsoft.com/office/officeart/2005/8/layout/radial1"/>
    <dgm:cxn modelId="{F7404DCE-AA8F-4CB8-AFCD-B96A8CC49813}" type="presOf" srcId="{CEEBDBB9-7602-49B1-BBEB-80C6D1238598}" destId="{05C48364-E63B-4056-87CF-0BE50D74190B}" srcOrd="0" destOrd="0" presId="urn:microsoft.com/office/officeart/2005/8/layout/radial1"/>
    <dgm:cxn modelId="{0F5016E6-F2E1-4CB5-BEFD-6791648B63F6}" type="presOf" srcId="{52A69187-F965-4704-9C1A-29B2281F912F}" destId="{EAF47FDD-7D57-4FF6-9F6B-6E604D2CC0DE}" srcOrd="0" destOrd="0" presId="urn:microsoft.com/office/officeart/2005/8/layout/radial1"/>
    <dgm:cxn modelId="{F142FAA3-9DFE-4EB1-AF34-96D4E9D75547}" type="presOf" srcId="{60F584FC-F7FF-4FD7-86E3-8773293C0460}" destId="{3C7CADF7-0742-432E-9EEF-EA9C347A7661}" srcOrd="0" destOrd="0" presId="urn:microsoft.com/office/officeart/2005/8/layout/radial1"/>
    <dgm:cxn modelId="{55193FD8-2D70-446B-B339-661C78577944}" type="presOf" srcId="{66F0DCEC-2B26-4038-AF1F-D0A98A0F7930}" destId="{650854B0-9FE7-4FFD-96B2-18F6452E0859}" srcOrd="0" destOrd="0" presId="urn:microsoft.com/office/officeart/2005/8/layout/radial1"/>
    <dgm:cxn modelId="{D70B6245-5CF7-4D24-8F5E-B96711E1AFE1}" type="presOf" srcId="{D6278D4F-93AB-42D0-B837-2B99BC1EE808}" destId="{C620A703-6BE9-4C0F-B737-266F7434DAB4}" srcOrd="1" destOrd="0" presId="urn:microsoft.com/office/officeart/2005/8/layout/radial1"/>
    <dgm:cxn modelId="{C964D71B-1B95-414E-8DED-9ACD98036B21}" type="presOf" srcId="{2EF75B39-F486-43BE-8B27-294595126005}" destId="{6394B413-6D12-4C4F-9A8D-E0508CAE8617}" srcOrd="0" destOrd="0" presId="urn:microsoft.com/office/officeart/2005/8/layout/radial1"/>
    <dgm:cxn modelId="{A5666C79-BF01-4153-AB0A-BB16CAE1F135}" srcId="{60F584FC-F7FF-4FD7-86E3-8773293C0460}" destId="{4761FE57-664D-44AD-8EF1-E6096D64297F}" srcOrd="4" destOrd="0" parTransId="{F6DE2413-45CD-453B-A258-F22A53BBB241}" sibTransId="{288511AC-ECAB-47A8-A0B0-D7AAFEE02A39}"/>
    <dgm:cxn modelId="{EBA1D244-25E7-4157-9712-5D6934913744}" type="presOf" srcId="{61905482-A221-41E9-B64F-E0DDCF7406CB}" destId="{CFBB929F-8BEB-442D-8D00-28EE1C02C39C}" srcOrd="0" destOrd="0" presId="urn:microsoft.com/office/officeart/2005/8/layout/radial1"/>
    <dgm:cxn modelId="{A43530CF-FC88-4BF4-A74E-617C3E96ACF6}" type="presOf" srcId="{B96F5D54-1A60-4750-86C5-C7C55223704E}" destId="{C494819C-C98E-47AA-9AF0-D23BA2FEB24F}" srcOrd="0" destOrd="0" presId="urn:microsoft.com/office/officeart/2005/8/layout/radial1"/>
    <dgm:cxn modelId="{8663B764-4E99-4536-863B-C860E3A74160}" type="presOf" srcId="{5BE92476-635C-4AE2-AD14-BF50BB0972EC}" destId="{48B32C5A-7076-4480-B5CB-D9EFDA8D8FDB}" srcOrd="1" destOrd="0" presId="urn:microsoft.com/office/officeart/2005/8/layout/radial1"/>
    <dgm:cxn modelId="{3ACF8E51-DFF0-42EA-8583-3875658BF85E}" type="presParOf" srcId="{4FC73BDC-CE2C-45F4-85CD-F387963DA006}" destId="{3C7CADF7-0742-432E-9EEF-EA9C347A7661}" srcOrd="0" destOrd="0" presId="urn:microsoft.com/office/officeart/2005/8/layout/radial1"/>
    <dgm:cxn modelId="{E4E7E646-B914-4D47-ABD0-80440F1BAA32}" type="presParOf" srcId="{4FC73BDC-CE2C-45F4-85CD-F387963DA006}" destId="{E887F142-3B93-49E1-A09D-1DCD207D21D1}" srcOrd="1" destOrd="0" presId="urn:microsoft.com/office/officeart/2005/8/layout/radial1"/>
    <dgm:cxn modelId="{ADE646A4-BB49-490C-ACEC-ADF443752999}" type="presParOf" srcId="{E887F142-3B93-49E1-A09D-1DCD207D21D1}" destId="{0C3245EA-B4A2-4A29-A94D-6F5271E8D13D}" srcOrd="0" destOrd="0" presId="urn:microsoft.com/office/officeart/2005/8/layout/radial1"/>
    <dgm:cxn modelId="{F0E0944B-F9D5-4E4D-AE49-630275C7F4EE}" type="presParOf" srcId="{4FC73BDC-CE2C-45F4-85CD-F387963DA006}" destId="{3EA08C86-6A87-4381-A9A9-F10D993E2D53}" srcOrd="2" destOrd="0" presId="urn:microsoft.com/office/officeart/2005/8/layout/radial1"/>
    <dgm:cxn modelId="{9EA27948-12CE-4BF8-A887-3BBA1789FD8A}" type="presParOf" srcId="{4FC73BDC-CE2C-45F4-85CD-F387963DA006}" destId="{72463A3F-A956-4917-8722-9FD79FB3E09A}" srcOrd="3" destOrd="0" presId="urn:microsoft.com/office/officeart/2005/8/layout/radial1"/>
    <dgm:cxn modelId="{9A286D12-CC5B-4A58-A3E6-E1F39295A988}" type="presParOf" srcId="{72463A3F-A956-4917-8722-9FD79FB3E09A}" destId="{E5E0F749-58A7-4B5D-B40F-552D5369ABEE}" srcOrd="0" destOrd="0" presId="urn:microsoft.com/office/officeart/2005/8/layout/radial1"/>
    <dgm:cxn modelId="{5D46BCA3-AAE4-415C-9835-59E98B1CA1EF}" type="presParOf" srcId="{4FC73BDC-CE2C-45F4-85CD-F387963DA006}" destId="{A030EF9D-9337-4706-B87A-64BDE162520A}" srcOrd="4" destOrd="0" presId="urn:microsoft.com/office/officeart/2005/8/layout/radial1"/>
    <dgm:cxn modelId="{0436A41E-1F14-4E39-AF64-6650FA5C95C0}" type="presParOf" srcId="{4FC73BDC-CE2C-45F4-85CD-F387963DA006}" destId="{00112A8F-12E8-45AC-B551-DFB66BE45059}" srcOrd="5" destOrd="0" presId="urn:microsoft.com/office/officeart/2005/8/layout/radial1"/>
    <dgm:cxn modelId="{1E00FE1F-FE4B-460D-94C8-B96F01C611E7}" type="presParOf" srcId="{00112A8F-12E8-45AC-B551-DFB66BE45059}" destId="{48B32C5A-7076-4480-B5CB-D9EFDA8D8FDB}" srcOrd="0" destOrd="0" presId="urn:microsoft.com/office/officeart/2005/8/layout/radial1"/>
    <dgm:cxn modelId="{68562B25-7F2D-40BB-99AC-BEB53580C79D}" type="presParOf" srcId="{4FC73BDC-CE2C-45F4-85CD-F387963DA006}" destId="{423B6D89-2000-40C7-8429-BD38C7402395}" srcOrd="6" destOrd="0" presId="urn:microsoft.com/office/officeart/2005/8/layout/radial1"/>
    <dgm:cxn modelId="{8749FFB1-B1E9-47B1-BFEA-870D0ACBB0DD}" type="presParOf" srcId="{4FC73BDC-CE2C-45F4-85CD-F387963DA006}" destId="{650854B0-9FE7-4FFD-96B2-18F6452E0859}" srcOrd="7" destOrd="0" presId="urn:microsoft.com/office/officeart/2005/8/layout/radial1"/>
    <dgm:cxn modelId="{1F839F95-E3E2-4CBC-9C9B-E40CC33BB52B}" type="presParOf" srcId="{650854B0-9FE7-4FFD-96B2-18F6452E0859}" destId="{7FE108B5-F558-4942-A9EC-465F3C2E5813}" srcOrd="0" destOrd="0" presId="urn:microsoft.com/office/officeart/2005/8/layout/radial1"/>
    <dgm:cxn modelId="{1C3239F3-E1C2-48A5-ABFB-87F10E374717}" type="presParOf" srcId="{4FC73BDC-CE2C-45F4-85CD-F387963DA006}" destId="{6394B413-6D12-4C4F-9A8D-E0508CAE8617}" srcOrd="8" destOrd="0" presId="urn:microsoft.com/office/officeart/2005/8/layout/radial1"/>
    <dgm:cxn modelId="{65A4285A-4124-40C7-8037-0834C888E22D}" type="presParOf" srcId="{4FC73BDC-CE2C-45F4-85CD-F387963DA006}" destId="{DEF09AAB-E09E-4486-8914-E37D47E60824}" srcOrd="9" destOrd="0" presId="urn:microsoft.com/office/officeart/2005/8/layout/radial1"/>
    <dgm:cxn modelId="{BE17E430-071A-4E57-B50F-BCBD55C3DAC0}" type="presParOf" srcId="{DEF09AAB-E09E-4486-8914-E37D47E60824}" destId="{B0514361-30D3-4311-BC21-0743B7F01673}" srcOrd="0" destOrd="0" presId="urn:microsoft.com/office/officeart/2005/8/layout/radial1"/>
    <dgm:cxn modelId="{0EA10FC7-5BAB-4240-B121-DF44D95C19A9}" type="presParOf" srcId="{4FC73BDC-CE2C-45F4-85CD-F387963DA006}" destId="{2ED32773-10C9-4671-A0BF-4C0DAB40AE25}" srcOrd="10" destOrd="0" presId="urn:microsoft.com/office/officeart/2005/8/layout/radial1"/>
    <dgm:cxn modelId="{DD27342A-3BF9-4D29-A1EF-C45360DD4DD7}" type="presParOf" srcId="{4FC73BDC-CE2C-45F4-85CD-F387963DA006}" destId="{EAF47FDD-7D57-4FF6-9F6B-6E604D2CC0DE}" srcOrd="11" destOrd="0" presId="urn:microsoft.com/office/officeart/2005/8/layout/radial1"/>
    <dgm:cxn modelId="{B12BA805-AB91-4CFB-B6E3-9DD2D1AB4FD4}" type="presParOf" srcId="{EAF47FDD-7D57-4FF6-9F6B-6E604D2CC0DE}" destId="{E01163DA-75CF-4C32-B81E-41BBCCC937B3}" srcOrd="0" destOrd="0" presId="urn:microsoft.com/office/officeart/2005/8/layout/radial1"/>
    <dgm:cxn modelId="{5A8CF434-2DB7-463A-BA78-BF6276A4CB7A}" type="presParOf" srcId="{4FC73BDC-CE2C-45F4-85CD-F387963DA006}" destId="{F74F2681-A109-4B75-8C08-B2B26769CF03}" srcOrd="12" destOrd="0" presId="urn:microsoft.com/office/officeart/2005/8/layout/radial1"/>
    <dgm:cxn modelId="{DA72FD1A-8DCE-48C0-B71E-E1A5F7DDEE2F}" type="presParOf" srcId="{4FC73BDC-CE2C-45F4-85CD-F387963DA006}" destId="{AC7E3352-64BC-4978-9AB6-2DD833483239}" srcOrd="13" destOrd="0" presId="urn:microsoft.com/office/officeart/2005/8/layout/radial1"/>
    <dgm:cxn modelId="{EE19B63D-C693-4ECF-B140-075B1E86A07A}" type="presParOf" srcId="{AC7E3352-64BC-4978-9AB6-2DD833483239}" destId="{C620A703-6BE9-4C0F-B737-266F7434DAB4}" srcOrd="0" destOrd="0" presId="urn:microsoft.com/office/officeart/2005/8/layout/radial1"/>
    <dgm:cxn modelId="{372F6AA5-0EF4-4927-9489-F9887BBA2EFC}" type="presParOf" srcId="{4FC73BDC-CE2C-45F4-85CD-F387963DA006}" destId="{05C48364-E63B-4056-87CF-0BE50D74190B}" srcOrd="14" destOrd="0" presId="urn:microsoft.com/office/officeart/2005/8/layout/radial1"/>
    <dgm:cxn modelId="{70DAD623-381D-4483-B31C-265B6BE8452E}" type="presParOf" srcId="{4FC73BDC-CE2C-45F4-85CD-F387963DA006}" destId="{06FD983D-3F71-4BCE-AD7F-6DD1041A2F23}" srcOrd="15" destOrd="0" presId="urn:microsoft.com/office/officeart/2005/8/layout/radial1"/>
    <dgm:cxn modelId="{055BB594-C42B-4647-A297-2A4B1E4C6385}" type="presParOf" srcId="{06FD983D-3F71-4BCE-AD7F-6DD1041A2F23}" destId="{2261EECA-A4AA-4C81-9B4D-3893A28ED758}" srcOrd="0" destOrd="0" presId="urn:microsoft.com/office/officeart/2005/8/layout/radial1"/>
    <dgm:cxn modelId="{67237E03-FB93-4C30-AE4A-08F0C55D019F}" type="presParOf" srcId="{4FC73BDC-CE2C-45F4-85CD-F387963DA006}" destId="{CFBB929F-8BEB-442D-8D00-28EE1C02C39C}" srcOrd="16" destOrd="0" presId="urn:microsoft.com/office/officeart/2005/8/layout/radial1"/>
    <dgm:cxn modelId="{58B3F0D1-C434-4C54-8665-C8463614155B}" type="presParOf" srcId="{4FC73BDC-CE2C-45F4-85CD-F387963DA006}" destId="{C494819C-C98E-47AA-9AF0-D23BA2FEB24F}" srcOrd="17" destOrd="0" presId="urn:microsoft.com/office/officeart/2005/8/layout/radial1"/>
    <dgm:cxn modelId="{152C6606-EFAE-46A2-AD8B-6B50C77CB2E0}" type="presParOf" srcId="{C494819C-C98E-47AA-9AF0-D23BA2FEB24F}" destId="{0DC7814B-4209-4BC4-A177-2102084D3CE1}" srcOrd="0" destOrd="0" presId="urn:microsoft.com/office/officeart/2005/8/layout/radial1"/>
    <dgm:cxn modelId="{91F70AED-2C0C-42A5-A087-B116D8B0BF58}" type="presParOf" srcId="{4FC73BDC-CE2C-45F4-85CD-F387963DA006}" destId="{77FEFA40-E907-476F-8675-3DC698720930}" srcOrd="18" destOrd="0" presId="urn:microsoft.com/office/officeart/2005/8/layout/radial1"/>
    <dgm:cxn modelId="{3342D635-B598-4343-B553-0014BF60E008}" type="presParOf" srcId="{4FC73BDC-CE2C-45F4-85CD-F387963DA006}" destId="{EF98737B-1136-4CD3-A0AC-E4FF8E58DD83}" srcOrd="19" destOrd="0" presId="urn:microsoft.com/office/officeart/2005/8/layout/radial1"/>
    <dgm:cxn modelId="{606D64B8-E556-4341-97C5-95D694A71A76}" type="presParOf" srcId="{EF98737B-1136-4CD3-A0AC-E4FF8E58DD83}" destId="{4E2AD2D6-918F-4857-8567-9FCA82A4E2B0}" srcOrd="0" destOrd="0" presId="urn:microsoft.com/office/officeart/2005/8/layout/radial1"/>
    <dgm:cxn modelId="{1D55A0A0-FB60-4F3C-8432-B24F22D0AC7B}" type="presParOf" srcId="{4FC73BDC-CE2C-45F4-85CD-F387963DA006}" destId="{C8187693-0532-46C7-A6F3-C4A32348C87B}" srcOrd="20" destOrd="0" presId="urn:microsoft.com/office/officeart/2005/8/layout/radial1"/>
  </dgm:cxnLst>
  <dgm:bg/>
  <dgm:whole/>
  <dgm:extLst>
    <a:ext uri="http://schemas.microsoft.com/office/drawing/2008/diagram">
      <dsp:dataModelExt xmlns:dsp="http://schemas.microsoft.com/office/drawing/2008/diagram" relId="rId160"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49885" y="702403"/>
          <a:ext cx="1196229" cy="404350"/>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solidFill>
              <a:latin typeface="Arial" panose="020B0604020202020204" pitchFamily="34" charset="0"/>
              <a:ea typeface="+mn-ea"/>
              <a:cs typeface="Arial" panose="020B0604020202020204" pitchFamily="34" charset="0"/>
            </a:rPr>
            <a:t>Programa 17</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21896" y="625000"/>
          <a:ext cx="1237424" cy="55533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solidFill>
              <a:latin typeface="Arial" panose="020B0604020202020204" pitchFamily="34" charset="0"/>
              <a:ea typeface="+mn-ea"/>
              <a:cs typeface="Arial" panose="020B0604020202020204" pitchFamily="34" charset="0"/>
            </a:rPr>
            <a:t>Programa 19</a:t>
          </a:r>
        </a:p>
        <a:p>
          <a:r>
            <a:rPr lang="en-US" sz="900">
              <a:solidFill>
                <a:sysClr val="windowText" lastClr="000000"/>
              </a:solidFill>
              <a:latin typeface="Arial" panose="020B0604020202020204" pitchFamily="34" charset="0"/>
              <a:ea typeface="+mn-ea"/>
              <a:cs typeface="Arial" panose="020B0604020202020204" pitchFamily="34" charset="0"/>
            </a:rPr>
            <a:t>Comunicaciones</a:t>
          </a:r>
          <a:endParaRPr lang="en-US" sz="1000">
            <a:solidFill>
              <a:sysClr val="windowText" lastClr="000000"/>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802850">
          <a:off x="1259320" y="897504"/>
          <a:ext cx="1090567"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3665066" y="1041246"/>
          <a:ext cx="1140307" cy="53008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solidFill>
              <a:latin typeface="Arial" panose="020B0604020202020204" pitchFamily="34" charset="0"/>
              <a:ea typeface="+mn-ea"/>
              <a:cs typeface="Arial" panose="020B0604020202020204" pitchFamily="34" charset="0"/>
            </a:rPr>
            <a:t>Programa 10</a:t>
          </a:r>
        </a:p>
        <a:p>
          <a:r>
            <a:rPr lang="en-US" sz="900">
              <a:solidFill>
                <a:sysClr val="windowText" lastClr="000000"/>
              </a:solidFill>
              <a:latin typeface="Arial" panose="020B0604020202020204" pitchFamily="34" charset="0"/>
              <a:ea typeface="+mn-ea"/>
              <a:cs typeface="Arial" panose="020B0604020202020204" pitchFamily="34" charset="0"/>
            </a:rPr>
            <a:t>Países T/D</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039915">
          <a:off x="3378556" y="1094015"/>
          <a:ext cx="392192"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4614152" y="626660"/>
          <a:ext cx="1326272" cy="55729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solidFill>
              <a:latin typeface="Arial" panose="020B0604020202020204" pitchFamily="34" charset="0"/>
              <a:ea typeface="+mn-ea"/>
              <a:cs typeface="Arial" panose="020B0604020202020204" pitchFamily="34" charset="0"/>
            </a:rPr>
            <a:t>Programa 9</a:t>
          </a:r>
        </a:p>
        <a:p>
          <a:r>
            <a:rPr lang="en-US" sz="900">
              <a:solidFill>
                <a:sysClr val="windowText" lastClr="000000"/>
              </a:solidFill>
              <a:latin typeface="Arial" panose="020B0604020202020204" pitchFamily="34" charset="0"/>
              <a:ea typeface="+mn-ea"/>
              <a:cs typeface="Arial" panose="020B0604020202020204" pitchFamily="34" charset="0"/>
            </a:rPr>
            <a:t>Oficinas regionales en la sede</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080">
          <a:off x="3546115" y="898808"/>
          <a:ext cx="1068037"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C260341-F1C3-4458-A657-957289015FC3}">
      <dgm:prSet phldrT="[Text]" custT="1"/>
      <dgm:spPr>
        <a:xfrm>
          <a:off x="2354231" y="1245968"/>
          <a:ext cx="1191506" cy="45904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solidFill>
              <a:latin typeface="Arial" panose="020B0604020202020204" pitchFamily="34" charset="0"/>
              <a:ea typeface="+mn-ea"/>
              <a:cs typeface="Arial" panose="020B0604020202020204" pitchFamily="34" charset="0"/>
            </a:rPr>
            <a:t>Programa 11</a:t>
          </a:r>
        </a:p>
        <a:p>
          <a:r>
            <a:rPr lang="en-US" sz="900">
              <a:solidFill>
                <a:sysClr val="windowText" lastClr="000000"/>
              </a:solidFill>
              <a:latin typeface="Arial" panose="020B0604020202020204" pitchFamily="34" charset="0"/>
              <a:ea typeface="+mn-ea"/>
              <a:cs typeface="Arial" panose="020B0604020202020204" pitchFamily="34" charset="0"/>
            </a:rPr>
            <a:t>Academia de la OMPI</a:t>
          </a:r>
        </a:p>
      </dgm:t>
    </dgm:pt>
    <dgm:pt modelId="{45A6C23B-D452-4078-BA3A-466D0894B9EB}" type="parTrans" cxnId="{0266A1D0-CEC9-45F3-8B31-A21772E8AA19}">
      <dgm:prSet/>
      <dgm:spPr>
        <a:xfrm rot="5388050">
          <a:off x="2879337" y="1170235"/>
          <a:ext cx="139216"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B7C331-6FB9-4771-84B2-9F75AB1415C9}" type="sibTrans" cxnId="{0266A1D0-CEC9-45F3-8B31-A21772E8AA19}">
      <dgm:prSet/>
      <dgm:spPr/>
      <dgm:t>
        <a:bodyPr/>
        <a:lstStyle/>
        <a:p>
          <a:endParaRPr lang="en-US"/>
        </a:p>
      </dgm:t>
    </dgm:pt>
    <dgm:pt modelId="{880B408D-A44E-4E41-A0D3-775A9D2AA162}">
      <dgm:prSet phldrT="[Text]" custT="1"/>
      <dgm:spPr>
        <a:xfrm>
          <a:off x="2426605" y="-22710"/>
          <a:ext cx="1042790" cy="46805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solidFill>
              <a:latin typeface="Arial" panose="020B0604020202020204" pitchFamily="34" charset="0"/>
              <a:ea typeface="+mn-ea"/>
              <a:cs typeface="Arial" panose="020B0604020202020204" pitchFamily="34" charset="0"/>
            </a:rPr>
            <a:t>Programa 2</a:t>
          </a:r>
        </a:p>
        <a:p>
          <a:r>
            <a:rPr lang="en-US" sz="900">
              <a:solidFill>
                <a:sysClr val="windowText" lastClr="000000"/>
              </a:solidFill>
              <a:latin typeface="Arial" panose="020B0604020202020204" pitchFamily="34" charset="0"/>
              <a:ea typeface="+mn-ea"/>
              <a:cs typeface="Arial" panose="020B0604020202020204" pitchFamily="34" charset="0"/>
            </a:rPr>
            <a:t>Marcas, DD.II. e II.GG. </a:t>
          </a:r>
        </a:p>
      </dgm:t>
    </dgm:pt>
    <dgm:pt modelId="{E848F776-8237-42C9-A1C0-B5B0EB7FE51B}" type="parTrans" cxnId="{C4CE955B-C7EA-442D-BA54-FCED6F4F9301}">
      <dgm:prSet/>
      <dgm:spPr>
        <a:xfrm rot="16200000">
          <a:off x="2819473" y="567750"/>
          <a:ext cx="257054"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6C0D1BD-440F-496E-8208-41C1352C17C4}" type="sibTrans" cxnId="{C4CE955B-C7EA-442D-BA54-FCED6F4F9301}">
      <dgm:prSet/>
      <dgm:spPr/>
      <dgm:t>
        <a:bodyPr/>
        <a:lstStyle/>
        <a:p>
          <a:endParaRPr lang="en-US"/>
        </a:p>
      </dgm:t>
    </dgm:pt>
    <dgm:pt modelId="{7E91AD2C-2762-4D69-BFD6-4095380ECAB8}">
      <dgm:prSet phldrT="[Text]" custT="1"/>
      <dgm:spPr>
        <a:xfrm>
          <a:off x="3688878" y="283122"/>
          <a:ext cx="1149312" cy="46084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solidFill>
              <a:latin typeface="Arial" panose="020B0604020202020204" pitchFamily="34" charset="0"/>
              <a:ea typeface="+mn-ea"/>
              <a:cs typeface="Arial" panose="020B0604020202020204" pitchFamily="34" charset="0"/>
            </a:rPr>
            <a:t>Programa 3 </a:t>
          </a:r>
        </a:p>
        <a:p>
          <a:r>
            <a:rPr lang="en-US" sz="900">
              <a:solidFill>
                <a:sysClr val="windowText" lastClr="000000"/>
              </a:solidFill>
              <a:latin typeface="Arial" panose="020B0604020202020204" pitchFamily="34" charset="0"/>
              <a:ea typeface="+mn-ea"/>
              <a:cs typeface="Arial" panose="020B0604020202020204" pitchFamily="34" charset="0"/>
            </a:rPr>
            <a:t>D.A.D.C</a:t>
          </a:r>
        </a:p>
      </dgm:t>
    </dgm:pt>
    <dgm:pt modelId="{8D28B5B3-293B-4D04-9ABB-EE16A5C97D16}" type="parTrans" cxnId="{19C1565A-DB23-4F9C-ABEF-4480DF7D14CE}">
      <dgm:prSet/>
      <dgm:spPr>
        <a:xfrm rot="20606743">
          <a:off x="3388403" y="704791"/>
          <a:ext cx="422238"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6336DBA-E790-4546-ABCA-DDAC89AEDA30}" type="sibTrans" cxnId="{19C1565A-DB23-4F9C-ABEF-4480DF7D14CE}">
      <dgm:prSet/>
      <dgm:spPr/>
      <dgm:t>
        <a:bodyPr/>
        <a:lstStyle/>
        <a:p>
          <a:endParaRPr lang="en-US"/>
        </a:p>
      </dgm:t>
    </dgm:pt>
    <dgm:pt modelId="{F87686C8-F658-4DC2-BC5F-AB0B4E40ED1C}">
      <dgm:prSet phldrT="[Text]" custT="1"/>
      <dgm:spPr>
        <a:xfrm>
          <a:off x="1074180" y="1076125"/>
          <a:ext cx="1231674" cy="54300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solidFill>
              <a:latin typeface="Arial" panose="020B0604020202020204" pitchFamily="34" charset="0"/>
              <a:ea typeface="+mn-ea"/>
              <a:cs typeface="Arial" panose="020B0604020202020204" pitchFamily="34" charset="0"/>
            </a:rPr>
            <a:t>Programa 16</a:t>
          </a:r>
        </a:p>
        <a:p>
          <a:r>
            <a:rPr lang="en-US" sz="900">
              <a:solidFill>
                <a:sysClr val="windowText" lastClr="000000"/>
              </a:solidFill>
              <a:latin typeface="Arial" panose="020B0604020202020204" pitchFamily="34" charset="0"/>
              <a:ea typeface="+mn-ea"/>
              <a:cs typeface="Arial" panose="020B0604020202020204" pitchFamily="34" charset="0"/>
            </a:rPr>
            <a:t>Economía y estadística </a:t>
          </a:r>
        </a:p>
      </dgm:t>
    </dgm:pt>
    <dgm:pt modelId="{42DDAC3B-802E-470C-B26C-35741B306D27}" type="parTrans" cxnId="{0C88C0B3-8AAC-4FA9-BE4C-2222B2B4A1BE}">
      <dgm:prSet/>
      <dgm:spPr>
        <a:xfrm rot="9635897">
          <a:off x="2160256" y="1108179"/>
          <a:ext cx="384499"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E7B45A4-A643-4A31-AD3B-09FF641A16EC}" type="sibTrans" cxnId="{0C88C0B3-8AAC-4FA9-BE4C-2222B2B4A1BE}">
      <dgm:prSet/>
      <dgm:spPr/>
      <dgm:t>
        <a:bodyPr/>
        <a:lstStyle/>
        <a:p>
          <a:endParaRPr lang="en-US"/>
        </a:p>
      </dgm:t>
    </dgm:pt>
    <dgm:pt modelId="{11C12EEB-5340-467D-991C-E6C3B5DBDAEA}">
      <dgm:prSet phldrT="[Text]" custT="1"/>
      <dgm:spPr>
        <a:xfrm>
          <a:off x="1065230" y="225908"/>
          <a:ext cx="1363893" cy="46888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solidFill>
              <a:latin typeface="Arial" panose="020B0604020202020204" pitchFamily="34" charset="0"/>
              <a:ea typeface="+mn-ea"/>
              <a:cs typeface="Arial" panose="020B0604020202020204" pitchFamily="34" charset="0"/>
            </a:rPr>
            <a:t>Programa 20 </a:t>
          </a:r>
        </a:p>
        <a:p>
          <a:r>
            <a:rPr lang="en-US" sz="900">
              <a:solidFill>
                <a:sysClr val="windowText" lastClr="000000"/>
              </a:solidFill>
              <a:latin typeface="Arial" panose="020B0604020202020204" pitchFamily="34" charset="0"/>
              <a:ea typeface="+mn-ea"/>
              <a:cs typeface="Arial" panose="020B0604020202020204" pitchFamily="34" charset="0"/>
            </a:rPr>
            <a:t>Relaciones exteriores</a:t>
          </a:r>
        </a:p>
      </dgm:t>
    </dgm:pt>
    <dgm:pt modelId="{24258538-4C68-461F-9E82-62C8DF009C0A}" type="parTrans" cxnId="{AFEA8542-2500-4D00-B2F1-3B6B93AA3E37}">
      <dgm:prSet/>
      <dgm:spPr>
        <a:xfrm rot="12018079">
          <a:off x="2200369" y="687578"/>
          <a:ext cx="355209"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9B0886E-99F7-4F88-AD18-3A305D812CB8}" type="sibTrans" cxnId="{AFEA8542-2500-4D00-B2F1-3B6B93AA3E37}">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38164" custScaleY="106717" custLinFactNeighborX="0" custLinFactNeighborY="386"/>
      <dgm:spPr>
        <a:prstGeom prst="ellipse">
          <a:avLst/>
        </a:prstGeom>
      </dgm:spPr>
      <dgm:t>
        <a:bodyPr/>
        <a:lstStyle/>
        <a:p>
          <a:endParaRPr lang="en-US"/>
        </a:p>
      </dgm:t>
    </dgm:pt>
    <dgm:pt modelId="{DB73B42A-BE4F-46BC-B512-015EB15734E7}" type="pres">
      <dgm:prSet presAssocID="{E848F776-8237-42C9-A1C0-B5B0EB7FE51B}" presName="Name9" presStyleLbl="parChTrans1D2" presStyleIdx="0" presStyleCnt="8"/>
      <dgm:spPr>
        <a:custGeom>
          <a:avLst/>
          <a:gdLst/>
          <a:ahLst/>
          <a:cxnLst/>
          <a:rect l="0" t="0" r="0" b="0"/>
          <a:pathLst>
            <a:path>
              <a:moveTo>
                <a:pt x="0" y="6126"/>
              </a:moveTo>
              <a:lnTo>
                <a:pt x="257054" y="6126"/>
              </a:lnTo>
            </a:path>
          </a:pathLst>
        </a:custGeom>
      </dgm:spPr>
      <dgm:t>
        <a:bodyPr/>
        <a:lstStyle/>
        <a:p>
          <a:endParaRPr lang="en-US"/>
        </a:p>
      </dgm:t>
    </dgm:pt>
    <dgm:pt modelId="{498B4397-C22F-4D1E-9B41-E3ABFC4C6934}" type="pres">
      <dgm:prSet presAssocID="{E848F776-8237-42C9-A1C0-B5B0EB7FE51B}" presName="connTx" presStyleLbl="parChTrans1D2" presStyleIdx="0" presStyleCnt="8"/>
      <dgm:spPr/>
      <dgm:t>
        <a:bodyPr/>
        <a:lstStyle/>
        <a:p>
          <a:endParaRPr lang="en-US"/>
        </a:p>
      </dgm:t>
    </dgm:pt>
    <dgm:pt modelId="{8C16842D-5717-4E53-9353-18DF877708CF}" type="pres">
      <dgm:prSet presAssocID="{880B408D-A44E-4E41-A0D3-775A9D2AA162}" presName="node" presStyleLbl="node1" presStyleIdx="0" presStyleCnt="8" custScaleX="303894" custScaleY="126035" custRadScaleRad="96722" custRadScaleInc="5600">
        <dgm:presLayoutVars>
          <dgm:bulletEnabled val="1"/>
        </dgm:presLayoutVars>
      </dgm:prSet>
      <dgm:spPr>
        <a:prstGeom prst="ellipse">
          <a:avLst/>
        </a:prstGeom>
      </dgm:spPr>
      <dgm:t>
        <a:bodyPr/>
        <a:lstStyle/>
        <a:p>
          <a:endParaRPr lang="en-US"/>
        </a:p>
      </dgm:t>
    </dgm:pt>
    <dgm:pt modelId="{F32845D8-3F89-45CE-82D0-5F6D6B81E25D}" type="pres">
      <dgm:prSet presAssocID="{8D28B5B3-293B-4D04-9ABB-EE16A5C97D16}" presName="Name9" presStyleLbl="parChTrans1D2" presStyleIdx="1" presStyleCnt="8"/>
      <dgm:spPr>
        <a:custGeom>
          <a:avLst/>
          <a:gdLst/>
          <a:ahLst/>
          <a:cxnLst/>
          <a:rect l="0" t="0" r="0" b="0"/>
          <a:pathLst>
            <a:path>
              <a:moveTo>
                <a:pt x="0" y="6126"/>
              </a:moveTo>
              <a:lnTo>
                <a:pt x="422238" y="6126"/>
              </a:lnTo>
            </a:path>
          </a:pathLst>
        </a:custGeom>
      </dgm:spPr>
      <dgm:t>
        <a:bodyPr/>
        <a:lstStyle/>
        <a:p>
          <a:endParaRPr lang="en-US"/>
        </a:p>
      </dgm:t>
    </dgm:pt>
    <dgm:pt modelId="{22743AED-C443-4F2B-8D4D-266AC58BB10F}" type="pres">
      <dgm:prSet presAssocID="{8D28B5B3-293B-4D04-9ABB-EE16A5C97D16}" presName="connTx" presStyleLbl="parChTrans1D2" presStyleIdx="1" presStyleCnt="8"/>
      <dgm:spPr/>
      <dgm:t>
        <a:bodyPr/>
        <a:lstStyle/>
        <a:p>
          <a:endParaRPr lang="en-US"/>
        </a:p>
      </dgm:t>
    </dgm:pt>
    <dgm:pt modelId="{56946440-4960-4194-9471-9ABCF62950BA}" type="pres">
      <dgm:prSet presAssocID="{7E91AD2C-2762-4D69-BFD6-4095380ECAB8}" presName="node" presStyleLbl="node1" presStyleIdx="1" presStyleCnt="8" custScaleX="284237" custScaleY="113971" custRadScaleRad="199276" custRadScaleInc="127371">
        <dgm:presLayoutVars>
          <dgm:bulletEnabled val="1"/>
        </dgm:presLayoutVars>
      </dgm:prSet>
      <dgm:spPr>
        <a:prstGeom prst="ellipse">
          <a:avLst/>
        </a:prstGeom>
      </dgm:spPr>
      <dgm:t>
        <a:bodyPr/>
        <a:lstStyle/>
        <a:p>
          <a:endParaRPr lang="en-US"/>
        </a:p>
      </dgm:t>
    </dgm:pt>
    <dgm:pt modelId="{5337AE63-3722-42CC-AF72-36670EB7C5E1}" type="pres">
      <dgm:prSet presAssocID="{7AF774ED-547E-4C04-8670-B0C1D08C5EE9}" presName="Name9" presStyleLbl="parChTrans1D2" presStyleIdx="2" presStyleCnt="8"/>
      <dgm:spPr>
        <a:custGeom>
          <a:avLst/>
          <a:gdLst/>
          <a:ahLst/>
          <a:cxnLst/>
          <a:rect l="0" t="0" r="0" b="0"/>
          <a:pathLst>
            <a:path>
              <a:moveTo>
                <a:pt x="0" y="6126"/>
              </a:moveTo>
              <a:lnTo>
                <a:pt x="1068037" y="6126"/>
              </a:lnTo>
            </a:path>
          </a:pathLst>
        </a:custGeom>
      </dgm:spPr>
      <dgm:t>
        <a:bodyPr/>
        <a:lstStyle/>
        <a:p>
          <a:endParaRPr lang="en-US"/>
        </a:p>
      </dgm:t>
    </dgm:pt>
    <dgm:pt modelId="{326412CE-9911-4799-A459-B56F02EB4473}" type="pres">
      <dgm:prSet presAssocID="{7AF774ED-547E-4C04-8670-B0C1D08C5EE9}" presName="connTx" presStyleLbl="parChTrans1D2" presStyleIdx="2" presStyleCnt="8"/>
      <dgm:spPr/>
      <dgm:t>
        <a:bodyPr/>
        <a:lstStyle/>
        <a:p>
          <a:endParaRPr lang="en-US"/>
        </a:p>
      </dgm:t>
    </dgm:pt>
    <dgm:pt modelId="{CED9197C-8322-406B-917C-172FA36E7B76}" type="pres">
      <dgm:prSet presAssocID="{960C5593-E0FF-4AA5-AA0B-E8BDFFBC5E53}" presName="node" presStyleLbl="node1" presStyleIdx="2" presStyleCnt="8" custScaleX="328001" custScaleY="174735" custRadScaleRad="339917" custRadScaleInc="658">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3" presStyleCnt="8"/>
      <dgm:spPr>
        <a:custGeom>
          <a:avLst/>
          <a:gdLst/>
          <a:ahLst/>
          <a:cxnLst/>
          <a:rect l="0" t="0" r="0" b="0"/>
          <a:pathLst>
            <a:path>
              <a:moveTo>
                <a:pt x="0" y="6126"/>
              </a:moveTo>
              <a:lnTo>
                <a:pt x="392192" y="6126"/>
              </a:lnTo>
            </a:path>
          </a:pathLst>
        </a:custGeom>
      </dgm:spPr>
      <dgm:t>
        <a:bodyPr/>
        <a:lstStyle/>
        <a:p>
          <a:endParaRPr lang="en-US"/>
        </a:p>
      </dgm:t>
    </dgm:pt>
    <dgm:pt modelId="{62A1F741-432F-46BE-AE07-15F0B6D5EA89}" type="pres">
      <dgm:prSet presAssocID="{4693CA52-075F-4BD8-ABEA-5368BE377DDA}" presName="connTx" presStyleLbl="parChTrans1D2" presStyleIdx="3" presStyleCnt="8"/>
      <dgm:spPr/>
      <dgm:t>
        <a:bodyPr/>
        <a:lstStyle/>
        <a:p>
          <a:endParaRPr lang="en-US"/>
        </a:p>
      </dgm:t>
    </dgm:pt>
    <dgm:pt modelId="{035B4C9A-0916-4FCC-A1CF-85DB358A289A}" type="pres">
      <dgm:prSet presAssocID="{4631C2C5-1554-4289-90B0-F2D55D1595B6}" presName="node" presStyleLbl="node1" presStyleIdx="3" presStyleCnt="8" custScaleX="282010" custScaleY="131096" custRadScaleRad="196241" custRadScaleInc="-122013">
        <dgm:presLayoutVars>
          <dgm:bulletEnabled val="1"/>
        </dgm:presLayoutVars>
      </dgm:prSet>
      <dgm:spPr>
        <a:prstGeom prst="ellipse">
          <a:avLst/>
        </a:prstGeom>
      </dgm:spPr>
      <dgm:t>
        <a:bodyPr/>
        <a:lstStyle/>
        <a:p>
          <a:endParaRPr lang="en-US"/>
        </a:p>
      </dgm:t>
    </dgm:pt>
    <dgm:pt modelId="{64248C57-3CE0-4657-BC67-6279BA0257B1}" type="pres">
      <dgm:prSet presAssocID="{45A6C23B-D452-4078-BA3A-466D0894B9EB}" presName="Name9" presStyleLbl="parChTrans1D2" presStyleIdx="4" presStyleCnt="8"/>
      <dgm:spPr>
        <a:custGeom>
          <a:avLst/>
          <a:gdLst/>
          <a:ahLst/>
          <a:cxnLst/>
          <a:rect l="0" t="0" r="0" b="0"/>
          <a:pathLst>
            <a:path>
              <a:moveTo>
                <a:pt x="0" y="6126"/>
              </a:moveTo>
              <a:lnTo>
                <a:pt x="139216" y="6126"/>
              </a:lnTo>
            </a:path>
          </a:pathLst>
        </a:custGeom>
      </dgm:spPr>
      <dgm:t>
        <a:bodyPr/>
        <a:lstStyle/>
        <a:p>
          <a:endParaRPr lang="en-US"/>
        </a:p>
      </dgm:t>
    </dgm:pt>
    <dgm:pt modelId="{C7C9B7EB-2DEF-4B99-8D38-AC2E9641BEB5}" type="pres">
      <dgm:prSet presAssocID="{45A6C23B-D452-4078-BA3A-466D0894B9EB}" presName="connTx" presStyleLbl="parChTrans1D2" presStyleIdx="4" presStyleCnt="8"/>
      <dgm:spPr/>
      <dgm:t>
        <a:bodyPr/>
        <a:lstStyle/>
        <a:p>
          <a:endParaRPr lang="en-US"/>
        </a:p>
      </dgm:t>
    </dgm:pt>
    <dgm:pt modelId="{976BA53C-17D4-4F7C-9078-1272C469C9E5}" type="pres">
      <dgm:prSet presAssocID="{5C260341-F1C3-4458-A657-957289015FC3}" presName="node" presStyleLbl="node1" presStyleIdx="4" presStyleCnt="8" custScaleX="294672" custScaleY="113526" custRadScaleRad="83760" custRadScaleInc="-877">
        <dgm:presLayoutVars>
          <dgm:bulletEnabled val="1"/>
        </dgm:presLayoutVars>
      </dgm:prSet>
      <dgm:spPr>
        <a:prstGeom prst="ellipse">
          <a:avLst/>
        </a:prstGeom>
      </dgm:spPr>
      <dgm:t>
        <a:bodyPr/>
        <a:lstStyle/>
        <a:p>
          <a:endParaRPr lang="en-US"/>
        </a:p>
      </dgm:t>
    </dgm:pt>
    <dgm:pt modelId="{73944B9B-8143-474E-A2B5-719E57EA1FE0}" type="pres">
      <dgm:prSet presAssocID="{42DDAC3B-802E-470C-B26C-35741B306D27}" presName="Name9" presStyleLbl="parChTrans1D2" presStyleIdx="5" presStyleCnt="8"/>
      <dgm:spPr>
        <a:custGeom>
          <a:avLst/>
          <a:gdLst/>
          <a:ahLst/>
          <a:cxnLst/>
          <a:rect l="0" t="0" r="0" b="0"/>
          <a:pathLst>
            <a:path>
              <a:moveTo>
                <a:pt x="0" y="6126"/>
              </a:moveTo>
              <a:lnTo>
                <a:pt x="384499" y="6126"/>
              </a:lnTo>
            </a:path>
          </a:pathLst>
        </a:custGeom>
      </dgm:spPr>
      <dgm:t>
        <a:bodyPr/>
        <a:lstStyle/>
        <a:p>
          <a:endParaRPr lang="en-US"/>
        </a:p>
      </dgm:t>
    </dgm:pt>
    <dgm:pt modelId="{F5AD7B03-58D4-4480-B85C-FFEEB047B4AA}" type="pres">
      <dgm:prSet presAssocID="{42DDAC3B-802E-470C-B26C-35741B306D27}" presName="connTx" presStyleLbl="parChTrans1D2" presStyleIdx="5" presStyleCnt="8"/>
      <dgm:spPr/>
      <dgm:t>
        <a:bodyPr/>
        <a:lstStyle/>
        <a:p>
          <a:endParaRPr lang="en-US"/>
        </a:p>
      </dgm:t>
    </dgm:pt>
    <dgm:pt modelId="{2BDBEDDB-6DE8-44DC-8FC2-1ED793273BD1}" type="pres">
      <dgm:prSet presAssocID="{F87686C8-F658-4DC2-BC5F-AB0B4E40ED1C}" presName="node" presStyleLbl="node1" presStyleIdx="5" presStyleCnt="8" custScaleX="304606" custScaleY="169591" custRadScaleRad="194127" custRadScaleInc="112815">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6" presStyleCnt="8"/>
      <dgm:spPr>
        <a:custGeom>
          <a:avLst/>
          <a:gdLst/>
          <a:ahLst/>
          <a:cxnLst/>
          <a:rect l="0" t="0" r="0" b="0"/>
          <a:pathLst>
            <a:path>
              <a:moveTo>
                <a:pt x="0" y="6126"/>
              </a:moveTo>
              <a:lnTo>
                <a:pt x="1090567" y="6126"/>
              </a:lnTo>
            </a:path>
          </a:pathLst>
        </a:custGeom>
      </dgm:spPr>
      <dgm:t>
        <a:bodyPr/>
        <a:lstStyle/>
        <a:p>
          <a:endParaRPr lang="en-US"/>
        </a:p>
      </dgm:t>
    </dgm:pt>
    <dgm:pt modelId="{EA4144E0-C5B2-4FC0-BDB2-550B61DB7DFD}" type="pres">
      <dgm:prSet presAssocID="{0FABC453-0A5C-4CAE-813B-F0494A34E025}" presName="connTx" presStyleLbl="parChTrans1D2" presStyleIdx="6" presStyleCnt="8"/>
      <dgm:spPr/>
      <dgm:t>
        <a:bodyPr/>
        <a:lstStyle/>
        <a:p>
          <a:endParaRPr lang="en-US"/>
        </a:p>
      </dgm:t>
    </dgm:pt>
    <dgm:pt modelId="{0FAF3FA1-8E6C-455E-B189-A468B3F4D8BC}" type="pres">
      <dgm:prSet presAssocID="{C06C39C9-71B8-489C-9C45-3DD37A424E39}" presName="node" presStyleLbl="node1" presStyleIdx="6" presStyleCnt="8" custScaleX="306028" custScaleY="137339" custRadScaleRad="335402" custRadScaleInc="-375">
        <dgm:presLayoutVars>
          <dgm:bulletEnabled val="1"/>
        </dgm:presLayoutVars>
      </dgm:prSet>
      <dgm:spPr>
        <a:prstGeom prst="ellipse">
          <a:avLst/>
        </a:prstGeom>
      </dgm:spPr>
      <dgm:t>
        <a:bodyPr/>
        <a:lstStyle/>
        <a:p>
          <a:endParaRPr lang="en-US"/>
        </a:p>
      </dgm:t>
    </dgm:pt>
    <dgm:pt modelId="{7DF391B8-9498-4F55-ACE3-A6D0DB9A80F6}" type="pres">
      <dgm:prSet presAssocID="{24258538-4C68-461F-9E82-62C8DF009C0A}" presName="Name9" presStyleLbl="parChTrans1D2" presStyleIdx="7" presStyleCnt="8"/>
      <dgm:spPr>
        <a:custGeom>
          <a:avLst/>
          <a:gdLst/>
          <a:ahLst/>
          <a:cxnLst/>
          <a:rect l="0" t="0" r="0" b="0"/>
          <a:pathLst>
            <a:path>
              <a:moveTo>
                <a:pt x="0" y="6126"/>
              </a:moveTo>
              <a:lnTo>
                <a:pt x="355209" y="6126"/>
              </a:lnTo>
            </a:path>
          </a:pathLst>
        </a:custGeom>
      </dgm:spPr>
      <dgm:t>
        <a:bodyPr/>
        <a:lstStyle/>
        <a:p>
          <a:endParaRPr lang="en-US"/>
        </a:p>
      </dgm:t>
    </dgm:pt>
    <dgm:pt modelId="{9D0B803B-5ADE-4578-AB67-EBE1C99F7C08}" type="pres">
      <dgm:prSet presAssocID="{24258538-4C68-461F-9E82-62C8DF009C0A}" presName="connTx" presStyleLbl="parChTrans1D2" presStyleIdx="7" presStyleCnt="8"/>
      <dgm:spPr/>
      <dgm:t>
        <a:bodyPr/>
        <a:lstStyle/>
        <a:p>
          <a:endParaRPr lang="en-US"/>
        </a:p>
      </dgm:t>
    </dgm:pt>
    <dgm:pt modelId="{E3F75BBA-60EC-4D9A-B0CC-E18ADA53928C}" type="pres">
      <dgm:prSet presAssocID="{11C12EEB-5340-467D-991C-E6C3B5DBDAEA}" presName="node" presStyleLbl="node1" presStyleIdx="7" presStyleCnt="8" custScaleX="337305" custScaleY="115959" custRadScaleRad="185846" custRadScaleInc="-110764">
        <dgm:presLayoutVars>
          <dgm:bulletEnabled val="1"/>
        </dgm:presLayoutVars>
      </dgm:prSet>
      <dgm:spPr>
        <a:prstGeom prst="ellipse">
          <a:avLst/>
        </a:prstGeom>
      </dgm:spPr>
      <dgm:t>
        <a:bodyPr/>
        <a:lstStyle/>
        <a:p>
          <a:endParaRPr lang="en-US"/>
        </a:p>
      </dgm:t>
    </dgm:pt>
  </dgm:ptLst>
  <dgm:cxnLst>
    <dgm:cxn modelId="{BF65F824-D4F4-4A84-83B4-6B1944B62AAD}" srcId="{DE541715-C648-404D-8124-F14F463E9202}" destId="{4631C2C5-1554-4289-90B0-F2D55D1595B6}" srcOrd="3" destOrd="0" parTransId="{4693CA52-075F-4BD8-ABEA-5368BE377DDA}" sibTransId="{9B3CB24D-A47A-4081-B256-B868D89D5387}"/>
    <dgm:cxn modelId="{9A2A558B-B49E-4279-BEB4-B2405902FF9F}" type="presOf" srcId="{24258538-4C68-461F-9E82-62C8DF009C0A}" destId="{7DF391B8-9498-4F55-ACE3-A6D0DB9A80F6}" srcOrd="0" destOrd="0" presId="urn:microsoft.com/office/officeart/2005/8/layout/radial1"/>
    <dgm:cxn modelId="{3333DC46-0E1A-4F0B-B570-4E28498B39AE}" type="presOf" srcId="{4631C2C5-1554-4289-90B0-F2D55D1595B6}" destId="{035B4C9A-0916-4FCC-A1CF-85DB358A289A}" srcOrd="0" destOrd="0" presId="urn:microsoft.com/office/officeart/2005/8/layout/radial1"/>
    <dgm:cxn modelId="{03828E4E-A8EE-4B10-83B2-BFCE209F0FE5}" type="presOf" srcId="{960C5593-E0FF-4AA5-AA0B-E8BDFFBC5E53}" destId="{CED9197C-8322-406B-917C-172FA36E7B76}" srcOrd="0" destOrd="0" presId="urn:microsoft.com/office/officeart/2005/8/layout/radial1"/>
    <dgm:cxn modelId="{429E426B-1E7F-4A36-8E22-852504D0B1D8}" type="presOf" srcId="{42DDAC3B-802E-470C-B26C-35741B306D27}" destId="{F5AD7B03-58D4-4480-B85C-FFEEB047B4AA}" srcOrd="1" destOrd="0" presId="urn:microsoft.com/office/officeart/2005/8/layout/radial1"/>
    <dgm:cxn modelId="{98B49F4A-1BF9-4D7C-9401-33A4658FDA9A}" type="presOf" srcId="{11C12EEB-5340-467D-991C-E6C3B5DBDAEA}" destId="{E3F75BBA-60EC-4D9A-B0CC-E18ADA53928C}" srcOrd="0" destOrd="0" presId="urn:microsoft.com/office/officeart/2005/8/layout/radial1"/>
    <dgm:cxn modelId="{D61BF7BF-8BB2-42FB-A4C4-B1FC0C57AA6F}" type="presOf" srcId="{E848F776-8237-42C9-A1C0-B5B0EB7FE51B}" destId="{DB73B42A-BE4F-46BC-B512-015EB15734E7}" srcOrd="0" destOrd="0" presId="urn:microsoft.com/office/officeart/2005/8/layout/radial1"/>
    <dgm:cxn modelId="{2F6BFEB1-3EEF-4DA3-B76B-8783934322DC}" type="presOf" srcId="{F87686C8-F658-4DC2-BC5F-AB0B4E40ED1C}" destId="{2BDBEDDB-6DE8-44DC-8FC2-1ED793273BD1}" srcOrd="0" destOrd="0" presId="urn:microsoft.com/office/officeart/2005/8/layout/radial1"/>
    <dgm:cxn modelId="{717F0260-9129-4A22-BD07-F12BA841FFEE}" type="presOf" srcId="{7AF774ED-547E-4C04-8670-B0C1D08C5EE9}" destId="{5337AE63-3722-42CC-AF72-36670EB7C5E1}" srcOrd="0" destOrd="0" presId="urn:microsoft.com/office/officeart/2005/8/layout/radial1"/>
    <dgm:cxn modelId="{7BC42BF5-60E9-4EC4-927D-D03B35EB8059}" type="presOf" srcId="{880B408D-A44E-4E41-A0D3-775A9D2AA162}" destId="{8C16842D-5717-4E53-9353-18DF877708CF}" srcOrd="0" destOrd="0" presId="urn:microsoft.com/office/officeart/2005/8/layout/radial1"/>
    <dgm:cxn modelId="{7BE02732-6535-4C6E-89CE-DC6CFAED719A}" type="presOf" srcId="{34E6C8D5-8D4F-4714-8A12-8F4599A8E760}" destId="{08F189A1-AB47-41D1-8058-7A6DA66B3F52}"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2EEBE16D-016B-4434-98E8-1D838D47B398}" type="presOf" srcId="{7E91AD2C-2762-4D69-BFD6-4095380ECAB8}" destId="{56946440-4960-4194-9471-9ABCF62950BA}" srcOrd="0" destOrd="0" presId="urn:microsoft.com/office/officeart/2005/8/layout/radial1"/>
    <dgm:cxn modelId="{AFEA8542-2500-4D00-B2F1-3B6B93AA3E37}" srcId="{DE541715-C648-404D-8124-F14F463E9202}" destId="{11C12EEB-5340-467D-991C-E6C3B5DBDAEA}" srcOrd="7" destOrd="0" parTransId="{24258538-4C68-461F-9E82-62C8DF009C0A}" sibTransId="{79B0886E-99F7-4F88-AD18-3A305D812CB8}"/>
    <dgm:cxn modelId="{777B9E57-3950-483C-8626-1128080D952D}" type="presOf" srcId="{42DDAC3B-802E-470C-B26C-35741B306D27}" destId="{73944B9B-8143-474E-A2B5-719E57EA1FE0}" srcOrd="0" destOrd="0" presId="urn:microsoft.com/office/officeart/2005/8/layout/radial1"/>
    <dgm:cxn modelId="{C4CE955B-C7EA-442D-BA54-FCED6F4F9301}" srcId="{DE541715-C648-404D-8124-F14F463E9202}" destId="{880B408D-A44E-4E41-A0D3-775A9D2AA162}" srcOrd="0" destOrd="0" parTransId="{E848F776-8237-42C9-A1C0-B5B0EB7FE51B}" sibTransId="{C6C0D1BD-440F-496E-8208-41C1352C17C4}"/>
    <dgm:cxn modelId="{3512CBA6-2206-46F8-A47E-21BE56192E5D}" type="presOf" srcId="{0FABC453-0A5C-4CAE-813B-F0494A34E025}" destId="{ADF94B70-0D7F-4A27-8DF9-17BCD27F4A7A}" srcOrd="0" destOrd="0" presId="urn:microsoft.com/office/officeart/2005/8/layout/radial1"/>
    <dgm:cxn modelId="{6E99DF45-4FFC-474B-9B25-D2DDD68A3354}" type="presOf" srcId="{8D28B5B3-293B-4D04-9ABB-EE16A5C97D16}" destId="{22743AED-C443-4F2B-8D4D-266AC58BB10F}" srcOrd="1" destOrd="0" presId="urn:microsoft.com/office/officeart/2005/8/layout/radial1"/>
    <dgm:cxn modelId="{403EA143-28C9-47E5-BAAD-4F13155847BA}" type="presOf" srcId="{4693CA52-075F-4BD8-ABEA-5368BE377DDA}" destId="{4AC11394-3179-4EC5-A97F-D1A1B521CE2F}" srcOrd="0" destOrd="0" presId="urn:microsoft.com/office/officeart/2005/8/layout/radial1"/>
    <dgm:cxn modelId="{0C88C0B3-8AAC-4FA9-BE4C-2222B2B4A1BE}" srcId="{DE541715-C648-404D-8124-F14F463E9202}" destId="{F87686C8-F658-4DC2-BC5F-AB0B4E40ED1C}" srcOrd="5" destOrd="0" parTransId="{42DDAC3B-802E-470C-B26C-35741B306D27}" sibTransId="{FE7B45A4-A643-4A31-AD3B-09FF641A16EC}"/>
    <dgm:cxn modelId="{0F12FD97-2789-40F0-8EC6-38710A91ECAD}" type="presOf" srcId="{4693CA52-075F-4BD8-ABEA-5368BE377DDA}" destId="{62A1F741-432F-46BE-AE07-15F0B6D5EA89}" srcOrd="1" destOrd="0" presId="urn:microsoft.com/office/officeart/2005/8/layout/radial1"/>
    <dgm:cxn modelId="{0266A1D0-CEC9-45F3-8B31-A21772E8AA19}" srcId="{DE541715-C648-404D-8124-F14F463E9202}" destId="{5C260341-F1C3-4458-A657-957289015FC3}" srcOrd="4" destOrd="0" parTransId="{45A6C23B-D452-4078-BA3A-466D0894B9EB}" sibTransId="{89B7C331-6FB9-4771-84B2-9F75AB1415C9}"/>
    <dgm:cxn modelId="{9A56BA16-F19B-4882-B7ED-97CB66E2217B}" type="presOf" srcId="{0FABC453-0A5C-4CAE-813B-F0494A34E025}" destId="{EA4144E0-C5B2-4FC0-BDB2-550B61DB7DFD}" srcOrd="1" destOrd="0" presId="urn:microsoft.com/office/officeart/2005/8/layout/radial1"/>
    <dgm:cxn modelId="{C4310C8C-0B5E-49BC-8AF0-F160288474E1}" type="presOf" srcId="{7AF774ED-547E-4C04-8670-B0C1D08C5EE9}" destId="{326412CE-9911-4799-A459-B56F02EB4473}" srcOrd="1" destOrd="0" presId="urn:microsoft.com/office/officeart/2005/8/layout/radial1"/>
    <dgm:cxn modelId="{248698A6-055B-40E3-B808-D624056EF2B0}" srcId="{DE541715-C648-404D-8124-F14F463E9202}" destId="{C06C39C9-71B8-489C-9C45-3DD37A424E39}" srcOrd="6" destOrd="0" parTransId="{0FABC453-0A5C-4CAE-813B-F0494A34E025}" sibTransId="{DCD34884-F96E-475A-9010-14DE66A403A6}"/>
    <dgm:cxn modelId="{849F1556-A95F-4F1F-9287-16DCD043BCEC}" type="presOf" srcId="{E848F776-8237-42C9-A1C0-B5B0EB7FE51B}" destId="{498B4397-C22F-4D1E-9B41-E3ABFC4C6934}" srcOrd="1" destOrd="0" presId="urn:microsoft.com/office/officeart/2005/8/layout/radial1"/>
    <dgm:cxn modelId="{57741CFF-6741-4672-8B94-0A35A86D160E}" type="presOf" srcId="{8D28B5B3-293B-4D04-9ABB-EE16A5C97D16}" destId="{F32845D8-3F89-45CE-82D0-5F6D6B81E25D}" srcOrd="0" destOrd="0" presId="urn:microsoft.com/office/officeart/2005/8/layout/radial1"/>
    <dgm:cxn modelId="{674C7F13-DAD2-4603-AC29-1E1C3C87DB6A}" type="presOf" srcId="{24258538-4C68-461F-9E82-62C8DF009C0A}" destId="{9D0B803B-5ADE-4578-AB67-EBE1C99F7C08}" srcOrd="1" destOrd="0" presId="urn:microsoft.com/office/officeart/2005/8/layout/radial1"/>
    <dgm:cxn modelId="{FC51ACE5-3C74-439A-A1A6-4021E51173F7}" type="presOf" srcId="{45A6C23B-D452-4078-BA3A-466D0894B9EB}" destId="{64248C57-3CE0-4657-BC67-6279BA0257B1}" srcOrd="0" destOrd="0" presId="urn:microsoft.com/office/officeart/2005/8/layout/radial1"/>
    <dgm:cxn modelId="{CFF6B106-D621-4B9E-839A-8288BCDEC7D4}" type="presOf" srcId="{DE541715-C648-404D-8124-F14F463E9202}" destId="{062AF917-2F47-4639-8A23-58AD52EC0F32}" srcOrd="0" destOrd="0" presId="urn:microsoft.com/office/officeart/2005/8/layout/radial1"/>
    <dgm:cxn modelId="{8984EDC5-082E-49D9-B049-D7C3388769FA}" type="presOf" srcId="{C06C39C9-71B8-489C-9C45-3DD37A424E39}" destId="{0FAF3FA1-8E6C-455E-B189-A468B3F4D8BC}"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D5CFCB98-F3D0-4168-B056-575C548FF5BE}" type="presOf" srcId="{45A6C23B-D452-4078-BA3A-466D0894B9EB}" destId="{C7C9B7EB-2DEF-4B99-8D38-AC2E9641BEB5}" srcOrd="1" destOrd="0" presId="urn:microsoft.com/office/officeart/2005/8/layout/radial1"/>
    <dgm:cxn modelId="{2EECE691-F3CC-4652-8A87-19B20807A4F4}" type="presOf" srcId="{5C260341-F1C3-4458-A657-957289015FC3}" destId="{976BA53C-17D4-4F7C-9078-1272C469C9E5}" srcOrd="0" destOrd="0" presId="urn:microsoft.com/office/officeart/2005/8/layout/radial1"/>
    <dgm:cxn modelId="{19C1565A-DB23-4F9C-ABEF-4480DF7D14CE}" srcId="{DE541715-C648-404D-8124-F14F463E9202}" destId="{7E91AD2C-2762-4D69-BFD6-4095380ECAB8}" srcOrd="1" destOrd="0" parTransId="{8D28B5B3-293B-4D04-9ABB-EE16A5C97D16}" sibTransId="{26336DBA-E790-4546-ABCA-DDAC89AEDA30}"/>
    <dgm:cxn modelId="{529D05ED-97D5-4116-BE13-DE3D93351F7F}" srcId="{DE541715-C648-404D-8124-F14F463E9202}" destId="{960C5593-E0FF-4AA5-AA0B-E8BDFFBC5E53}" srcOrd="2" destOrd="0" parTransId="{7AF774ED-547E-4C04-8670-B0C1D08C5EE9}" sibTransId="{88F12DF7-015F-4F26-950A-DAE493699644}"/>
    <dgm:cxn modelId="{BA3AD223-656F-4CC5-8018-7C6FBA1296DE}" type="presParOf" srcId="{08F189A1-AB47-41D1-8058-7A6DA66B3F52}" destId="{062AF917-2F47-4639-8A23-58AD52EC0F32}" srcOrd="0" destOrd="0" presId="urn:microsoft.com/office/officeart/2005/8/layout/radial1"/>
    <dgm:cxn modelId="{A762406E-8DE3-4223-A1A6-D501F51D70B4}" type="presParOf" srcId="{08F189A1-AB47-41D1-8058-7A6DA66B3F52}" destId="{DB73B42A-BE4F-46BC-B512-015EB15734E7}" srcOrd="1" destOrd="0" presId="urn:microsoft.com/office/officeart/2005/8/layout/radial1"/>
    <dgm:cxn modelId="{EDB6EA21-9EF0-4866-9565-A551F68669E1}" type="presParOf" srcId="{DB73B42A-BE4F-46BC-B512-015EB15734E7}" destId="{498B4397-C22F-4D1E-9B41-E3ABFC4C6934}" srcOrd="0" destOrd="0" presId="urn:microsoft.com/office/officeart/2005/8/layout/radial1"/>
    <dgm:cxn modelId="{9EDD8B9F-6586-49D7-8625-2941A4837E8E}" type="presParOf" srcId="{08F189A1-AB47-41D1-8058-7A6DA66B3F52}" destId="{8C16842D-5717-4E53-9353-18DF877708CF}" srcOrd="2" destOrd="0" presId="urn:microsoft.com/office/officeart/2005/8/layout/radial1"/>
    <dgm:cxn modelId="{FBB3EE45-FB99-469F-8D8E-258012714395}" type="presParOf" srcId="{08F189A1-AB47-41D1-8058-7A6DA66B3F52}" destId="{F32845D8-3F89-45CE-82D0-5F6D6B81E25D}" srcOrd="3" destOrd="0" presId="urn:microsoft.com/office/officeart/2005/8/layout/radial1"/>
    <dgm:cxn modelId="{2C4407A0-2010-4AEF-AE0D-300356B875F5}" type="presParOf" srcId="{F32845D8-3F89-45CE-82D0-5F6D6B81E25D}" destId="{22743AED-C443-4F2B-8D4D-266AC58BB10F}" srcOrd="0" destOrd="0" presId="urn:microsoft.com/office/officeart/2005/8/layout/radial1"/>
    <dgm:cxn modelId="{677D0FE7-DD8E-4909-8912-CF4B67B161CB}" type="presParOf" srcId="{08F189A1-AB47-41D1-8058-7A6DA66B3F52}" destId="{56946440-4960-4194-9471-9ABCF62950BA}" srcOrd="4" destOrd="0" presId="urn:microsoft.com/office/officeart/2005/8/layout/radial1"/>
    <dgm:cxn modelId="{2A20F66A-D7FF-47F5-8DFE-A7F3C836B059}" type="presParOf" srcId="{08F189A1-AB47-41D1-8058-7A6DA66B3F52}" destId="{5337AE63-3722-42CC-AF72-36670EB7C5E1}" srcOrd="5" destOrd="0" presId="urn:microsoft.com/office/officeart/2005/8/layout/radial1"/>
    <dgm:cxn modelId="{431F6E0A-A949-489A-90D5-9E98C48EEF84}" type="presParOf" srcId="{5337AE63-3722-42CC-AF72-36670EB7C5E1}" destId="{326412CE-9911-4799-A459-B56F02EB4473}" srcOrd="0" destOrd="0" presId="urn:microsoft.com/office/officeart/2005/8/layout/radial1"/>
    <dgm:cxn modelId="{91865EC4-0A0D-4EBE-A3B9-86A4845DF856}" type="presParOf" srcId="{08F189A1-AB47-41D1-8058-7A6DA66B3F52}" destId="{CED9197C-8322-406B-917C-172FA36E7B76}" srcOrd="6" destOrd="0" presId="urn:microsoft.com/office/officeart/2005/8/layout/radial1"/>
    <dgm:cxn modelId="{64960B38-B373-40C8-BE34-6775A764D14E}" type="presParOf" srcId="{08F189A1-AB47-41D1-8058-7A6DA66B3F52}" destId="{4AC11394-3179-4EC5-A97F-D1A1B521CE2F}" srcOrd="7" destOrd="0" presId="urn:microsoft.com/office/officeart/2005/8/layout/radial1"/>
    <dgm:cxn modelId="{BD3044E5-2BA8-4096-9530-82739AC2CF49}" type="presParOf" srcId="{4AC11394-3179-4EC5-A97F-D1A1B521CE2F}" destId="{62A1F741-432F-46BE-AE07-15F0B6D5EA89}" srcOrd="0" destOrd="0" presId="urn:microsoft.com/office/officeart/2005/8/layout/radial1"/>
    <dgm:cxn modelId="{9D7B4071-052C-48FA-B5C5-C9FCA875C3AB}" type="presParOf" srcId="{08F189A1-AB47-41D1-8058-7A6DA66B3F52}" destId="{035B4C9A-0916-4FCC-A1CF-85DB358A289A}" srcOrd="8" destOrd="0" presId="urn:microsoft.com/office/officeart/2005/8/layout/radial1"/>
    <dgm:cxn modelId="{2A328C80-BC47-45E1-9924-F681E5E2FE71}" type="presParOf" srcId="{08F189A1-AB47-41D1-8058-7A6DA66B3F52}" destId="{64248C57-3CE0-4657-BC67-6279BA0257B1}" srcOrd="9" destOrd="0" presId="urn:microsoft.com/office/officeart/2005/8/layout/radial1"/>
    <dgm:cxn modelId="{C4910508-ACC2-4927-8EE0-B4E2DECC8A2B}" type="presParOf" srcId="{64248C57-3CE0-4657-BC67-6279BA0257B1}" destId="{C7C9B7EB-2DEF-4B99-8D38-AC2E9641BEB5}" srcOrd="0" destOrd="0" presId="urn:microsoft.com/office/officeart/2005/8/layout/radial1"/>
    <dgm:cxn modelId="{0C2E62FA-6CE4-4A16-AB49-D875B1AC173B}" type="presParOf" srcId="{08F189A1-AB47-41D1-8058-7A6DA66B3F52}" destId="{976BA53C-17D4-4F7C-9078-1272C469C9E5}" srcOrd="10" destOrd="0" presId="urn:microsoft.com/office/officeart/2005/8/layout/radial1"/>
    <dgm:cxn modelId="{9297BCCE-1248-4633-B4E3-3F80E6DEF799}" type="presParOf" srcId="{08F189A1-AB47-41D1-8058-7A6DA66B3F52}" destId="{73944B9B-8143-474E-A2B5-719E57EA1FE0}" srcOrd="11" destOrd="0" presId="urn:microsoft.com/office/officeart/2005/8/layout/radial1"/>
    <dgm:cxn modelId="{CEC1D4BC-2205-4F3C-AC51-4D3642194CBE}" type="presParOf" srcId="{73944B9B-8143-474E-A2B5-719E57EA1FE0}" destId="{F5AD7B03-58D4-4480-B85C-FFEEB047B4AA}" srcOrd="0" destOrd="0" presId="urn:microsoft.com/office/officeart/2005/8/layout/radial1"/>
    <dgm:cxn modelId="{68A276F7-8FDF-4F2D-A26D-DD9A1FA8EEF6}" type="presParOf" srcId="{08F189A1-AB47-41D1-8058-7A6DA66B3F52}" destId="{2BDBEDDB-6DE8-44DC-8FC2-1ED793273BD1}" srcOrd="12" destOrd="0" presId="urn:microsoft.com/office/officeart/2005/8/layout/radial1"/>
    <dgm:cxn modelId="{4477EEC0-7457-4F80-9CA3-1E34553E47E9}" type="presParOf" srcId="{08F189A1-AB47-41D1-8058-7A6DA66B3F52}" destId="{ADF94B70-0D7F-4A27-8DF9-17BCD27F4A7A}" srcOrd="13" destOrd="0" presId="urn:microsoft.com/office/officeart/2005/8/layout/radial1"/>
    <dgm:cxn modelId="{F289BF72-0311-4590-97C9-56463C53E9C5}" type="presParOf" srcId="{ADF94B70-0D7F-4A27-8DF9-17BCD27F4A7A}" destId="{EA4144E0-C5B2-4FC0-BDB2-550B61DB7DFD}" srcOrd="0" destOrd="0" presId="urn:microsoft.com/office/officeart/2005/8/layout/radial1"/>
    <dgm:cxn modelId="{56AF667D-3ABF-4A43-8D29-75A32F159CEB}" type="presParOf" srcId="{08F189A1-AB47-41D1-8058-7A6DA66B3F52}" destId="{0FAF3FA1-8E6C-455E-B189-A468B3F4D8BC}" srcOrd="14" destOrd="0" presId="urn:microsoft.com/office/officeart/2005/8/layout/radial1"/>
    <dgm:cxn modelId="{F0D860CA-E5AE-490F-B8F4-D647417B1782}" type="presParOf" srcId="{08F189A1-AB47-41D1-8058-7A6DA66B3F52}" destId="{7DF391B8-9498-4F55-ACE3-A6D0DB9A80F6}" srcOrd="15" destOrd="0" presId="urn:microsoft.com/office/officeart/2005/8/layout/radial1"/>
    <dgm:cxn modelId="{1F3527A0-6728-44B9-9FDB-39C4D16E61B5}" type="presParOf" srcId="{7DF391B8-9498-4F55-ACE3-A6D0DB9A80F6}" destId="{9D0B803B-5ADE-4578-AB67-EBE1C99F7C08}" srcOrd="0" destOrd="0" presId="urn:microsoft.com/office/officeart/2005/8/layout/radial1"/>
    <dgm:cxn modelId="{50063A5C-0C6D-403A-A3A0-B04F6A76FD25}" type="presParOf" srcId="{08F189A1-AB47-41D1-8058-7A6DA66B3F52}" destId="{E3F75BBA-60EC-4D9A-B0CC-E18ADA53928C}" srcOrd="16" destOrd="0" presId="urn:microsoft.com/office/officeart/2005/8/layout/radial1"/>
  </dgm:cxnLst>
  <dgm:bg/>
  <dgm:whole/>
  <dgm:extLst>
    <a:ext uri="http://schemas.microsoft.com/office/drawing/2008/diagram">
      <dsp:dataModelExt xmlns:dsp="http://schemas.microsoft.com/office/drawing/2008/diagram" relId="rId16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endParaRPr lang="en-US"/>
        </a:p>
      </dgm:t>
    </dgm:pt>
    <dgm:pt modelId="{C06C39C9-71B8-489C-9C45-3DD37A424E39}">
      <dgm:prSet phldrT="[Text]" custT="1"/>
      <dgm:spPr>
        <a:xfrm>
          <a:off x="466725" y="515049"/>
          <a:ext cx="1261513" cy="45420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  </a:t>
          </a:r>
        </a:p>
      </dgm:t>
    </dgm:pt>
    <dgm:pt modelId="{4631C2C5-1554-4289-90B0-F2D55D1595B6}">
      <dgm:prSet phldrT="[Text]" custT="1"/>
      <dgm:spPr>
        <a:xfrm>
          <a:off x="4188545" y="516645"/>
          <a:ext cx="1459781" cy="45370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gm:t>
    </dgm:pt>
    <dgm:pt modelId="{DE541715-C648-404D-8124-F14F463E9202}">
      <dgm:prSet phldrT="[Text]" custT="1"/>
      <dgm:spPr>
        <a:xfrm>
          <a:off x="2333625" y="538314"/>
          <a:ext cx="1085848" cy="40901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801296">
          <a:off x="1728239" y="736106"/>
          <a:ext cx="605386" cy="1279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134">
          <a:off x="3419473" y="736731"/>
          <a:ext cx="769072" cy="1279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07852"/>
      <dgm:spPr>
        <a:prstGeom prst="ellipse">
          <a:avLst/>
        </a:prstGeom>
      </dgm:spPr>
      <dgm:t>
        <a:bodyPr/>
        <a:lstStyle/>
        <a:p>
          <a:endParaRPr lang="en-US"/>
        </a:p>
      </dgm:t>
    </dgm:pt>
    <dgm:pt modelId="{4AC11394-3179-4EC5-A97F-D1A1B521CE2F}" type="pres">
      <dgm:prSet presAssocID="{4693CA52-075F-4BD8-ABEA-5368BE377DDA}" presName="Name9" presStyleLbl="parChTrans1D2" presStyleIdx="0" presStyleCnt="2"/>
      <dgm:spPr>
        <a:custGeom>
          <a:avLst/>
          <a:gdLst/>
          <a:ahLst/>
          <a:cxnLst/>
          <a:rect l="0" t="0" r="0" b="0"/>
          <a:pathLst>
            <a:path>
              <a:moveTo>
                <a:pt x="0" y="6398"/>
              </a:moveTo>
              <a:lnTo>
                <a:pt x="769072" y="6398"/>
              </a:lnTo>
            </a:path>
          </a:pathLst>
        </a:custGeom>
      </dgm:spPr>
      <dgm:t>
        <a:bodyPr/>
        <a:lstStyle/>
        <a:p>
          <a:endParaRPr lang="en-US"/>
        </a:p>
      </dgm:t>
    </dgm:pt>
    <dgm:pt modelId="{62A1F741-432F-46BE-AE07-15F0B6D5EA89}" type="pres">
      <dgm:prSet presAssocID="{4693CA52-075F-4BD8-ABEA-5368BE377DDA}" presName="connTx" presStyleLbl="parChTrans1D2" presStyleIdx="0" presStyleCnt="2"/>
      <dgm:spPr/>
      <dgm:t>
        <a:bodyPr/>
        <a:lstStyle/>
        <a:p>
          <a:endParaRPr lang="en-US"/>
        </a:p>
      </dgm:t>
    </dgm:pt>
    <dgm:pt modelId="{035B4C9A-0916-4FCC-A1CF-85DB358A289A}" type="pres">
      <dgm:prSet presAssocID="{4631C2C5-1554-4289-90B0-F2D55D1595B6}" presName="node" presStyleLbl="node1" presStyleIdx="0" presStyleCnt="2" custScaleX="386350" custScaleY="110925" custRadScaleRad="383284" custRadScaleInc="100021">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1" presStyleCnt="2"/>
      <dgm:spPr>
        <a:custGeom>
          <a:avLst/>
          <a:gdLst/>
          <a:ahLst/>
          <a:cxnLst/>
          <a:rect l="0" t="0" r="0" b="0"/>
          <a:pathLst>
            <a:path>
              <a:moveTo>
                <a:pt x="0" y="6398"/>
              </a:moveTo>
              <a:lnTo>
                <a:pt x="605386" y="6398"/>
              </a:lnTo>
            </a:path>
          </a:pathLst>
        </a:custGeom>
      </dgm:spPr>
      <dgm:t>
        <a:bodyPr/>
        <a:lstStyle/>
        <a:p>
          <a:endParaRPr lang="en-US"/>
        </a:p>
      </dgm:t>
    </dgm:pt>
    <dgm:pt modelId="{EA4144E0-C5B2-4FC0-BDB2-550B61DB7DFD}" type="pres">
      <dgm:prSet presAssocID="{0FABC453-0A5C-4CAE-813B-F0494A34E025}" presName="connTx" presStyleLbl="parChTrans1D2" presStyleIdx="1" presStyleCnt="2"/>
      <dgm:spPr/>
      <dgm:t>
        <a:bodyPr/>
        <a:lstStyle/>
        <a:p>
          <a:endParaRPr lang="en-US"/>
        </a:p>
      </dgm:t>
    </dgm:pt>
    <dgm:pt modelId="{0FAF3FA1-8E6C-455E-B189-A468B3F4D8BC}" type="pres">
      <dgm:prSet presAssocID="{C06C39C9-71B8-489C-9C45-3DD37A424E39}" presName="node" presStyleLbl="node1" presStyleIdx="1" presStyleCnt="2" custScaleX="308424" custScaleY="111048" custRadScaleRad="333950" custRadScaleInc="100024">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BFF0C3E7-C11A-4E3A-981A-266DA84CF765}" type="presOf" srcId="{0FABC453-0A5C-4CAE-813B-F0494A34E025}" destId="{ADF94B70-0D7F-4A27-8DF9-17BCD27F4A7A}"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0" destOrd="0" parTransId="{4693CA52-075F-4BD8-ABEA-5368BE377DDA}" sibTransId="{9B3CB24D-A47A-4081-B256-B868D89D5387}"/>
    <dgm:cxn modelId="{13F20D7B-9F3C-434D-B72B-D95E38226A18}" type="presOf" srcId="{34E6C8D5-8D4F-4714-8A12-8F4599A8E760}" destId="{08F189A1-AB47-41D1-8058-7A6DA66B3F52}" srcOrd="0" destOrd="0" presId="urn:microsoft.com/office/officeart/2005/8/layout/radial1"/>
    <dgm:cxn modelId="{85EB81B4-0ACF-4F65-B119-B5DEA9037F34}" type="presOf" srcId="{0FABC453-0A5C-4CAE-813B-F0494A34E025}" destId="{EA4144E0-C5B2-4FC0-BDB2-550B61DB7DFD}" srcOrd="1" destOrd="0" presId="urn:microsoft.com/office/officeart/2005/8/layout/radial1"/>
    <dgm:cxn modelId="{5C6BFAB7-D49A-47C0-9299-48E66C2B8FB4}" type="presOf" srcId="{4631C2C5-1554-4289-90B0-F2D55D1595B6}" destId="{035B4C9A-0916-4FCC-A1CF-85DB358A289A}" srcOrd="0" destOrd="0" presId="urn:microsoft.com/office/officeart/2005/8/layout/radial1"/>
    <dgm:cxn modelId="{E877D4BF-4229-48D8-9C2C-35249F7B45BD}" type="presOf" srcId="{4693CA52-075F-4BD8-ABEA-5368BE377DDA}" destId="{4AC11394-3179-4EC5-A97F-D1A1B521CE2F}" srcOrd="0" destOrd="0" presId="urn:microsoft.com/office/officeart/2005/8/layout/radial1"/>
    <dgm:cxn modelId="{248698A6-055B-40E3-B808-D624056EF2B0}" srcId="{DE541715-C648-404D-8124-F14F463E9202}" destId="{C06C39C9-71B8-489C-9C45-3DD37A424E39}" srcOrd="1" destOrd="0" parTransId="{0FABC453-0A5C-4CAE-813B-F0494A34E025}" sibTransId="{DCD34884-F96E-475A-9010-14DE66A403A6}"/>
    <dgm:cxn modelId="{A1859A3C-D3BF-43C5-9AC4-536C480510A0}" type="presOf" srcId="{C06C39C9-71B8-489C-9C45-3DD37A424E39}" destId="{0FAF3FA1-8E6C-455E-B189-A468B3F4D8BC}" srcOrd="0" destOrd="0" presId="urn:microsoft.com/office/officeart/2005/8/layout/radial1"/>
    <dgm:cxn modelId="{B9D388D0-A286-4AF7-B396-206196553EA6}" type="presOf" srcId="{4693CA52-075F-4BD8-ABEA-5368BE377DDA}" destId="{62A1F741-432F-46BE-AE07-15F0B6D5EA89}" srcOrd="1" destOrd="0" presId="urn:microsoft.com/office/officeart/2005/8/layout/radial1"/>
    <dgm:cxn modelId="{16F30C7E-ACB5-4B7A-8EC2-456A6159F2BD}" type="presOf" srcId="{DE541715-C648-404D-8124-F14F463E9202}" destId="{062AF917-2F47-4639-8A23-58AD52EC0F32}" srcOrd="0" destOrd="0" presId="urn:microsoft.com/office/officeart/2005/8/layout/radial1"/>
    <dgm:cxn modelId="{F44D2B5D-0989-4BE5-9F54-A6F658189A55}" type="presParOf" srcId="{08F189A1-AB47-41D1-8058-7A6DA66B3F52}" destId="{062AF917-2F47-4639-8A23-58AD52EC0F32}" srcOrd="0" destOrd="0" presId="urn:microsoft.com/office/officeart/2005/8/layout/radial1"/>
    <dgm:cxn modelId="{FF54F7BA-5883-4320-96D1-C64B717FF990}" type="presParOf" srcId="{08F189A1-AB47-41D1-8058-7A6DA66B3F52}" destId="{4AC11394-3179-4EC5-A97F-D1A1B521CE2F}" srcOrd="1" destOrd="0" presId="urn:microsoft.com/office/officeart/2005/8/layout/radial1"/>
    <dgm:cxn modelId="{D8AAE2A1-4A3C-4224-AAB5-FA80B4803C32}" type="presParOf" srcId="{4AC11394-3179-4EC5-A97F-D1A1B521CE2F}" destId="{62A1F741-432F-46BE-AE07-15F0B6D5EA89}" srcOrd="0" destOrd="0" presId="urn:microsoft.com/office/officeart/2005/8/layout/radial1"/>
    <dgm:cxn modelId="{DCC0B3B3-F6DD-41CF-8ED6-E687DBF01BEB}" type="presParOf" srcId="{08F189A1-AB47-41D1-8058-7A6DA66B3F52}" destId="{035B4C9A-0916-4FCC-A1CF-85DB358A289A}" srcOrd="2" destOrd="0" presId="urn:microsoft.com/office/officeart/2005/8/layout/radial1"/>
    <dgm:cxn modelId="{CA5891FA-F192-45FA-A33F-EAFEEEF3C227}" type="presParOf" srcId="{08F189A1-AB47-41D1-8058-7A6DA66B3F52}" destId="{ADF94B70-0D7F-4A27-8DF9-17BCD27F4A7A}" srcOrd="3" destOrd="0" presId="urn:microsoft.com/office/officeart/2005/8/layout/radial1"/>
    <dgm:cxn modelId="{991E0FF1-0D26-4B51-8261-5D80D26B0AA6}" type="presParOf" srcId="{ADF94B70-0D7F-4A27-8DF9-17BCD27F4A7A}" destId="{EA4144E0-C5B2-4FC0-BDB2-550B61DB7DFD}" srcOrd="0" destOrd="0" presId="urn:microsoft.com/office/officeart/2005/8/layout/radial1"/>
    <dgm:cxn modelId="{D53F1BE0-0A15-490E-B320-CCA92656DF57}" type="presParOf" srcId="{08F189A1-AB47-41D1-8058-7A6DA66B3F52}" destId="{0FAF3FA1-8E6C-455E-B189-A468B3F4D8BC}" srcOrd="4" destOrd="0" presId="urn:microsoft.com/office/officeart/2005/8/layout/radial1"/>
  </dgm:cxnLst>
  <dgm:bg/>
  <dgm:whole/>
  <dgm:extLst>
    <a:ext uri="http://schemas.microsoft.com/office/drawing/2008/diagram">
      <dsp:dataModelExt xmlns:dsp="http://schemas.microsoft.com/office/drawing/2008/diagram" relId="rId41" minVer="http://schemas.openxmlformats.org/drawingml/2006/diagram"/>
    </a:ext>
    <a:ext uri="{C62137D5-CB1D-491B-B009-E17868A290BF}">
      <dgm14:recolorImg xmlns:dgm14="http://schemas.microsoft.com/office/drawing/2010/diagram" val="1"/>
    </a:ext>
  </dgm:extLst>
</dgm:dataModel>
</file>

<file path=word/diagrams/data20.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663065" y="833696"/>
          <a:ext cx="1185081" cy="383065"/>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solidFill>
              <a:latin typeface="Arial" panose="020B0604020202020204" pitchFamily="34" charset="0"/>
              <a:ea typeface="+mn-ea"/>
              <a:cs typeface="Arial" panose="020B0604020202020204" pitchFamily="34" charset="0"/>
            </a:rPr>
            <a:t>Programa 18</a:t>
          </a:r>
        </a:p>
      </dgm:t>
    </dgm:pt>
    <dgm:pt modelId="{474A81AD-BFE3-4D32-9342-2C25E06E5B46}" type="parTrans" cxnId="{0872B5C3-971C-4397-94C1-FDC0412A9ADC}">
      <dgm:prSet/>
      <dgm:spPr/>
      <dgm:t>
        <a:bodyPr/>
        <a:lstStyle/>
        <a:p>
          <a:pPr algn="ctr"/>
          <a:endParaRPr lang="en-US"/>
        </a:p>
      </dgm:t>
    </dgm:pt>
    <dgm:pt modelId="{28FB44EF-A1AD-4FBB-B0D1-E98EB36FC510}" type="sibTrans" cxnId="{0872B5C3-971C-4397-94C1-FDC0412A9ADC}">
      <dgm:prSet/>
      <dgm:spPr/>
      <dgm:t>
        <a:bodyPr/>
        <a:lstStyle/>
        <a:p>
          <a:pPr algn="ctr"/>
          <a:endParaRPr lang="en-US"/>
        </a:p>
      </dgm:t>
    </dgm:pt>
    <dgm:pt modelId="{9A4BDCAE-D9CA-400C-8B2D-68AB68A08E2A}">
      <dgm:prSet phldrT="[Text]" custT="1"/>
      <dgm:spPr>
        <a:xfrm>
          <a:off x="2710462" y="104713"/>
          <a:ext cx="1080487" cy="445865"/>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solidFill>
              <a:latin typeface="Arial" panose="020B0604020202020204" pitchFamily="34" charset="0"/>
              <a:ea typeface="+mn-ea"/>
              <a:cs typeface="Arial" panose="020B0604020202020204" pitchFamily="34" charset="0"/>
            </a:rPr>
            <a:t>Programa 1</a:t>
          </a:r>
        </a:p>
        <a:p>
          <a:pPr algn="ctr"/>
          <a:r>
            <a:rPr lang="en-US" sz="900">
              <a:solidFill>
                <a:sysClr val="windowText" lastClr="000000"/>
              </a:solidFill>
              <a:latin typeface="Arial" panose="020B0604020202020204" pitchFamily="34" charset="0"/>
              <a:ea typeface="+mn-ea"/>
              <a:cs typeface="Arial" panose="020B0604020202020204" pitchFamily="34" charset="0"/>
            </a:rPr>
            <a:t>Derecho de patentes</a:t>
          </a:r>
          <a:endParaRPr lang="en-US" sz="1100">
            <a:solidFill>
              <a:sysClr val="windowText" lastClr="000000"/>
            </a:solidFill>
            <a:latin typeface="Arial" panose="020B0604020202020204" pitchFamily="34" charset="0"/>
            <a:ea typeface="+mn-ea"/>
            <a:cs typeface="Arial" panose="020B0604020202020204" pitchFamily="34" charset="0"/>
          </a:endParaRPr>
        </a:p>
      </dgm:t>
    </dgm:pt>
    <dgm:pt modelId="{E9A3E352-4E95-497B-A994-2D750C2A9509}" type="parTrans" cxnId="{A0D7B160-B2D6-4FF0-B898-61A69264BA8C}">
      <dgm:prSet/>
      <dgm:spPr>
        <a:xfrm rot="16175855">
          <a:off x="3111703" y="685815"/>
          <a:ext cx="283126" cy="1264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8ADEECF-D7D2-4E14-BB97-4FB081DAC71A}" type="sibTrans" cxnId="{A0D7B160-B2D6-4FF0-B898-61A69264BA8C}">
      <dgm:prSet/>
      <dgm:spPr/>
      <dgm:t>
        <a:bodyPr/>
        <a:lstStyle/>
        <a:p>
          <a:pPr algn="ctr"/>
          <a:endParaRPr lang="en-US"/>
        </a:p>
      </dgm:t>
    </dgm:pt>
    <dgm:pt modelId="{584F0456-7C88-4E15-A6D5-3DF2BDDC45F2}">
      <dgm:prSet phldrT="[Text]" custT="1"/>
      <dgm:spPr>
        <a:xfrm>
          <a:off x="4126469" y="161929"/>
          <a:ext cx="1307093" cy="541426"/>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solidFill>
              <a:latin typeface="Arial" panose="020B0604020202020204" pitchFamily="34" charset="0"/>
              <a:ea typeface="+mn-ea"/>
              <a:cs typeface="Arial" panose="020B0604020202020204" pitchFamily="34" charset="0"/>
            </a:rPr>
            <a:t>Programa 9</a:t>
          </a:r>
        </a:p>
        <a:p>
          <a:pPr algn="ctr"/>
          <a:r>
            <a:rPr lang="en-US" sz="900">
              <a:solidFill>
                <a:sysClr val="windowText" lastClr="000000"/>
              </a:solidFill>
              <a:latin typeface="Arial" panose="020B0604020202020204" pitchFamily="34" charset="0"/>
              <a:ea typeface="+mn-ea"/>
              <a:cs typeface="Arial" panose="020B0604020202020204" pitchFamily="34" charset="0"/>
            </a:rPr>
            <a:t>Oficinas regionales en la sede</a:t>
          </a:r>
        </a:p>
      </dgm:t>
    </dgm:pt>
    <dgm:pt modelId="{5BE92476-635C-4AE2-AD14-BF50BB0972EC}" type="parTrans" cxnId="{44EB880B-7660-4CF0-97E5-4E577ACA821D}">
      <dgm:prSet/>
      <dgm:spPr>
        <a:xfrm rot="20325438">
          <a:off x="3610069" y="741604"/>
          <a:ext cx="717773" cy="1264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EF0F88F-A3C1-4CFC-8CDA-621CE91394E1}" type="sibTrans" cxnId="{44EB880B-7660-4CF0-97E5-4E577ACA821D}">
      <dgm:prSet/>
      <dgm:spPr/>
      <dgm:t>
        <a:bodyPr/>
        <a:lstStyle/>
        <a:p>
          <a:pPr algn="ctr"/>
          <a:endParaRPr lang="en-US"/>
        </a:p>
      </dgm:t>
    </dgm:pt>
    <dgm:pt modelId="{2EF75B39-F486-43BE-8B27-294595126005}">
      <dgm:prSet phldrT="[Text]" custT="1"/>
      <dgm:spPr>
        <a:xfrm>
          <a:off x="5191175" y="771614"/>
          <a:ext cx="1131445" cy="509021"/>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solidFill>
              <a:latin typeface="Arial" panose="020B0604020202020204" pitchFamily="34" charset="0"/>
              <a:ea typeface="+mn-ea"/>
              <a:cs typeface="Arial" panose="020B0604020202020204" pitchFamily="34" charset="0"/>
            </a:rPr>
            <a:t>Programa 10</a:t>
          </a:r>
        </a:p>
        <a:p>
          <a:pPr algn="ctr"/>
          <a:r>
            <a:rPr lang="en-US" sz="900">
              <a:solidFill>
                <a:sysClr val="windowText" lastClr="000000"/>
              </a:solidFill>
              <a:latin typeface="Arial" panose="020B0604020202020204" pitchFamily="34" charset="0"/>
              <a:ea typeface="+mn-ea"/>
              <a:cs typeface="Arial" panose="020B0604020202020204" pitchFamily="34" charset="0"/>
            </a:rPr>
            <a:t>Países T/D</a:t>
          </a:r>
        </a:p>
      </dgm:t>
    </dgm:pt>
    <dgm:pt modelId="{66F0DCEC-2B26-4038-AF1F-D0A98A0F7930}" type="parTrans" cxnId="{D0987D88-807B-4994-94E2-80A6C1D9AE52}">
      <dgm:prSet/>
      <dgm:spPr>
        <a:xfrm rot="1232">
          <a:off x="3848146" y="1019360"/>
          <a:ext cx="1343028" cy="1264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29EC13D-3B1F-4904-8025-5B38BEEF3183}" type="sibTrans" cxnId="{D0987D88-807B-4994-94E2-80A6C1D9AE52}">
      <dgm:prSet/>
      <dgm:spPr/>
      <dgm:t>
        <a:bodyPr/>
        <a:lstStyle/>
        <a:p>
          <a:pPr algn="ctr"/>
          <a:endParaRPr lang="en-US"/>
        </a:p>
      </dgm:t>
    </dgm:pt>
    <dgm:pt modelId="{4761FE57-664D-44AD-8EF1-E6096D64297F}">
      <dgm:prSet phldrT="[Text]" custT="1"/>
      <dgm:spPr>
        <a:xfrm>
          <a:off x="304732" y="756443"/>
          <a:ext cx="1244234" cy="531334"/>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solidFill>
              <a:latin typeface="Arial" panose="020B0604020202020204" pitchFamily="34" charset="0"/>
              <a:ea typeface="+mn-ea"/>
              <a:cs typeface="Arial" panose="020B0604020202020204" pitchFamily="34" charset="0"/>
            </a:rPr>
            <a:t>Programa 11</a:t>
          </a:r>
        </a:p>
        <a:p>
          <a:pPr algn="ctr"/>
          <a:r>
            <a:rPr lang="en-US" sz="900">
              <a:solidFill>
                <a:sysClr val="windowText" lastClr="000000"/>
              </a:solidFill>
              <a:latin typeface="Arial" panose="020B0604020202020204" pitchFamily="34" charset="0"/>
              <a:ea typeface="+mn-ea"/>
              <a:cs typeface="Arial" panose="020B0604020202020204" pitchFamily="34" charset="0"/>
            </a:rPr>
            <a:t>Academia de la OMPI</a:t>
          </a:r>
        </a:p>
      </dgm:t>
    </dgm:pt>
    <dgm:pt modelId="{F6DE2413-45CD-453B-A258-F22A53BBB241}" type="parTrans" cxnId="{A5666C79-BF01-4153-AB0A-BB16CAE1F135}">
      <dgm:prSet/>
      <dgm:spPr>
        <a:xfrm rot="10804604">
          <a:off x="1548963" y="1017367"/>
          <a:ext cx="1114107" cy="1264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88511AC-ECAB-47A8-A0B0-D7AAFEE02A39}" type="sibTrans" cxnId="{A5666C79-BF01-4153-AB0A-BB16CAE1F135}">
      <dgm:prSet/>
      <dgm:spPr/>
      <dgm:t>
        <a:bodyPr/>
        <a:lstStyle/>
        <a:p>
          <a:pPr algn="ctr"/>
          <a:endParaRPr lang="en-US"/>
        </a:p>
      </dgm:t>
    </dgm:pt>
    <dgm:pt modelId="{61905482-A221-41E9-B64F-E0DDCF7406CB}">
      <dgm:prSet phldrT="[Text]" custT="1"/>
      <dgm:spPr>
        <a:xfrm>
          <a:off x="1121477" y="161925"/>
          <a:ext cx="1470776" cy="558146"/>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solidFill>
              <a:latin typeface="Arial" panose="020B0604020202020204" pitchFamily="34" charset="0"/>
              <a:ea typeface="+mn-ea"/>
              <a:cs typeface="Arial" panose="020B0604020202020204" pitchFamily="34" charset="0"/>
            </a:rPr>
            <a:t>Programa 20</a:t>
          </a:r>
        </a:p>
        <a:p>
          <a:pPr algn="ctr"/>
          <a:r>
            <a:rPr lang="en-US" sz="900">
              <a:solidFill>
                <a:sysClr val="windowText" lastClr="000000"/>
              </a:solidFill>
              <a:latin typeface="Arial" panose="020B0604020202020204" pitchFamily="34" charset="0"/>
              <a:ea typeface="+mn-ea"/>
              <a:cs typeface="Arial" panose="020B0604020202020204" pitchFamily="34" charset="0"/>
            </a:rPr>
            <a:t>Relaciones exteriores</a:t>
          </a:r>
        </a:p>
      </dgm:t>
    </dgm:pt>
    <dgm:pt modelId="{19A5BFAE-AE0D-4BC3-821E-ACDBC402E1F3}" type="parTrans" cxnId="{7A10D267-5114-47D3-9B72-BCDF70FFAB8C}">
      <dgm:prSet/>
      <dgm:spPr>
        <a:xfrm rot="12160169">
          <a:off x="2328712" y="754331"/>
          <a:ext cx="586918" cy="1264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1B3C576-1467-4E2A-8F61-40CA47AE2A73}" type="sibTrans" cxnId="{7A10D267-5114-47D3-9B72-BCDF70FFAB8C}">
      <dgm:prSet/>
      <dgm:spPr/>
      <dgm:t>
        <a:bodyPr/>
        <a:lstStyle/>
        <a:p>
          <a:pPr algn="ctr"/>
          <a:endParaRPr lang="en-US"/>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323001" custScaleY="97556" custLinFactNeighborX="812" custLinFactNeighborY="19492"/>
      <dgm:spPr>
        <a:prstGeom prst="ellipse">
          <a:avLst/>
        </a:prstGeom>
      </dgm:spPr>
      <dgm:t>
        <a:bodyPr/>
        <a:lstStyle/>
        <a:p>
          <a:endParaRPr lang="en-US"/>
        </a:p>
      </dgm:t>
    </dgm:pt>
    <dgm:pt modelId="{E887F142-3B93-49E1-A09D-1DCD207D21D1}" type="pres">
      <dgm:prSet presAssocID="{E9A3E352-4E95-497B-A994-2D750C2A9509}" presName="Name9" presStyleLbl="parChTrans1D2" presStyleIdx="0" presStyleCnt="5"/>
      <dgm:spPr>
        <a:custGeom>
          <a:avLst/>
          <a:gdLst/>
          <a:ahLst/>
          <a:cxnLst/>
          <a:rect l="0" t="0" r="0" b="0"/>
          <a:pathLst>
            <a:path>
              <a:moveTo>
                <a:pt x="0" y="6322"/>
              </a:moveTo>
              <a:lnTo>
                <a:pt x="283126" y="6322"/>
              </a:lnTo>
            </a:path>
          </a:pathLst>
        </a:custGeom>
      </dgm:spPr>
      <dgm:t>
        <a:bodyPr/>
        <a:lstStyle/>
        <a:p>
          <a:endParaRPr lang="en-US"/>
        </a:p>
      </dgm:t>
    </dgm:pt>
    <dgm:pt modelId="{0C3245EA-B4A2-4A29-A94D-6F5271E8D13D}" type="pres">
      <dgm:prSet presAssocID="{E9A3E352-4E95-497B-A994-2D750C2A9509}" presName="connTx" presStyleLbl="parChTrans1D2" presStyleIdx="0" presStyleCnt="5"/>
      <dgm:spPr/>
      <dgm:t>
        <a:bodyPr/>
        <a:lstStyle/>
        <a:p>
          <a:endParaRPr lang="en-US"/>
        </a:p>
      </dgm:t>
    </dgm:pt>
    <dgm:pt modelId="{3EA08C86-6A87-4381-A9A9-F10D993E2D53}" type="pres">
      <dgm:prSet presAssocID="{9A4BDCAE-D9CA-400C-8B2D-68AB68A08E2A}" presName="node" presStyleLbl="node1" presStyleIdx="0" presStyleCnt="5" custScaleX="295579" custScaleY="139951" custRadScaleRad="80951" custRadScaleInc="24718">
        <dgm:presLayoutVars>
          <dgm:bulletEnabled val="1"/>
        </dgm:presLayoutVars>
      </dgm:prSet>
      <dgm:spPr>
        <a:prstGeom prst="ellipse">
          <a:avLst/>
        </a:prstGeom>
      </dgm:spPr>
      <dgm:t>
        <a:bodyPr/>
        <a:lstStyle/>
        <a:p>
          <a:endParaRPr lang="en-US"/>
        </a:p>
      </dgm:t>
    </dgm:pt>
    <dgm:pt modelId="{00112A8F-12E8-45AC-B551-DFB66BE45059}" type="pres">
      <dgm:prSet presAssocID="{5BE92476-635C-4AE2-AD14-BF50BB0972EC}" presName="Name9" presStyleLbl="parChTrans1D2" presStyleIdx="1" presStyleCnt="5"/>
      <dgm:spPr>
        <a:custGeom>
          <a:avLst/>
          <a:gdLst/>
          <a:ahLst/>
          <a:cxnLst/>
          <a:rect l="0" t="0" r="0" b="0"/>
          <a:pathLst>
            <a:path>
              <a:moveTo>
                <a:pt x="0" y="6322"/>
              </a:moveTo>
              <a:lnTo>
                <a:pt x="717773" y="6322"/>
              </a:lnTo>
            </a:path>
          </a:pathLst>
        </a:custGeom>
      </dgm:spPr>
      <dgm:t>
        <a:bodyPr/>
        <a:lstStyle/>
        <a:p>
          <a:endParaRPr lang="en-US"/>
        </a:p>
      </dgm:t>
    </dgm:pt>
    <dgm:pt modelId="{48B32C5A-7076-4480-B5CB-D9EFDA8D8FDB}" type="pres">
      <dgm:prSet presAssocID="{5BE92476-635C-4AE2-AD14-BF50BB0972EC}" presName="connTx" presStyleLbl="parChTrans1D2" presStyleIdx="1" presStyleCnt="5"/>
      <dgm:spPr/>
      <dgm:t>
        <a:bodyPr/>
        <a:lstStyle/>
        <a:p>
          <a:endParaRPr lang="en-US"/>
        </a:p>
      </dgm:t>
    </dgm:pt>
    <dgm:pt modelId="{423B6D89-2000-40C7-8429-BD38C7402395}" type="pres">
      <dgm:prSet presAssocID="{584F0456-7C88-4E15-A6D5-3DF2BDDC45F2}" presName="node" presStyleLbl="node1" presStyleIdx="1" presStyleCnt="5" custScaleX="334488" custScaleY="159187" custRadScaleRad="268850" custRadScaleInc="12920">
        <dgm:presLayoutVars>
          <dgm:bulletEnabled val="1"/>
        </dgm:presLayoutVars>
      </dgm:prSet>
      <dgm:spPr>
        <a:prstGeom prst="ellipse">
          <a:avLst/>
        </a:prstGeom>
      </dgm:spPr>
      <dgm:t>
        <a:bodyPr/>
        <a:lstStyle/>
        <a:p>
          <a:endParaRPr lang="en-US"/>
        </a:p>
      </dgm:t>
    </dgm:pt>
    <dgm:pt modelId="{650854B0-9FE7-4FFD-96B2-18F6452E0859}" type="pres">
      <dgm:prSet presAssocID="{66F0DCEC-2B26-4038-AF1F-D0A98A0F7930}" presName="Name9" presStyleLbl="parChTrans1D2" presStyleIdx="2" presStyleCnt="5"/>
      <dgm:spPr>
        <a:custGeom>
          <a:avLst/>
          <a:gdLst/>
          <a:ahLst/>
          <a:cxnLst/>
          <a:rect l="0" t="0" r="0" b="0"/>
          <a:pathLst>
            <a:path>
              <a:moveTo>
                <a:pt x="0" y="6322"/>
              </a:moveTo>
              <a:lnTo>
                <a:pt x="1343028" y="6322"/>
              </a:lnTo>
            </a:path>
          </a:pathLst>
        </a:custGeom>
      </dgm:spPr>
      <dgm:t>
        <a:bodyPr/>
        <a:lstStyle/>
        <a:p>
          <a:endParaRPr lang="en-US"/>
        </a:p>
      </dgm:t>
    </dgm:pt>
    <dgm:pt modelId="{7FE108B5-F558-4942-A9EC-465F3C2E5813}" type="pres">
      <dgm:prSet presAssocID="{66F0DCEC-2B26-4038-AF1F-D0A98A0F7930}" presName="connTx" presStyleLbl="parChTrans1D2" presStyleIdx="2" presStyleCnt="5"/>
      <dgm:spPr/>
      <dgm:t>
        <a:bodyPr/>
        <a:lstStyle/>
        <a:p>
          <a:endParaRPr lang="en-US"/>
        </a:p>
      </dgm:t>
    </dgm:pt>
    <dgm:pt modelId="{6394B413-6D12-4C4F-9A8D-E0508CAE8617}" type="pres">
      <dgm:prSet presAssocID="{2EF75B39-F486-43BE-8B27-294595126005}" presName="node" presStyleLbl="node1" presStyleIdx="2" presStyleCnt="5" custScaleX="287925" custScaleY="113038" custRadScaleRad="429962" custRadScaleInc="-135493">
        <dgm:presLayoutVars>
          <dgm:bulletEnabled val="1"/>
        </dgm:presLayoutVars>
      </dgm:prSet>
      <dgm:spPr>
        <a:prstGeom prst="ellipse">
          <a:avLst/>
        </a:prstGeom>
      </dgm:spPr>
      <dgm:t>
        <a:bodyPr/>
        <a:lstStyle/>
        <a:p>
          <a:endParaRPr lang="en-US"/>
        </a:p>
      </dgm:t>
    </dgm:pt>
    <dgm:pt modelId="{DEF09AAB-E09E-4486-8914-E37D47E60824}" type="pres">
      <dgm:prSet presAssocID="{F6DE2413-45CD-453B-A258-F22A53BBB241}" presName="Name9" presStyleLbl="parChTrans1D2" presStyleIdx="3" presStyleCnt="5"/>
      <dgm:spPr>
        <a:custGeom>
          <a:avLst/>
          <a:gdLst/>
          <a:ahLst/>
          <a:cxnLst/>
          <a:rect l="0" t="0" r="0" b="0"/>
          <a:pathLst>
            <a:path>
              <a:moveTo>
                <a:pt x="0" y="6322"/>
              </a:moveTo>
              <a:lnTo>
                <a:pt x="1114107" y="6322"/>
              </a:lnTo>
            </a:path>
          </a:pathLst>
        </a:custGeom>
      </dgm:spPr>
      <dgm:t>
        <a:bodyPr/>
        <a:lstStyle/>
        <a:p>
          <a:endParaRPr lang="en-US"/>
        </a:p>
      </dgm:t>
    </dgm:pt>
    <dgm:pt modelId="{B0514361-30D3-4311-BC21-0743B7F01673}" type="pres">
      <dgm:prSet presAssocID="{F6DE2413-45CD-453B-A258-F22A53BBB241}" presName="connTx" presStyleLbl="parChTrans1D2" presStyleIdx="3" presStyleCnt="5"/>
      <dgm:spPr/>
      <dgm:t>
        <a:bodyPr/>
        <a:lstStyle/>
        <a:p>
          <a:endParaRPr lang="en-US"/>
        </a:p>
      </dgm:t>
    </dgm:pt>
    <dgm:pt modelId="{2ED32773-10C9-4671-A0BF-4C0DAB40AE25}" type="pres">
      <dgm:prSet presAssocID="{4761FE57-664D-44AD-8EF1-E6096D64297F}" presName="node" presStyleLbl="node1" presStyleIdx="3" presStyleCnt="5" custScaleX="286835" custScaleY="133186" custRadScaleRad="397371" custRadScaleInc="134575">
        <dgm:presLayoutVars>
          <dgm:bulletEnabled val="1"/>
        </dgm:presLayoutVars>
      </dgm:prSet>
      <dgm:spPr>
        <a:prstGeom prst="ellipse">
          <a:avLst/>
        </a:prstGeom>
      </dgm:spPr>
      <dgm:t>
        <a:bodyPr/>
        <a:lstStyle/>
        <a:p>
          <a:endParaRPr lang="en-US"/>
        </a:p>
      </dgm:t>
    </dgm:pt>
    <dgm:pt modelId="{06FD983D-3F71-4BCE-AD7F-6DD1041A2F23}" type="pres">
      <dgm:prSet presAssocID="{19A5BFAE-AE0D-4BC3-821E-ACDBC402E1F3}" presName="Name9" presStyleLbl="parChTrans1D2" presStyleIdx="4" presStyleCnt="5"/>
      <dgm:spPr>
        <a:custGeom>
          <a:avLst/>
          <a:gdLst/>
          <a:ahLst/>
          <a:cxnLst/>
          <a:rect l="0" t="0" r="0" b="0"/>
          <a:pathLst>
            <a:path>
              <a:moveTo>
                <a:pt x="0" y="6322"/>
              </a:moveTo>
              <a:lnTo>
                <a:pt x="586918" y="6322"/>
              </a:lnTo>
            </a:path>
          </a:pathLst>
        </a:custGeom>
      </dgm:spPr>
      <dgm:t>
        <a:bodyPr/>
        <a:lstStyle/>
        <a:p>
          <a:endParaRPr lang="en-US"/>
        </a:p>
      </dgm:t>
    </dgm:pt>
    <dgm:pt modelId="{2261EECA-A4AA-4C81-9B4D-3893A28ED758}" type="pres">
      <dgm:prSet presAssocID="{19A5BFAE-AE0D-4BC3-821E-ACDBC402E1F3}" presName="connTx" presStyleLbl="parChTrans1D2" presStyleIdx="4" presStyleCnt="5"/>
      <dgm:spPr/>
      <dgm:t>
        <a:bodyPr/>
        <a:lstStyle/>
        <a:p>
          <a:endParaRPr lang="en-US"/>
        </a:p>
      </dgm:t>
    </dgm:pt>
    <dgm:pt modelId="{CFBB929F-8BEB-442D-8D00-28EE1C02C39C}" type="pres">
      <dgm:prSet presAssocID="{61905482-A221-41E9-B64F-E0DDCF7406CB}" presName="node" presStyleLbl="node1" presStyleIdx="4" presStyleCnt="5" custScaleX="339116" custScaleY="142525" custRadScaleRad="244547" custRadScaleInc="-10114">
        <dgm:presLayoutVars>
          <dgm:bulletEnabled val="1"/>
        </dgm:presLayoutVars>
      </dgm:prSet>
      <dgm:spPr>
        <a:prstGeom prst="ellipse">
          <a:avLst/>
        </a:prstGeom>
      </dgm:spPr>
      <dgm:t>
        <a:bodyPr/>
        <a:lstStyle/>
        <a:p>
          <a:endParaRPr lang="en-US"/>
        </a:p>
      </dgm:t>
    </dgm:pt>
  </dgm:ptLst>
  <dgm:cxnLst>
    <dgm:cxn modelId="{44EB880B-7660-4CF0-97E5-4E577ACA821D}" srcId="{60F584FC-F7FF-4FD7-86E3-8773293C0460}" destId="{584F0456-7C88-4E15-A6D5-3DF2BDDC45F2}" srcOrd="1" destOrd="0" parTransId="{5BE92476-635C-4AE2-AD14-BF50BB0972EC}" sibTransId="{3EF0F88F-A3C1-4CFC-8CDA-621CE91394E1}"/>
    <dgm:cxn modelId="{A5FE7609-BCFF-4327-9344-EC130CA18DF3}" type="presOf" srcId="{E9A3E352-4E95-497B-A994-2D750C2A9509}" destId="{0C3245EA-B4A2-4A29-A94D-6F5271E8D13D}" srcOrd="1" destOrd="0" presId="urn:microsoft.com/office/officeart/2005/8/layout/radial1"/>
    <dgm:cxn modelId="{F6CF14A3-D470-4BDF-88F0-4C31B3759F58}" type="presOf" srcId="{3E4183EF-B989-4620-A02C-D54686D6628F}" destId="{4FC73BDC-CE2C-45F4-85CD-F387963DA006}" srcOrd="0" destOrd="0" presId="urn:microsoft.com/office/officeart/2005/8/layout/radial1"/>
    <dgm:cxn modelId="{4447C62F-24D8-4B7E-8266-6C748B27C5BF}" type="presOf" srcId="{5BE92476-635C-4AE2-AD14-BF50BB0972EC}" destId="{00112A8F-12E8-45AC-B551-DFB66BE45059}" srcOrd="0" destOrd="0" presId="urn:microsoft.com/office/officeart/2005/8/layout/radial1"/>
    <dgm:cxn modelId="{8E05A8E4-2284-4073-977F-44E216748249}" type="presOf" srcId="{F6DE2413-45CD-453B-A258-F22A53BBB241}" destId="{DEF09AAB-E09E-4486-8914-E37D47E60824}" srcOrd="0" destOrd="0" presId="urn:microsoft.com/office/officeart/2005/8/layout/radial1"/>
    <dgm:cxn modelId="{8395A6ED-8C12-4311-A10C-9EFAD451DE1C}" type="presOf" srcId="{61905482-A221-41E9-B64F-E0DDCF7406CB}" destId="{CFBB929F-8BEB-442D-8D00-28EE1C02C39C}" srcOrd="0" destOrd="0" presId="urn:microsoft.com/office/officeart/2005/8/layout/radial1"/>
    <dgm:cxn modelId="{A5666C79-BF01-4153-AB0A-BB16CAE1F135}" srcId="{60F584FC-F7FF-4FD7-86E3-8773293C0460}" destId="{4761FE57-664D-44AD-8EF1-E6096D64297F}" srcOrd="3" destOrd="0" parTransId="{F6DE2413-45CD-453B-A258-F22A53BBB241}" sibTransId="{288511AC-ECAB-47A8-A0B0-D7AAFEE02A39}"/>
    <dgm:cxn modelId="{2DBBED91-DDF7-4E7C-B35D-EE1B4D99B9DB}" type="presOf" srcId="{60F584FC-F7FF-4FD7-86E3-8773293C0460}" destId="{3C7CADF7-0742-432E-9EEF-EA9C347A7661}" srcOrd="0" destOrd="0" presId="urn:microsoft.com/office/officeart/2005/8/layout/radial1"/>
    <dgm:cxn modelId="{03116850-9879-4085-85FD-B185D72AD411}" type="presOf" srcId="{2EF75B39-F486-43BE-8B27-294595126005}" destId="{6394B413-6D12-4C4F-9A8D-E0508CAE8617}" srcOrd="0" destOrd="0" presId="urn:microsoft.com/office/officeart/2005/8/layout/radial1"/>
    <dgm:cxn modelId="{C7A0A42F-D75F-4365-8DDB-28B23D8503D3}" type="presOf" srcId="{F6DE2413-45CD-453B-A258-F22A53BBB241}" destId="{B0514361-30D3-4311-BC21-0743B7F01673}" srcOrd="1" destOrd="0" presId="urn:microsoft.com/office/officeart/2005/8/layout/radial1"/>
    <dgm:cxn modelId="{A0D7B160-B2D6-4FF0-B898-61A69264BA8C}" srcId="{60F584FC-F7FF-4FD7-86E3-8773293C0460}" destId="{9A4BDCAE-D9CA-400C-8B2D-68AB68A08E2A}" srcOrd="0" destOrd="0" parTransId="{E9A3E352-4E95-497B-A994-2D750C2A9509}" sibTransId="{D8ADEECF-D7D2-4E14-BB97-4FB081DAC71A}"/>
    <dgm:cxn modelId="{31EC1916-6684-42A0-B750-533CFC7A1F2B}" type="presOf" srcId="{5BE92476-635C-4AE2-AD14-BF50BB0972EC}" destId="{48B32C5A-7076-4480-B5CB-D9EFDA8D8FDB}" srcOrd="1" destOrd="0" presId="urn:microsoft.com/office/officeart/2005/8/layout/radial1"/>
    <dgm:cxn modelId="{E8B05856-4500-438B-BAC0-DB70259176B9}" type="presOf" srcId="{66F0DCEC-2B26-4038-AF1F-D0A98A0F7930}" destId="{650854B0-9FE7-4FFD-96B2-18F6452E0859}" srcOrd="0" destOrd="0" presId="urn:microsoft.com/office/officeart/2005/8/layout/radial1"/>
    <dgm:cxn modelId="{25988826-547A-40F2-824B-D55BB9C374D6}" type="presOf" srcId="{19A5BFAE-AE0D-4BC3-821E-ACDBC402E1F3}" destId="{06FD983D-3F71-4BCE-AD7F-6DD1041A2F23}" srcOrd="0" destOrd="0" presId="urn:microsoft.com/office/officeart/2005/8/layout/radial1"/>
    <dgm:cxn modelId="{C3E8C43D-DA4B-4F22-BB05-E7690A401B3D}" type="presOf" srcId="{E9A3E352-4E95-497B-A994-2D750C2A9509}" destId="{E887F142-3B93-49E1-A09D-1DCD207D21D1}" srcOrd="0" destOrd="0" presId="urn:microsoft.com/office/officeart/2005/8/layout/radial1"/>
    <dgm:cxn modelId="{F138F4BF-5076-4DF6-8277-788A2AC527C5}" type="presOf" srcId="{9A4BDCAE-D9CA-400C-8B2D-68AB68A08E2A}" destId="{3EA08C86-6A87-4381-A9A9-F10D993E2D53}" srcOrd="0" destOrd="0" presId="urn:microsoft.com/office/officeart/2005/8/layout/radial1"/>
    <dgm:cxn modelId="{0872B5C3-971C-4397-94C1-FDC0412A9ADC}" srcId="{3E4183EF-B989-4620-A02C-D54686D6628F}" destId="{60F584FC-F7FF-4FD7-86E3-8773293C0460}" srcOrd="0" destOrd="0" parTransId="{474A81AD-BFE3-4D32-9342-2C25E06E5B46}" sibTransId="{28FB44EF-A1AD-4FBB-B0D1-E98EB36FC510}"/>
    <dgm:cxn modelId="{9A254837-0843-417D-8DEE-D5669C9A25C3}" type="presOf" srcId="{584F0456-7C88-4E15-A6D5-3DF2BDDC45F2}" destId="{423B6D89-2000-40C7-8429-BD38C7402395}" srcOrd="0" destOrd="0" presId="urn:microsoft.com/office/officeart/2005/8/layout/radial1"/>
    <dgm:cxn modelId="{C2A7A3B1-B7B7-44E4-A701-2B0F03D90165}" type="presOf" srcId="{4761FE57-664D-44AD-8EF1-E6096D64297F}" destId="{2ED32773-10C9-4671-A0BF-4C0DAB40AE25}" srcOrd="0" destOrd="0" presId="urn:microsoft.com/office/officeart/2005/8/layout/radial1"/>
    <dgm:cxn modelId="{2980DE64-30F3-46B6-A7D3-C9F71E65E45B}" type="presOf" srcId="{19A5BFAE-AE0D-4BC3-821E-ACDBC402E1F3}" destId="{2261EECA-A4AA-4C81-9B4D-3893A28ED758}" srcOrd="1" destOrd="0" presId="urn:microsoft.com/office/officeart/2005/8/layout/radial1"/>
    <dgm:cxn modelId="{D0987D88-807B-4994-94E2-80A6C1D9AE52}" srcId="{60F584FC-F7FF-4FD7-86E3-8773293C0460}" destId="{2EF75B39-F486-43BE-8B27-294595126005}" srcOrd="2" destOrd="0" parTransId="{66F0DCEC-2B26-4038-AF1F-D0A98A0F7930}" sibTransId="{A29EC13D-3B1F-4904-8025-5B38BEEF3183}"/>
    <dgm:cxn modelId="{7A10D267-5114-47D3-9B72-BCDF70FFAB8C}" srcId="{60F584FC-F7FF-4FD7-86E3-8773293C0460}" destId="{61905482-A221-41E9-B64F-E0DDCF7406CB}" srcOrd="4" destOrd="0" parTransId="{19A5BFAE-AE0D-4BC3-821E-ACDBC402E1F3}" sibTransId="{41B3C576-1467-4E2A-8F61-40CA47AE2A73}"/>
    <dgm:cxn modelId="{6E5AA8B7-9D33-4611-8817-15F364239090}" type="presOf" srcId="{66F0DCEC-2B26-4038-AF1F-D0A98A0F7930}" destId="{7FE108B5-F558-4942-A9EC-465F3C2E5813}" srcOrd="1" destOrd="0" presId="urn:microsoft.com/office/officeart/2005/8/layout/radial1"/>
    <dgm:cxn modelId="{C4E8A316-646C-4C6D-B776-1D0AC7483F18}" type="presParOf" srcId="{4FC73BDC-CE2C-45F4-85CD-F387963DA006}" destId="{3C7CADF7-0742-432E-9EEF-EA9C347A7661}" srcOrd="0" destOrd="0" presId="urn:microsoft.com/office/officeart/2005/8/layout/radial1"/>
    <dgm:cxn modelId="{F4B3190D-D666-4036-B228-8EBFDADE159C}" type="presParOf" srcId="{4FC73BDC-CE2C-45F4-85CD-F387963DA006}" destId="{E887F142-3B93-49E1-A09D-1DCD207D21D1}" srcOrd="1" destOrd="0" presId="urn:microsoft.com/office/officeart/2005/8/layout/radial1"/>
    <dgm:cxn modelId="{0961A39F-0A26-4E68-B560-774DA7881091}" type="presParOf" srcId="{E887F142-3B93-49E1-A09D-1DCD207D21D1}" destId="{0C3245EA-B4A2-4A29-A94D-6F5271E8D13D}" srcOrd="0" destOrd="0" presId="urn:microsoft.com/office/officeart/2005/8/layout/radial1"/>
    <dgm:cxn modelId="{931921B2-6037-409F-B0C7-85E403650074}" type="presParOf" srcId="{4FC73BDC-CE2C-45F4-85CD-F387963DA006}" destId="{3EA08C86-6A87-4381-A9A9-F10D993E2D53}" srcOrd="2" destOrd="0" presId="urn:microsoft.com/office/officeart/2005/8/layout/radial1"/>
    <dgm:cxn modelId="{69495505-F007-4DFB-A466-684941245511}" type="presParOf" srcId="{4FC73BDC-CE2C-45F4-85CD-F387963DA006}" destId="{00112A8F-12E8-45AC-B551-DFB66BE45059}" srcOrd="3" destOrd="0" presId="urn:microsoft.com/office/officeart/2005/8/layout/radial1"/>
    <dgm:cxn modelId="{D6C0FE9B-1D29-4293-B1D9-206AD38FE62C}" type="presParOf" srcId="{00112A8F-12E8-45AC-B551-DFB66BE45059}" destId="{48B32C5A-7076-4480-B5CB-D9EFDA8D8FDB}" srcOrd="0" destOrd="0" presId="urn:microsoft.com/office/officeart/2005/8/layout/radial1"/>
    <dgm:cxn modelId="{9DB66779-A01C-463E-B720-4FC77998FD63}" type="presParOf" srcId="{4FC73BDC-CE2C-45F4-85CD-F387963DA006}" destId="{423B6D89-2000-40C7-8429-BD38C7402395}" srcOrd="4" destOrd="0" presId="urn:microsoft.com/office/officeart/2005/8/layout/radial1"/>
    <dgm:cxn modelId="{013007BF-E69C-47F1-A169-4B17496FE4A7}" type="presParOf" srcId="{4FC73BDC-CE2C-45F4-85CD-F387963DA006}" destId="{650854B0-9FE7-4FFD-96B2-18F6452E0859}" srcOrd="5" destOrd="0" presId="urn:microsoft.com/office/officeart/2005/8/layout/radial1"/>
    <dgm:cxn modelId="{933270C2-3D86-4311-95F7-A7B914635C3D}" type="presParOf" srcId="{650854B0-9FE7-4FFD-96B2-18F6452E0859}" destId="{7FE108B5-F558-4942-A9EC-465F3C2E5813}" srcOrd="0" destOrd="0" presId="urn:microsoft.com/office/officeart/2005/8/layout/radial1"/>
    <dgm:cxn modelId="{317096AF-D3FC-4F87-BF37-5EFF36F4E2CD}" type="presParOf" srcId="{4FC73BDC-CE2C-45F4-85CD-F387963DA006}" destId="{6394B413-6D12-4C4F-9A8D-E0508CAE8617}" srcOrd="6" destOrd="0" presId="urn:microsoft.com/office/officeart/2005/8/layout/radial1"/>
    <dgm:cxn modelId="{D2E6FAD2-DDF9-4CF0-A655-7927E99D816B}" type="presParOf" srcId="{4FC73BDC-CE2C-45F4-85CD-F387963DA006}" destId="{DEF09AAB-E09E-4486-8914-E37D47E60824}" srcOrd="7" destOrd="0" presId="urn:microsoft.com/office/officeart/2005/8/layout/radial1"/>
    <dgm:cxn modelId="{C0A4D69D-1960-4B7F-B31D-2EAB59A0FF86}" type="presParOf" srcId="{DEF09AAB-E09E-4486-8914-E37D47E60824}" destId="{B0514361-30D3-4311-BC21-0743B7F01673}" srcOrd="0" destOrd="0" presId="urn:microsoft.com/office/officeart/2005/8/layout/radial1"/>
    <dgm:cxn modelId="{D74C2469-9768-4562-B7DB-B9B031C9E7FD}" type="presParOf" srcId="{4FC73BDC-CE2C-45F4-85CD-F387963DA006}" destId="{2ED32773-10C9-4671-A0BF-4C0DAB40AE25}" srcOrd="8" destOrd="0" presId="urn:microsoft.com/office/officeart/2005/8/layout/radial1"/>
    <dgm:cxn modelId="{78C17801-3DAE-4AEA-BFB4-98BE3A257F7A}" type="presParOf" srcId="{4FC73BDC-CE2C-45F4-85CD-F387963DA006}" destId="{06FD983D-3F71-4BCE-AD7F-6DD1041A2F23}" srcOrd="9" destOrd="0" presId="urn:microsoft.com/office/officeart/2005/8/layout/radial1"/>
    <dgm:cxn modelId="{23F5FCC2-8F59-49F3-B66C-2FF282C7AA30}" type="presParOf" srcId="{06FD983D-3F71-4BCE-AD7F-6DD1041A2F23}" destId="{2261EECA-A4AA-4C81-9B4D-3893A28ED758}" srcOrd="0" destOrd="0" presId="urn:microsoft.com/office/officeart/2005/8/layout/radial1"/>
    <dgm:cxn modelId="{80FE30CA-B26E-4777-96F2-70A04722C8B0}" type="presParOf" srcId="{4FC73BDC-CE2C-45F4-85CD-F387963DA006}" destId="{CFBB929F-8BEB-442D-8D00-28EE1C02C39C}" srcOrd="10" destOrd="0" presId="urn:microsoft.com/office/officeart/2005/8/layout/radial1"/>
  </dgm:cxnLst>
  <dgm:bg/>
  <dgm:whole/>
  <dgm:extLst>
    <a:ext uri="http://schemas.microsoft.com/office/drawing/2008/diagram">
      <dsp:dataModelExt xmlns:dsp="http://schemas.microsoft.com/office/drawing/2008/diagram" relId="rId175"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a:xfrm>
          <a:off x="2420526" y="1093081"/>
          <a:ext cx="1151350" cy="518033"/>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20 </a:t>
          </a: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xfrm>
          <a:off x="1445996" y="131454"/>
          <a:ext cx="1086818" cy="54639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17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Fomentar el respeto por la P.I.  </a:t>
          </a: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a:xfrm rot="13395629">
          <a:off x="2151725" y="874173"/>
          <a:ext cx="689899" cy="15688"/>
        </a:xfrm>
      </dgm:spPr>
      <dgm:t>
        <a:bodyPr/>
        <a:lstStyle/>
        <a:p>
          <a:endParaRPr lang="en-US"/>
        </a:p>
      </dgm:t>
    </dgm:pt>
    <dgm:pt modelId="{44FBC2E2-D754-42C1-BEE4-690296442511}">
      <dgm:prSet phldrT="[Text]" custT="1"/>
      <dgm:spPr>
        <a:xfrm>
          <a:off x="394362" y="394362"/>
          <a:ext cx="1121236" cy="54706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15 </a:t>
          </a:r>
        </a:p>
        <a:p>
          <a:r>
            <a:rPr lang="en-US" sz="800">
              <a:solidFill>
                <a:sysClr val="windowText" lastClr="000000"/>
              </a:solidFill>
              <a:latin typeface="Arial" panose="020B0604020202020204" pitchFamily="34" charset="0"/>
              <a:ea typeface="+mn-ea"/>
              <a:cs typeface="Arial" panose="020B0604020202020204" pitchFamily="34" charset="0"/>
            </a:rPr>
            <a:t>Soluciones operativas para las OPI</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a:xfrm rot="11911849">
          <a:off x="1386509" y="1002224"/>
          <a:ext cx="1178596" cy="15688"/>
        </a:xfrm>
      </dgm:spPr>
      <dgm:t>
        <a:bodyPr/>
        <a:lstStyle/>
        <a:p>
          <a:endParaRPr lang="en-US"/>
        </a:p>
      </dgm:t>
    </dgm:pt>
    <dgm:pt modelId="{2628F477-2289-4CEE-9618-96DDAFCD4291}">
      <dgm:prSet phldrT="[Text]" custT="1"/>
      <dgm:spPr>
        <a:xfrm>
          <a:off x="125838" y="1077331"/>
          <a:ext cx="1226366" cy="56584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14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Acceso a la info. y conocimientos </a:t>
          </a: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a:xfrm rot="10787580">
          <a:off x="1352182" y="1348263"/>
          <a:ext cx="1068366" cy="15688"/>
        </a:xfrm>
      </dgm:spPr>
      <dgm:t>
        <a:bodyPr/>
        <a:lstStyle/>
        <a:p>
          <a:endParaRPr lang="en-US"/>
        </a:p>
      </dgm:t>
    </dgm:pt>
    <dgm:pt modelId="{7C1FA040-4399-40F0-866F-845B7914F68D}">
      <dgm:prSet phldrT="[Text]" custT="1"/>
      <dgm:spPr>
        <a:xfrm>
          <a:off x="1161917" y="1599226"/>
          <a:ext cx="1185478"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 </a:t>
          </a: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a:xfrm rot="9469235">
          <a:off x="2172826" y="1595939"/>
          <a:ext cx="412013" cy="15688"/>
        </a:xfrm>
      </dgm:spPr>
      <dgm:t>
        <a:bodyPr/>
        <a:lstStyle/>
        <a:p>
          <a:endParaRPr lang="en-US"/>
        </a:p>
      </dgm:t>
    </dgm:pt>
    <dgm:pt modelId="{14602118-D739-48CC-85E0-791974AFA995}">
      <dgm:prSet phldrT="[Text]" custT="1"/>
      <dgm:spPr>
        <a:xfrm>
          <a:off x="2431900" y="1816765"/>
          <a:ext cx="1166160"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Madrid </a:t>
          </a: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a:xfrm rot="5310814">
          <a:off x="2902714" y="1706095"/>
          <a:ext cx="205754" cy="15688"/>
        </a:xfrm>
      </dgm:spPr>
      <dgm:t>
        <a:bodyPr/>
        <a:lstStyle/>
        <a:p>
          <a:endParaRPr lang="en-US"/>
        </a:p>
      </dgm:t>
    </dgm:pt>
    <dgm:pt modelId="{DB0D84B1-C440-4746-9EEF-F1ED71D64DD2}">
      <dgm:prSet phldrT="[Text]" custT="1"/>
      <dgm:spPr>
        <a:xfrm>
          <a:off x="3686814" y="1599228"/>
          <a:ext cx="1083094"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a:t>
          </a: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a:xfrm rot="1339913">
          <a:off x="3405281" y="1600267"/>
          <a:ext cx="428315" cy="15688"/>
        </a:xfrm>
      </dgm:spPr>
      <dgm:t>
        <a:bodyPr/>
        <a:lstStyle/>
        <a:p>
          <a:endParaRPr lang="en-US"/>
        </a:p>
      </dgm:t>
    </dgm:pt>
    <dgm:pt modelId="{6DAE892F-3F2D-42A5-BB1C-58D0E6BD9A47}">
      <dgm:prSet phldrT="[Text]" custT="1"/>
      <dgm:spPr>
        <a:xfrm>
          <a:off x="4623265" y="1091842"/>
          <a:ext cx="1128758"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4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CC.TT., ECT y RR.GG.</a:t>
          </a: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a:xfrm rot="21598056">
          <a:off x="3571876" y="1343631"/>
          <a:ext cx="1051389" cy="15688"/>
        </a:xfrm>
      </dgm:spPr>
      <dgm:t>
        <a:bodyPr/>
        <a:lstStyle/>
        <a:p>
          <a:endParaRPr lang="en-US"/>
        </a:p>
      </dgm:t>
    </dgm:pt>
    <dgm:pt modelId="{F0FE4372-65E6-4D92-B9B0-D2B79F26FB27}">
      <dgm:prSet phldrT="[Text]" custT="1"/>
      <dgm:spPr>
        <a:xfrm>
          <a:off x="4493860" y="399485"/>
          <a:ext cx="955663"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s-ES_tradnl" sz="800">
              <a:latin typeface="Arial" panose="020B0604020202020204" pitchFamily="34" charset="0"/>
              <a:cs typeface="Arial" panose="020B0604020202020204" pitchFamily="34" charset="0"/>
            </a:rPr>
            <a:t>D.A.D.C. </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2B06661-55BE-4022-AD18-067DB2509F93}" type="sibTrans" cxnId="{1229807D-6A59-498C-A707-9DD6CEEA0C8D}">
      <dgm:prSet/>
      <dgm:spPr/>
      <dgm:t>
        <a:bodyPr/>
        <a:lstStyle/>
        <a:p>
          <a:endParaRPr lang="en-US"/>
        </a:p>
      </dgm:t>
    </dgm:pt>
    <dgm:pt modelId="{D94B5549-C2D2-4629-ACDF-33C6E334FA3A}" type="parTrans" cxnId="{1229807D-6A59-498C-A707-9DD6CEEA0C8D}">
      <dgm:prSet/>
      <dgm:spPr>
        <a:xfrm rot="20439227">
          <a:off x="3416518" y="988188"/>
          <a:ext cx="1187650" cy="15688"/>
        </a:xfrm>
      </dgm:spPr>
      <dgm:t>
        <a:bodyPr/>
        <a:lstStyle/>
        <a:p>
          <a:endParaRPr lang="en-US"/>
        </a:p>
      </dgm:t>
    </dgm:pt>
    <dgm:pt modelId="{898446A3-EA8C-4C13-8A65-DF8A110D0838}">
      <dgm:prSet phldrT="[Text]" custT="1"/>
      <dgm:spPr>
        <a:xfrm>
          <a:off x="3565254" y="108069"/>
          <a:ext cx="931838"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Marcas, DD.II e II.GG</a:t>
          </a: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a:xfrm rot="18985007">
          <a:off x="3136860" y="846492"/>
          <a:ext cx="764698" cy="15688"/>
        </a:xfrm>
      </dgm:spPr>
      <dgm:t>
        <a:bodyPr/>
        <a:lstStyle/>
        <a:p>
          <a:endParaRPr lang="en-US"/>
        </a:p>
      </dgm:t>
    </dgm:pt>
    <dgm:pt modelId="{68A5766F-115C-487E-B7CB-4ADE150678D1}">
      <dgm:prSet phldrT="[Text]" custT="1"/>
      <dgm:spPr>
        <a:xfrm>
          <a:off x="2544575" y="3207"/>
          <a:ext cx="903253"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Derecho de patentes</a:t>
          </a: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a:xfrm rot="16200000">
          <a:off x="2710281" y="799317"/>
          <a:ext cx="571840" cy="15688"/>
        </a:xfrm>
      </dgm:spPr>
      <dgm:t>
        <a:bodyPr/>
        <a:lstStyle/>
        <a:p>
          <a:endParaRPr lang="en-US"/>
        </a:p>
      </dgm:t>
    </dgm:pt>
    <dgm:pt modelId="{30FB17EC-C15B-4BC5-A5F8-93316C76A7D4}">
      <dgm:prSet phldrT="[Text]" custT="1"/>
      <dgm:spPr>
        <a:xfrm>
          <a:off x="1445996" y="131454"/>
          <a:ext cx="1086818" cy="54639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18</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P.I. y desafíos mundiales</a:t>
          </a:r>
        </a:p>
      </dgm:t>
    </dgm:pt>
    <dgm:pt modelId="{0B9D3332-6506-49A3-B313-03598D7AB1F1}" type="parTrans" cxnId="{D234319B-4C2D-4168-B829-6322CF3AD3F4}">
      <dgm:prSet/>
      <dgm:spPr/>
      <dgm:t>
        <a:bodyPr/>
        <a:lstStyle/>
        <a:p>
          <a:endParaRPr lang="en-US"/>
        </a:p>
      </dgm:t>
    </dgm:pt>
    <dgm:pt modelId="{CBA5F467-8B69-4E2F-97AD-8C76474C75DA}" type="sibTrans" cxnId="{D234319B-4C2D-4168-B829-6322CF3AD3F4}">
      <dgm:prSet/>
      <dgm:spPr/>
      <dgm:t>
        <a:bodyPr/>
        <a:lstStyle/>
        <a:p>
          <a:endParaRPr lang="en-US"/>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279897" custScaleY="97914"/>
      <dgm:spPr>
        <a:prstGeom prst="ellipse">
          <a:avLst/>
        </a:prstGeom>
      </dgm:spPr>
      <dgm:t>
        <a:bodyPr/>
        <a:lstStyle/>
        <a:p>
          <a:endParaRPr lang="en-US"/>
        </a:p>
      </dgm:t>
    </dgm:pt>
    <dgm:pt modelId="{E6ACA703-0949-41B3-BE6B-C702E5C7275F}" type="pres">
      <dgm:prSet presAssocID="{BA28F4A6-AD16-499D-88C1-DBE004B28175}" presName="Name9" presStyleLbl="parChTrans1D2" presStyleIdx="0" presStyleCnt="11"/>
      <dgm:spPr/>
      <dgm:t>
        <a:bodyPr/>
        <a:lstStyle/>
        <a:p>
          <a:endParaRPr lang="en-US"/>
        </a:p>
      </dgm:t>
    </dgm:pt>
    <dgm:pt modelId="{B06AADB2-5D51-41DC-8677-C0CC2357518B}" type="pres">
      <dgm:prSet presAssocID="{BA28F4A6-AD16-499D-88C1-DBE004B28175}" presName="connTx" presStyleLbl="parChTrans1D2" presStyleIdx="0" presStyleCnt="11"/>
      <dgm:spPr/>
      <dgm:t>
        <a:bodyPr/>
        <a:lstStyle/>
        <a:p>
          <a:endParaRPr lang="en-US"/>
        </a:p>
      </dgm:t>
    </dgm:pt>
    <dgm:pt modelId="{AFD0CC05-9AD4-4A51-8739-4FB4CA1E4ACE}" type="pres">
      <dgm:prSet presAssocID="{68A5766F-115C-487E-B7CB-4ADE150678D1}" presName="node" presStyleLbl="node1" presStyleIdx="0" presStyleCnt="11" custScaleX="203460" custScaleY="117548">
        <dgm:presLayoutVars>
          <dgm:bulletEnabled val="1"/>
        </dgm:presLayoutVars>
      </dgm:prSet>
      <dgm:spPr>
        <a:prstGeom prst="ellipse">
          <a:avLst/>
        </a:prstGeom>
      </dgm:spPr>
      <dgm:t>
        <a:bodyPr/>
        <a:lstStyle/>
        <a:p>
          <a:endParaRPr lang="en-US"/>
        </a:p>
      </dgm:t>
    </dgm:pt>
    <dgm:pt modelId="{34515D96-C834-4D67-AF5C-3B293601CBC3}" type="pres">
      <dgm:prSet presAssocID="{DB9FEC62-86A7-454A-89B3-F32F1907C71A}" presName="Name9" presStyleLbl="parChTrans1D2" presStyleIdx="1" presStyleCnt="11"/>
      <dgm:spPr/>
      <dgm:t>
        <a:bodyPr/>
        <a:lstStyle/>
        <a:p>
          <a:endParaRPr lang="en-US"/>
        </a:p>
      </dgm:t>
    </dgm:pt>
    <dgm:pt modelId="{A8CF68B1-7D91-429E-8C8D-53007288E1DC}" type="pres">
      <dgm:prSet presAssocID="{DB9FEC62-86A7-454A-89B3-F32F1907C71A}" presName="connTx" presStyleLbl="parChTrans1D2" presStyleIdx="1" presStyleCnt="11"/>
      <dgm:spPr/>
      <dgm:t>
        <a:bodyPr/>
        <a:lstStyle/>
        <a:p>
          <a:endParaRPr lang="en-US"/>
        </a:p>
      </dgm:t>
    </dgm:pt>
    <dgm:pt modelId="{D9366F31-B7D7-4B43-830C-AD5E2193A794}" type="pres">
      <dgm:prSet presAssocID="{898446A3-EA8C-4C13-8A65-DF8A110D0838}" presName="node" presStyleLbl="node1" presStyleIdx="1" presStyleCnt="11" custScaleX="218045" custScaleY="116036" custRadScaleRad="127795" custRadScaleInc="76247">
        <dgm:presLayoutVars>
          <dgm:bulletEnabled val="1"/>
        </dgm:presLayoutVars>
      </dgm:prSet>
      <dgm:spPr>
        <a:prstGeom prst="ellipse">
          <a:avLst/>
        </a:prstGeom>
      </dgm:spPr>
      <dgm:t>
        <a:bodyPr/>
        <a:lstStyle/>
        <a:p>
          <a:endParaRPr lang="en-US"/>
        </a:p>
      </dgm:t>
    </dgm:pt>
    <dgm:pt modelId="{3F0F15B6-4D5A-493B-B03E-AE8141DC3DCE}" type="pres">
      <dgm:prSet presAssocID="{D94B5549-C2D2-4629-ACDF-33C6E334FA3A}" presName="Name9" presStyleLbl="parChTrans1D2" presStyleIdx="2" presStyleCnt="11"/>
      <dgm:spPr/>
      <dgm:t>
        <a:bodyPr/>
        <a:lstStyle/>
        <a:p>
          <a:endParaRPr lang="en-US"/>
        </a:p>
      </dgm:t>
    </dgm:pt>
    <dgm:pt modelId="{905DF954-A0B6-4A5F-9CE2-F1C3ADBDD0C1}" type="pres">
      <dgm:prSet presAssocID="{D94B5549-C2D2-4629-ACDF-33C6E334FA3A}" presName="connTx" presStyleLbl="parChTrans1D2" presStyleIdx="2" presStyleCnt="11"/>
      <dgm:spPr/>
      <dgm:t>
        <a:bodyPr/>
        <a:lstStyle/>
        <a:p>
          <a:endParaRPr lang="en-US"/>
        </a:p>
      </dgm:t>
    </dgm:pt>
    <dgm:pt modelId="{ECD2D13D-466C-468B-BD6C-1B646D8E5B8E}" type="pres">
      <dgm:prSet presAssocID="{F0FE4372-65E6-4D92-B9B0-D2B79F26FB27}" presName="node" presStyleLbl="node1" presStyleIdx="2" presStyleCnt="11" custScaleX="240335" custScaleY="116138" custRadScaleRad="181555" custRadScaleInc="28830">
        <dgm:presLayoutVars>
          <dgm:bulletEnabled val="1"/>
        </dgm:presLayoutVars>
      </dgm:prSet>
      <dgm:spPr>
        <a:prstGeom prst="ellipse">
          <a:avLst/>
        </a:prstGeom>
      </dgm:spPr>
      <dgm:t>
        <a:bodyPr/>
        <a:lstStyle/>
        <a:p>
          <a:endParaRPr lang="en-US"/>
        </a:p>
      </dgm:t>
    </dgm:pt>
    <dgm:pt modelId="{5CF8296B-0142-429D-A71A-20799D2EB74B}" type="pres">
      <dgm:prSet presAssocID="{D22DE764-173E-47DF-9480-722F8D8EA62C}" presName="Name9" presStyleLbl="parChTrans1D2" presStyleIdx="3" presStyleCnt="11"/>
      <dgm:spPr/>
      <dgm:t>
        <a:bodyPr/>
        <a:lstStyle/>
        <a:p>
          <a:endParaRPr lang="en-US"/>
        </a:p>
      </dgm:t>
    </dgm:pt>
    <dgm:pt modelId="{48797E66-4F8B-4B79-BCA7-6F88E85CF835}" type="pres">
      <dgm:prSet presAssocID="{D22DE764-173E-47DF-9480-722F8D8EA62C}" presName="connTx" presStyleLbl="parChTrans1D2" presStyleIdx="3" presStyleCnt="11"/>
      <dgm:spPr/>
      <dgm:t>
        <a:bodyPr/>
        <a:lstStyle/>
        <a:p>
          <a:endParaRPr lang="en-US"/>
        </a:p>
      </dgm:t>
    </dgm:pt>
    <dgm:pt modelId="{7E7DDE23-6C04-407D-AAB6-669511EA704E}" type="pres">
      <dgm:prSet presAssocID="{6DAE892F-3F2D-42A5-BB1C-58D0E6BD9A47}" presName="node" presStyleLbl="node1" presStyleIdx="3" presStyleCnt="11" custScaleX="240380" custScaleY="117805" custRadScaleRad="202075" custRadScaleInc="-62672">
        <dgm:presLayoutVars>
          <dgm:bulletEnabled val="1"/>
        </dgm:presLayoutVars>
      </dgm:prSet>
      <dgm:spPr>
        <a:prstGeom prst="ellipse">
          <a:avLst/>
        </a:prstGeom>
      </dgm:spPr>
      <dgm:t>
        <a:bodyPr/>
        <a:lstStyle/>
        <a:p>
          <a:endParaRPr lang="en-US"/>
        </a:p>
      </dgm:t>
    </dgm:pt>
    <dgm:pt modelId="{DC281168-2DBC-4CFB-B21D-C54E9628B383}" type="pres">
      <dgm:prSet presAssocID="{9E510621-404D-46D6-8EB3-39712C8626D4}" presName="Name9" presStyleLbl="parChTrans1D2" presStyleIdx="4" presStyleCnt="11"/>
      <dgm:spPr/>
      <dgm:t>
        <a:bodyPr/>
        <a:lstStyle/>
        <a:p>
          <a:endParaRPr lang="en-US"/>
        </a:p>
      </dgm:t>
    </dgm:pt>
    <dgm:pt modelId="{0D3BFC0A-5ED4-4CCF-A336-A529B3363890}" type="pres">
      <dgm:prSet presAssocID="{9E510621-404D-46D6-8EB3-39712C8626D4}" presName="connTx" presStyleLbl="parChTrans1D2" presStyleIdx="4" presStyleCnt="11"/>
      <dgm:spPr/>
      <dgm:t>
        <a:bodyPr/>
        <a:lstStyle/>
        <a:p>
          <a:endParaRPr lang="en-US"/>
        </a:p>
      </dgm:t>
    </dgm:pt>
    <dgm:pt modelId="{66DADE40-99AE-41BE-B997-129EED231064}" type="pres">
      <dgm:prSet presAssocID="{DB0D84B1-C440-4746-9EEF-F1ED71D64DD2}" presName="node" presStyleLbl="node1" presStyleIdx="4" presStyleCnt="11" custScaleX="205590" custScaleY="103202" custRadScaleRad="172499" custRadScaleInc="-163972">
        <dgm:presLayoutVars>
          <dgm:bulletEnabled val="1"/>
        </dgm:presLayoutVars>
      </dgm:prSet>
      <dgm:spPr>
        <a:prstGeom prst="ellipse">
          <a:avLst/>
        </a:prstGeom>
      </dgm:spPr>
      <dgm:t>
        <a:bodyPr/>
        <a:lstStyle/>
        <a:p>
          <a:endParaRPr lang="en-US"/>
        </a:p>
      </dgm:t>
    </dgm:pt>
    <dgm:pt modelId="{4DF1B0BE-A63A-4BEA-9EE5-4168481CC99E}" type="pres">
      <dgm:prSet presAssocID="{3F89048A-3F9F-4897-8631-4599F4976029}" presName="Name9" presStyleLbl="parChTrans1D2" presStyleIdx="5" presStyleCnt="11"/>
      <dgm:spPr/>
      <dgm:t>
        <a:bodyPr/>
        <a:lstStyle/>
        <a:p>
          <a:endParaRPr lang="en-US"/>
        </a:p>
      </dgm:t>
    </dgm:pt>
    <dgm:pt modelId="{32B4D7AF-BD29-4AC4-BA11-37F2AE9561F4}" type="pres">
      <dgm:prSet presAssocID="{3F89048A-3F9F-4897-8631-4599F4976029}" presName="connTx" presStyleLbl="parChTrans1D2" presStyleIdx="5" presStyleCnt="11"/>
      <dgm:spPr/>
      <dgm:t>
        <a:bodyPr/>
        <a:lstStyle/>
        <a:p>
          <a:endParaRPr lang="en-US"/>
        </a:p>
      </dgm:t>
    </dgm:pt>
    <dgm:pt modelId="{DB594876-4070-4577-942D-67F5CD4D6A19}" type="pres">
      <dgm:prSet presAssocID="{14602118-D739-48CC-85E0-791974AFA995}" presName="node" presStyleLbl="node1" presStyleIdx="5" presStyleCnt="11" custScaleX="250523" custScaleY="116291" custRadScaleRad="111093" custRadScaleInc="-188945">
        <dgm:presLayoutVars>
          <dgm:bulletEnabled val="1"/>
        </dgm:presLayoutVars>
      </dgm:prSet>
      <dgm:spPr>
        <a:prstGeom prst="ellipse">
          <a:avLst/>
        </a:prstGeom>
      </dgm:spPr>
      <dgm:t>
        <a:bodyPr/>
        <a:lstStyle/>
        <a:p>
          <a:endParaRPr lang="en-US"/>
        </a:p>
      </dgm:t>
    </dgm:pt>
    <dgm:pt modelId="{E49C447F-3477-4311-B10B-FFFA7DE7209F}" type="pres">
      <dgm:prSet presAssocID="{98585C11-761C-43C4-979D-FB1B8BABF102}" presName="Name9" presStyleLbl="parChTrans1D2" presStyleIdx="6" presStyleCnt="11"/>
      <dgm:spPr/>
      <dgm:t>
        <a:bodyPr/>
        <a:lstStyle/>
        <a:p>
          <a:endParaRPr lang="en-US"/>
        </a:p>
      </dgm:t>
    </dgm:pt>
    <dgm:pt modelId="{B930024E-8665-4782-9C41-36517A71FCD4}" type="pres">
      <dgm:prSet presAssocID="{98585C11-761C-43C4-979D-FB1B8BABF102}" presName="connTx" presStyleLbl="parChTrans1D2" presStyleIdx="6" presStyleCnt="11"/>
      <dgm:spPr/>
      <dgm:t>
        <a:bodyPr/>
        <a:lstStyle/>
        <a:p>
          <a:endParaRPr lang="en-US"/>
        </a:p>
      </dgm:t>
    </dgm:pt>
    <dgm:pt modelId="{69F18085-0AC3-4BAE-9B16-F8478FFBD61E}" type="pres">
      <dgm:prSet presAssocID="{7C1FA040-4399-40F0-866F-845B7914F68D}" presName="node" presStyleLbl="node1" presStyleIdx="6" presStyleCnt="11" custScaleX="248902" custScaleY="105725" custRadScaleRad="93629" custRadScaleInc="72066">
        <dgm:presLayoutVars>
          <dgm:bulletEnabled val="1"/>
        </dgm:presLayoutVars>
      </dgm:prSet>
      <dgm:spPr>
        <a:prstGeom prst="ellipse">
          <a:avLst/>
        </a:prstGeom>
      </dgm:spPr>
      <dgm:t>
        <a:bodyPr/>
        <a:lstStyle/>
        <a:p>
          <a:endParaRPr lang="en-US"/>
        </a:p>
      </dgm:t>
    </dgm:pt>
    <dgm:pt modelId="{FCC14444-D5E7-4E9C-B980-A27CD799E442}" type="pres">
      <dgm:prSet presAssocID="{DEF73824-C893-4963-9504-7E97D2FF5253}" presName="Name9" presStyleLbl="parChTrans1D2" presStyleIdx="7" presStyleCnt="11"/>
      <dgm:spPr/>
      <dgm:t>
        <a:bodyPr/>
        <a:lstStyle/>
        <a:p>
          <a:endParaRPr lang="en-US"/>
        </a:p>
      </dgm:t>
    </dgm:pt>
    <dgm:pt modelId="{3EA6B60F-F2E8-4D48-9EC1-CAAE09243949}" type="pres">
      <dgm:prSet presAssocID="{DEF73824-C893-4963-9504-7E97D2FF5253}" presName="connTx" presStyleLbl="parChTrans1D2" presStyleIdx="7" presStyleCnt="11"/>
      <dgm:spPr/>
      <dgm:t>
        <a:bodyPr/>
        <a:lstStyle/>
        <a:p>
          <a:endParaRPr lang="en-US"/>
        </a:p>
      </dgm:t>
    </dgm:pt>
    <dgm:pt modelId="{49C45DFA-0A15-4DAA-80DC-CAE4ABCC6B43}" type="pres">
      <dgm:prSet presAssocID="{2628F477-2289-4CEE-9618-96DDAFCD4291}" presName="node" presStyleLbl="node1" presStyleIdx="7" presStyleCnt="11" custScaleX="277720" custScaleY="121401" custRadScaleRad="163148" custRadScaleInc="124911">
        <dgm:presLayoutVars>
          <dgm:bulletEnabled val="1"/>
        </dgm:presLayoutVars>
      </dgm:prSet>
      <dgm:spPr>
        <a:prstGeom prst="ellipse">
          <a:avLst/>
        </a:prstGeom>
      </dgm:spPr>
      <dgm:t>
        <a:bodyPr/>
        <a:lstStyle/>
        <a:p>
          <a:endParaRPr lang="en-US"/>
        </a:p>
      </dgm:t>
    </dgm:pt>
    <dgm:pt modelId="{7B59CB2C-C82F-41EE-B3CF-ADD4878ADBA6}" type="pres">
      <dgm:prSet presAssocID="{2F72DDEE-62D3-48A5-836A-4C87596541F0}" presName="Name9" presStyleLbl="parChTrans1D2" presStyleIdx="8" presStyleCnt="11"/>
      <dgm:spPr/>
      <dgm:t>
        <a:bodyPr/>
        <a:lstStyle/>
        <a:p>
          <a:endParaRPr lang="en-US"/>
        </a:p>
      </dgm:t>
    </dgm:pt>
    <dgm:pt modelId="{280B3AB5-4999-4B99-8BE9-E09C9DF5D482}" type="pres">
      <dgm:prSet presAssocID="{2F72DDEE-62D3-48A5-836A-4C87596541F0}" presName="connTx" presStyleLbl="parChTrans1D2" presStyleIdx="8" presStyleCnt="11"/>
      <dgm:spPr/>
      <dgm:t>
        <a:bodyPr/>
        <a:lstStyle/>
        <a:p>
          <a:endParaRPr lang="en-US"/>
        </a:p>
      </dgm:t>
    </dgm:pt>
    <dgm:pt modelId="{402B25BB-F397-46B5-AAB7-C38C2276BF82}" type="pres">
      <dgm:prSet presAssocID="{44FBC2E2-D754-42C1-BEE4-690296442511}" presName="node" presStyleLbl="node1" presStyleIdx="8" presStyleCnt="11" custScaleX="249515" custScaleY="130596" custRadScaleRad="203588" custRadScaleInc="40973">
        <dgm:presLayoutVars>
          <dgm:bulletEnabled val="1"/>
        </dgm:presLayoutVars>
      </dgm:prSet>
      <dgm:spPr>
        <a:prstGeom prst="ellipse">
          <a:avLst/>
        </a:prstGeom>
      </dgm:spPr>
      <dgm:t>
        <a:bodyPr/>
        <a:lstStyle/>
        <a:p>
          <a:endParaRPr lang="en-US"/>
        </a:p>
      </dgm:t>
    </dgm:pt>
    <dgm:pt modelId="{EFB9CB5A-411C-454B-96B1-9ED988829CBE}" type="pres">
      <dgm:prSet presAssocID="{B4A5C031-92B2-438E-80BC-EAA05F5C7CF7}" presName="Name9" presStyleLbl="parChTrans1D2" presStyleIdx="9" presStyleCnt="11"/>
      <dgm:spPr/>
      <dgm:t>
        <a:bodyPr/>
        <a:lstStyle/>
        <a:p>
          <a:endParaRPr lang="en-US"/>
        </a:p>
      </dgm:t>
    </dgm:pt>
    <dgm:pt modelId="{A140118B-14B1-45A7-9CF9-17E4D006F84D}" type="pres">
      <dgm:prSet presAssocID="{B4A5C031-92B2-438E-80BC-EAA05F5C7CF7}" presName="connTx" presStyleLbl="parChTrans1D2" presStyleIdx="9" presStyleCnt="11"/>
      <dgm:spPr/>
      <dgm:t>
        <a:bodyPr/>
        <a:lstStyle/>
        <a:p>
          <a:endParaRPr lang="en-US"/>
        </a:p>
      </dgm:t>
    </dgm:pt>
    <dgm:pt modelId="{5AF8D9AC-0C15-4D1B-BCD3-7FFCFF0A581D}" type="pres">
      <dgm:prSet presAssocID="{D460D018-736B-4CE5-A14B-061F8EFE829B}" presName="node" presStyleLbl="node1" presStyleIdx="9" presStyleCnt="11" custScaleX="225067" custScaleY="138249" custRadScaleRad="189537" custRadScaleInc="-49121">
        <dgm:presLayoutVars>
          <dgm:bulletEnabled val="1"/>
        </dgm:presLayoutVars>
      </dgm:prSet>
      <dgm:spPr>
        <a:prstGeom prst="ellipse">
          <a:avLst/>
        </a:prstGeom>
      </dgm:spPr>
      <dgm:t>
        <a:bodyPr/>
        <a:lstStyle/>
        <a:p>
          <a:endParaRPr lang="en-US"/>
        </a:p>
      </dgm:t>
    </dgm:pt>
    <dgm:pt modelId="{EA581F84-B016-4CDB-99D6-9E3DD9F505FC}" type="pres">
      <dgm:prSet presAssocID="{0B9D3332-6506-49A3-B313-03598D7AB1F1}" presName="Name9" presStyleLbl="parChTrans1D2" presStyleIdx="10" presStyleCnt="11"/>
      <dgm:spPr/>
      <dgm:t>
        <a:bodyPr/>
        <a:lstStyle/>
        <a:p>
          <a:endParaRPr lang="en-US"/>
        </a:p>
      </dgm:t>
    </dgm:pt>
    <dgm:pt modelId="{5EA7C01D-B441-4CF8-BC42-1137E519F776}" type="pres">
      <dgm:prSet presAssocID="{0B9D3332-6506-49A3-B313-03598D7AB1F1}" presName="connTx" presStyleLbl="parChTrans1D2" presStyleIdx="10" presStyleCnt="11"/>
      <dgm:spPr/>
      <dgm:t>
        <a:bodyPr/>
        <a:lstStyle/>
        <a:p>
          <a:endParaRPr lang="en-US"/>
        </a:p>
      </dgm:t>
    </dgm:pt>
    <dgm:pt modelId="{0BAA02DA-E841-4BF5-8708-178825E9BEE2}" type="pres">
      <dgm:prSet presAssocID="{30FB17EC-C15B-4BC5-A5F8-93316C76A7D4}" presName="node" presStyleLbl="node1" presStyleIdx="10" presStyleCnt="11" custScaleX="229753" custScaleY="144242" custRadScaleRad="135918" custRadScaleInc="-86860">
        <dgm:presLayoutVars>
          <dgm:bulletEnabled val="1"/>
        </dgm:presLayoutVars>
      </dgm:prSet>
      <dgm:spPr/>
      <dgm:t>
        <a:bodyPr/>
        <a:lstStyle/>
        <a:p>
          <a:endParaRPr lang="en-US"/>
        </a:p>
      </dgm:t>
    </dgm:pt>
  </dgm:ptLst>
  <dgm:cxnLst>
    <dgm:cxn modelId="{365F0EE5-9C35-478A-8762-20753A58516F}" type="presOf" srcId="{6DAE892F-3F2D-42A5-BB1C-58D0E6BD9A47}" destId="{7E7DDE23-6C04-407D-AAB6-669511EA704E}" srcOrd="0" destOrd="0" presId="urn:microsoft.com/office/officeart/2005/8/layout/radial1"/>
    <dgm:cxn modelId="{127BBD45-1D2A-4351-AC2A-0EC7AF0506E0}" type="presOf" srcId="{68A5766F-115C-487E-B7CB-4ADE150678D1}" destId="{AFD0CC05-9AD4-4A51-8739-4FB4CA1E4ACE}" srcOrd="0" destOrd="0" presId="urn:microsoft.com/office/officeart/2005/8/layout/radial1"/>
    <dgm:cxn modelId="{FE1169E0-24DF-4FBB-A1C9-8F332C85663A}" srcId="{A7516A72-1FC0-46ED-AAC4-AF0F7063F737}" destId="{6DAE892F-3F2D-42A5-BB1C-58D0E6BD9A47}" srcOrd="3" destOrd="0" parTransId="{D22DE764-173E-47DF-9480-722F8D8EA62C}" sibTransId="{28BD2EB6-8814-456D-B684-C7C0E2C0705F}"/>
    <dgm:cxn modelId="{45176135-8DB5-4E2E-A9BC-D63B4AD957F3}" type="presOf" srcId="{2628F477-2289-4CEE-9618-96DDAFCD4291}" destId="{49C45DFA-0A15-4DAA-80DC-CAE4ABCC6B43}" srcOrd="0" destOrd="0" presId="urn:microsoft.com/office/officeart/2005/8/layout/radial1"/>
    <dgm:cxn modelId="{5EE84404-2BDB-4864-B2D1-1C6BD777A62F}" type="presOf" srcId="{F0FE4372-65E6-4D92-B9B0-D2B79F26FB27}" destId="{ECD2D13D-466C-468B-BD6C-1B646D8E5B8E}" srcOrd="0" destOrd="0" presId="urn:microsoft.com/office/officeart/2005/8/layout/radial1"/>
    <dgm:cxn modelId="{F1C3AC52-FEBF-45F7-AEBA-DC16FA4154FB}" type="presOf" srcId="{DB9FEC62-86A7-454A-89B3-F32F1907C71A}" destId="{A8CF68B1-7D91-429E-8C8D-53007288E1DC}" srcOrd="1" destOrd="0" presId="urn:microsoft.com/office/officeart/2005/8/layout/radial1"/>
    <dgm:cxn modelId="{FA8FE3C9-6BD3-4727-ACCE-399D18C0A22D}" type="presOf" srcId="{98585C11-761C-43C4-979D-FB1B8BABF102}" destId="{E49C447F-3477-4311-B10B-FFFA7DE7209F}" srcOrd="0" destOrd="0" presId="urn:microsoft.com/office/officeart/2005/8/layout/radial1"/>
    <dgm:cxn modelId="{D234319B-4C2D-4168-B829-6322CF3AD3F4}" srcId="{A7516A72-1FC0-46ED-AAC4-AF0F7063F737}" destId="{30FB17EC-C15B-4BC5-A5F8-93316C76A7D4}" srcOrd="10" destOrd="0" parTransId="{0B9D3332-6506-49A3-B313-03598D7AB1F1}" sibTransId="{CBA5F467-8B69-4E2F-97AD-8C76474C75DA}"/>
    <dgm:cxn modelId="{85372F9A-DC76-408C-9E6B-09C18199A8CC}" type="presOf" srcId="{9E510621-404D-46D6-8EB3-39712C8626D4}" destId="{DC281168-2DBC-4CFB-B21D-C54E9628B383}" srcOrd="0" destOrd="0" presId="urn:microsoft.com/office/officeart/2005/8/layout/radial1"/>
    <dgm:cxn modelId="{A1357B0A-C240-4A91-89D8-A39634308683}" srcId="{A7516A72-1FC0-46ED-AAC4-AF0F7063F737}" destId="{44FBC2E2-D754-42C1-BEE4-690296442511}" srcOrd="8" destOrd="0" parTransId="{2F72DDEE-62D3-48A5-836A-4C87596541F0}" sibTransId="{A8D506B7-E9B0-4378-B011-FCC599FE960D}"/>
    <dgm:cxn modelId="{C27BF7C7-F021-4763-B4FE-8FE115172151}" type="presOf" srcId="{0B9D3332-6506-49A3-B313-03598D7AB1F1}" destId="{EA581F84-B016-4CDB-99D6-9E3DD9F505FC}" srcOrd="0" destOrd="0" presId="urn:microsoft.com/office/officeart/2005/8/layout/radial1"/>
    <dgm:cxn modelId="{92860310-1EAA-4B5D-9402-FC54CFB04C18}" type="presOf" srcId="{DB9FEC62-86A7-454A-89B3-F32F1907C71A}" destId="{34515D96-C834-4D67-AF5C-3B293601CBC3}" srcOrd="0" destOrd="0" presId="urn:microsoft.com/office/officeart/2005/8/layout/radial1"/>
    <dgm:cxn modelId="{333E8F20-31E9-4D6F-9F31-24FBF63076E9}" srcId="{A7516A72-1FC0-46ED-AAC4-AF0F7063F737}" destId="{D460D018-736B-4CE5-A14B-061F8EFE829B}" srcOrd="9" destOrd="0" parTransId="{B4A5C031-92B2-438E-80BC-EAA05F5C7CF7}" sibTransId="{13E4242D-C1FF-4F31-B2EF-0F857644C218}"/>
    <dgm:cxn modelId="{DC367349-4888-438F-B6FF-F9FC9AAD34B7}" type="presOf" srcId="{D22DE764-173E-47DF-9480-722F8D8EA62C}" destId="{5CF8296B-0142-429D-A71A-20799D2EB74B}" srcOrd="0" destOrd="0" presId="urn:microsoft.com/office/officeart/2005/8/layout/radial1"/>
    <dgm:cxn modelId="{EDFA8453-A8C5-40C1-B612-4BC25E3550FA}" type="presOf" srcId="{D460D018-736B-4CE5-A14B-061F8EFE829B}" destId="{5AF8D9AC-0C15-4D1B-BCD3-7FFCFF0A581D}" srcOrd="0" destOrd="0" presId="urn:microsoft.com/office/officeart/2005/8/layout/radial1"/>
    <dgm:cxn modelId="{DD30A900-3320-465B-A14C-E99C522AB929}" type="presOf" srcId="{BA28F4A6-AD16-499D-88C1-DBE004B28175}" destId="{E6ACA703-0949-41B3-BE6B-C702E5C7275F}" srcOrd="0" destOrd="0" presId="urn:microsoft.com/office/officeart/2005/8/layout/radial1"/>
    <dgm:cxn modelId="{996B9653-906A-49F8-9E4B-3836F7905D4E}" srcId="{D981426F-5B7B-4AA5-957A-6E8C9E1A2487}" destId="{A7516A72-1FC0-46ED-AAC4-AF0F7063F737}" srcOrd="0" destOrd="0" parTransId="{D9E0AFEB-65B5-4280-ADD0-766B3ADA6CFD}" sibTransId="{6B1EB84D-437E-47A1-87CB-9027EE716AD0}"/>
    <dgm:cxn modelId="{84826536-FF9D-47C5-902D-DB146A527C2A}" srcId="{A7516A72-1FC0-46ED-AAC4-AF0F7063F737}" destId="{68A5766F-115C-487E-B7CB-4ADE150678D1}" srcOrd="0" destOrd="0" parTransId="{BA28F4A6-AD16-499D-88C1-DBE004B28175}" sibTransId="{BA9B1909-6561-415A-8EF0-B53DE88FCEBA}"/>
    <dgm:cxn modelId="{7F8B51DB-6F0F-4105-B44E-FB7A85A67820}" type="presOf" srcId="{898446A3-EA8C-4C13-8A65-DF8A110D0838}" destId="{D9366F31-B7D7-4B43-830C-AD5E2193A794}" srcOrd="0" destOrd="0" presId="urn:microsoft.com/office/officeart/2005/8/layout/radial1"/>
    <dgm:cxn modelId="{345C13DF-1D3F-4982-AF23-DC2641540559}" srcId="{A7516A72-1FC0-46ED-AAC4-AF0F7063F737}" destId="{7C1FA040-4399-40F0-866F-845B7914F68D}" srcOrd="6" destOrd="0" parTransId="{98585C11-761C-43C4-979D-FB1B8BABF102}" sibTransId="{82A7CC90-6A4C-422A-B221-BA4CF5B4D442}"/>
    <dgm:cxn modelId="{393BA97F-D26F-4ECD-84F9-5FA3BB574871}" type="presOf" srcId="{44FBC2E2-D754-42C1-BEE4-690296442511}" destId="{402B25BB-F397-46B5-AAB7-C38C2276BF82}" srcOrd="0" destOrd="0" presId="urn:microsoft.com/office/officeart/2005/8/layout/radial1"/>
    <dgm:cxn modelId="{345C86D2-C9C7-412B-BE02-4445435A66D0}" type="presOf" srcId="{DEF73824-C893-4963-9504-7E97D2FF5253}" destId="{3EA6B60F-F2E8-4D48-9EC1-CAAE09243949}" srcOrd="1" destOrd="0" presId="urn:microsoft.com/office/officeart/2005/8/layout/radial1"/>
    <dgm:cxn modelId="{C7DD68AE-99B2-4937-A127-D654A2E99784}" srcId="{A7516A72-1FC0-46ED-AAC4-AF0F7063F737}" destId="{DB0D84B1-C440-4746-9EEF-F1ED71D64DD2}" srcOrd="4" destOrd="0" parTransId="{9E510621-404D-46D6-8EB3-39712C8626D4}" sibTransId="{99C4878C-8523-40E3-93C5-8DC55D31DB77}"/>
    <dgm:cxn modelId="{E5DD3C3F-F401-46C8-9D1F-CEE8478EFA81}" srcId="{A7516A72-1FC0-46ED-AAC4-AF0F7063F737}" destId="{2628F477-2289-4CEE-9618-96DDAFCD4291}" srcOrd="7" destOrd="0" parTransId="{DEF73824-C893-4963-9504-7E97D2FF5253}" sibTransId="{6D6ABE48-6FEB-4EAA-849C-585AC08FCF5B}"/>
    <dgm:cxn modelId="{6C1E62F4-5E40-4973-B213-E38BD6757D75}" type="presOf" srcId="{98585C11-761C-43C4-979D-FB1B8BABF102}" destId="{B930024E-8665-4782-9C41-36517A71FCD4}" srcOrd="1" destOrd="0" presId="urn:microsoft.com/office/officeart/2005/8/layout/radial1"/>
    <dgm:cxn modelId="{1229807D-6A59-498C-A707-9DD6CEEA0C8D}" srcId="{A7516A72-1FC0-46ED-AAC4-AF0F7063F737}" destId="{F0FE4372-65E6-4D92-B9B0-D2B79F26FB27}" srcOrd="2" destOrd="0" parTransId="{D94B5549-C2D2-4629-ACDF-33C6E334FA3A}" sibTransId="{E2B06661-55BE-4022-AD18-067DB2509F93}"/>
    <dgm:cxn modelId="{7364321B-3D97-4DBC-B995-08A344926835}" type="presOf" srcId="{7C1FA040-4399-40F0-866F-845B7914F68D}" destId="{69F18085-0AC3-4BAE-9B16-F8478FFBD61E}" srcOrd="0" destOrd="0" presId="urn:microsoft.com/office/officeart/2005/8/layout/radial1"/>
    <dgm:cxn modelId="{68F52884-B106-4C00-BF86-797AAE4EA465}" type="presOf" srcId="{B4A5C031-92B2-438E-80BC-EAA05F5C7CF7}" destId="{EFB9CB5A-411C-454B-96B1-9ED988829CBE}" srcOrd="0" destOrd="0" presId="urn:microsoft.com/office/officeart/2005/8/layout/radial1"/>
    <dgm:cxn modelId="{B3EF9ED6-1166-4827-AD91-9561C6963244}" type="presOf" srcId="{14602118-D739-48CC-85E0-791974AFA995}" destId="{DB594876-4070-4577-942D-67F5CD4D6A19}" srcOrd="0" destOrd="0" presId="urn:microsoft.com/office/officeart/2005/8/layout/radial1"/>
    <dgm:cxn modelId="{9848087D-B26B-42AF-8663-FC6921D319A2}" type="presOf" srcId="{2F72DDEE-62D3-48A5-836A-4C87596541F0}" destId="{7B59CB2C-C82F-41EE-B3CF-ADD4878ADBA6}" srcOrd="0" destOrd="0" presId="urn:microsoft.com/office/officeart/2005/8/layout/radial1"/>
    <dgm:cxn modelId="{7DD98E84-D8F3-42AC-B291-D5058DE6D0DA}" type="presOf" srcId="{DB0D84B1-C440-4746-9EEF-F1ED71D64DD2}" destId="{66DADE40-99AE-41BE-B997-129EED231064}" srcOrd="0" destOrd="0" presId="urn:microsoft.com/office/officeart/2005/8/layout/radial1"/>
    <dgm:cxn modelId="{3FEE541F-B58F-424C-8005-FC0D10270655}" type="presOf" srcId="{9E510621-404D-46D6-8EB3-39712C8626D4}" destId="{0D3BFC0A-5ED4-4CCF-A336-A529B3363890}" srcOrd="1" destOrd="0" presId="urn:microsoft.com/office/officeart/2005/8/layout/radial1"/>
    <dgm:cxn modelId="{4E9E092F-C014-4A10-9EA0-200A24D42A6A}" type="presOf" srcId="{BA28F4A6-AD16-499D-88C1-DBE004B28175}" destId="{B06AADB2-5D51-41DC-8677-C0CC2357518B}" srcOrd="1" destOrd="0" presId="urn:microsoft.com/office/officeart/2005/8/layout/radial1"/>
    <dgm:cxn modelId="{82006B2A-6E24-4407-AAE2-217D0DEF50C9}" type="presOf" srcId="{B4A5C031-92B2-438E-80BC-EAA05F5C7CF7}" destId="{A140118B-14B1-45A7-9CF9-17E4D006F84D}" srcOrd="1" destOrd="0" presId="urn:microsoft.com/office/officeart/2005/8/layout/radial1"/>
    <dgm:cxn modelId="{3138FD81-FCE3-4020-9313-BAD8BCAF820B}" srcId="{A7516A72-1FC0-46ED-AAC4-AF0F7063F737}" destId="{14602118-D739-48CC-85E0-791974AFA995}" srcOrd="5" destOrd="0" parTransId="{3F89048A-3F9F-4897-8631-4599F4976029}" sibTransId="{85730AA2-ED16-41DB-9898-B2A63ECD874D}"/>
    <dgm:cxn modelId="{88DF6424-307E-40F9-B2A5-1A05C6371430}" type="presOf" srcId="{3F89048A-3F9F-4897-8631-4599F4976029}" destId="{32B4D7AF-BD29-4AC4-BA11-37F2AE9561F4}" srcOrd="1" destOrd="0" presId="urn:microsoft.com/office/officeart/2005/8/layout/radial1"/>
    <dgm:cxn modelId="{4E92ACFC-031E-4A3A-AAA3-5B04208B148E}" type="presOf" srcId="{D94B5549-C2D2-4629-ACDF-33C6E334FA3A}" destId="{905DF954-A0B6-4A5F-9CE2-F1C3ADBDD0C1}" srcOrd="1" destOrd="0" presId="urn:microsoft.com/office/officeart/2005/8/layout/radial1"/>
    <dgm:cxn modelId="{D2C48C24-0565-4DBC-B677-6A8A7641C2F3}" type="presOf" srcId="{D981426F-5B7B-4AA5-957A-6E8C9E1A2487}" destId="{9D8B49BD-1DF7-4888-9A7E-2CFD4320CC2B}" srcOrd="0" destOrd="0" presId="urn:microsoft.com/office/officeart/2005/8/layout/radial1"/>
    <dgm:cxn modelId="{0D34E883-3692-424B-81B8-E993C581CDCB}" type="presOf" srcId="{30FB17EC-C15B-4BC5-A5F8-93316C76A7D4}" destId="{0BAA02DA-E841-4BF5-8708-178825E9BEE2}" srcOrd="0" destOrd="0" presId="urn:microsoft.com/office/officeart/2005/8/layout/radial1"/>
    <dgm:cxn modelId="{D6E0DCB7-1776-448A-8C22-EDA81D8F923C}" type="presOf" srcId="{A7516A72-1FC0-46ED-AAC4-AF0F7063F737}" destId="{493DA7EC-5D69-41B7-92E4-ED7ED9F48883}" srcOrd="0" destOrd="0" presId="urn:microsoft.com/office/officeart/2005/8/layout/radial1"/>
    <dgm:cxn modelId="{F384AC90-9CB6-438C-A836-2E0546EABB45}" type="presOf" srcId="{2F72DDEE-62D3-48A5-836A-4C87596541F0}" destId="{280B3AB5-4999-4B99-8BE9-E09C9DF5D482}" srcOrd="1" destOrd="0" presId="urn:microsoft.com/office/officeart/2005/8/layout/radial1"/>
    <dgm:cxn modelId="{9BCDC22E-644E-4340-8191-4392401C2628}" type="presOf" srcId="{DEF73824-C893-4963-9504-7E97D2FF5253}" destId="{FCC14444-D5E7-4E9C-B980-A27CD799E442}" srcOrd="0" destOrd="0" presId="urn:microsoft.com/office/officeart/2005/8/layout/radial1"/>
    <dgm:cxn modelId="{A93C1B4A-74B5-4343-AF12-0C2C4D914189}" srcId="{A7516A72-1FC0-46ED-AAC4-AF0F7063F737}" destId="{898446A3-EA8C-4C13-8A65-DF8A110D0838}" srcOrd="1" destOrd="0" parTransId="{DB9FEC62-86A7-454A-89B3-F32F1907C71A}" sibTransId="{E56928EA-8406-4998-BE40-3F4796EA5932}"/>
    <dgm:cxn modelId="{8B0F4FA0-E8B0-48B1-8694-A7E7029083E7}" type="presOf" srcId="{D22DE764-173E-47DF-9480-722F8D8EA62C}" destId="{48797E66-4F8B-4B79-BCA7-6F88E85CF835}" srcOrd="1" destOrd="0" presId="urn:microsoft.com/office/officeart/2005/8/layout/radial1"/>
    <dgm:cxn modelId="{C71255D9-7DFF-4994-BE58-BC078536480D}" type="presOf" srcId="{0B9D3332-6506-49A3-B313-03598D7AB1F1}" destId="{5EA7C01D-B441-4CF8-BC42-1137E519F776}" srcOrd="1" destOrd="0" presId="urn:microsoft.com/office/officeart/2005/8/layout/radial1"/>
    <dgm:cxn modelId="{43C90B2E-3AB2-45CB-973E-1337AC0F9222}" type="presOf" srcId="{3F89048A-3F9F-4897-8631-4599F4976029}" destId="{4DF1B0BE-A63A-4BEA-9EE5-4168481CC99E}" srcOrd="0" destOrd="0" presId="urn:microsoft.com/office/officeart/2005/8/layout/radial1"/>
    <dgm:cxn modelId="{17C1320C-0C2D-4DB6-A8B2-E35FD39E26B2}" type="presOf" srcId="{D94B5549-C2D2-4629-ACDF-33C6E334FA3A}" destId="{3F0F15B6-4D5A-493B-B03E-AE8141DC3DCE}" srcOrd="0" destOrd="0" presId="urn:microsoft.com/office/officeart/2005/8/layout/radial1"/>
    <dgm:cxn modelId="{D76C8D28-7C1E-4A26-97A3-08B8CF4162D4}" type="presParOf" srcId="{9D8B49BD-1DF7-4888-9A7E-2CFD4320CC2B}" destId="{493DA7EC-5D69-41B7-92E4-ED7ED9F48883}" srcOrd="0" destOrd="0" presId="urn:microsoft.com/office/officeart/2005/8/layout/radial1"/>
    <dgm:cxn modelId="{481BC950-95F1-417A-BCD4-1B1BCDED2486}" type="presParOf" srcId="{9D8B49BD-1DF7-4888-9A7E-2CFD4320CC2B}" destId="{E6ACA703-0949-41B3-BE6B-C702E5C7275F}" srcOrd="1" destOrd="0" presId="urn:microsoft.com/office/officeart/2005/8/layout/radial1"/>
    <dgm:cxn modelId="{DBB16B96-39FA-4ECA-9CDA-4CFB3A543C6D}" type="presParOf" srcId="{E6ACA703-0949-41B3-BE6B-C702E5C7275F}" destId="{B06AADB2-5D51-41DC-8677-C0CC2357518B}" srcOrd="0" destOrd="0" presId="urn:microsoft.com/office/officeart/2005/8/layout/radial1"/>
    <dgm:cxn modelId="{B06B8E55-0DCB-40D3-8AEF-E7A8C31A0C5A}" type="presParOf" srcId="{9D8B49BD-1DF7-4888-9A7E-2CFD4320CC2B}" destId="{AFD0CC05-9AD4-4A51-8739-4FB4CA1E4ACE}" srcOrd="2" destOrd="0" presId="urn:microsoft.com/office/officeart/2005/8/layout/radial1"/>
    <dgm:cxn modelId="{E3D4387A-666B-47F9-BA85-928E4440C9EA}" type="presParOf" srcId="{9D8B49BD-1DF7-4888-9A7E-2CFD4320CC2B}" destId="{34515D96-C834-4D67-AF5C-3B293601CBC3}" srcOrd="3" destOrd="0" presId="urn:microsoft.com/office/officeart/2005/8/layout/radial1"/>
    <dgm:cxn modelId="{1CA50472-009B-45F6-82E8-89E3172CE6C4}" type="presParOf" srcId="{34515D96-C834-4D67-AF5C-3B293601CBC3}" destId="{A8CF68B1-7D91-429E-8C8D-53007288E1DC}" srcOrd="0" destOrd="0" presId="urn:microsoft.com/office/officeart/2005/8/layout/radial1"/>
    <dgm:cxn modelId="{967E1A5F-B915-4C5F-AF65-F3630D9D4B32}" type="presParOf" srcId="{9D8B49BD-1DF7-4888-9A7E-2CFD4320CC2B}" destId="{D9366F31-B7D7-4B43-830C-AD5E2193A794}" srcOrd="4" destOrd="0" presId="urn:microsoft.com/office/officeart/2005/8/layout/radial1"/>
    <dgm:cxn modelId="{E7235E90-1BFE-430B-B5DF-B1C00DEFE6CF}" type="presParOf" srcId="{9D8B49BD-1DF7-4888-9A7E-2CFD4320CC2B}" destId="{3F0F15B6-4D5A-493B-B03E-AE8141DC3DCE}" srcOrd="5" destOrd="0" presId="urn:microsoft.com/office/officeart/2005/8/layout/radial1"/>
    <dgm:cxn modelId="{1C4049EE-7575-4908-82BB-43E98C6186CE}" type="presParOf" srcId="{3F0F15B6-4D5A-493B-B03E-AE8141DC3DCE}" destId="{905DF954-A0B6-4A5F-9CE2-F1C3ADBDD0C1}" srcOrd="0" destOrd="0" presId="urn:microsoft.com/office/officeart/2005/8/layout/radial1"/>
    <dgm:cxn modelId="{6490BCF7-7B35-4F2E-A51F-10A4DAE07E16}" type="presParOf" srcId="{9D8B49BD-1DF7-4888-9A7E-2CFD4320CC2B}" destId="{ECD2D13D-466C-468B-BD6C-1B646D8E5B8E}" srcOrd="6" destOrd="0" presId="urn:microsoft.com/office/officeart/2005/8/layout/radial1"/>
    <dgm:cxn modelId="{E31AC3FC-EA47-4935-8350-EA1EEF4C8D81}" type="presParOf" srcId="{9D8B49BD-1DF7-4888-9A7E-2CFD4320CC2B}" destId="{5CF8296B-0142-429D-A71A-20799D2EB74B}" srcOrd="7" destOrd="0" presId="urn:microsoft.com/office/officeart/2005/8/layout/radial1"/>
    <dgm:cxn modelId="{F92A0C6E-C94D-4F88-AC84-7F0A7857D69E}" type="presParOf" srcId="{5CF8296B-0142-429D-A71A-20799D2EB74B}" destId="{48797E66-4F8B-4B79-BCA7-6F88E85CF835}" srcOrd="0" destOrd="0" presId="urn:microsoft.com/office/officeart/2005/8/layout/radial1"/>
    <dgm:cxn modelId="{04474EB3-F256-40EE-813C-7BEB349A898D}" type="presParOf" srcId="{9D8B49BD-1DF7-4888-9A7E-2CFD4320CC2B}" destId="{7E7DDE23-6C04-407D-AAB6-669511EA704E}" srcOrd="8" destOrd="0" presId="urn:microsoft.com/office/officeart/2005/8/layout/radial1"/>
    <dgm:cxn modelId="{522A7283-2415-45BD-A0F9-6A3F07B38D3F}" type="presParOf" srcId="{9D8B49BD-1DF7-4888-9A7E-2CFD4320CC2B}" destId="{DC281168-2DBC-4CFB-B21D-C54E9628B383}" srcOrd="9" destOrd="0" presId="urn:microsoft.com/office/officeart/2005/8/layout/radial1"/>
    <dgm:cxn modelId="{9C1A7E95-C671-4B71-B479-B2B436840FF1}" type="presParOf" srcId="{DC281168-2DBC-4CFB-B21D-C54E9628B383}" destId="{0D3BFC0A-5ED4-4CCF-A336-A529B3363890}" srcOrd="0" destOrd="0" presId="urn:microsoft.com/office/officeart/2005/8/layout/radial1"/>
    <dgm:cxn modelId="{946EF9A2-4FB0-45DD-8E5A-98D43727FFC3}" type="presParOf" srcId="{9D8B49BD-1DF7-4888-9A7E-2CFD4320CC2B}" destId="{66DADE40-99AE-41BE-B997-129EED231064}" srcOrd="10" destOrd="0" presId="urn:microsoft.com/office/officeart/2005/8/layout/radial1"/>
    <dgm:cxn modelId="{DF8B1A99-E80E-4962-8415-62A0EF0A9CF3}" type="presParOf" srcId="{9D8B49BD-1DF7-4888-9A7E-2CFD4320CC2B}" destId="{4DF1B0BE-A63A-4BEA-9EE5-4168481CC99E}" srcOrd="11" destOrd="0" presId="urn:microsoft.com/office/officeart/2005/8/layout/radial1"/>
    <dgm:cxn modelId="{8BF03B71-AEBA-4938-A5DF-900CBFB4A6EA}" type="presParOf" srcId="{4DF1B0BE-A63A-4BEA-9EE5-4168481CC99E}" destId="{32B4D7AF-BD29-4AC4-BA11-37F2AE9561F4}" srcOrd="0" destOrd="0" presId="urn:microsoft.com/office/officeart/2005/8/layout/radial1"/>
    <dgm:cxn modelId="{44364134-8B46-4FA9-BAF5-26A6F7F5DEF7}" type="presParOf" srcId="{9D8B49BD-1DF7-4888-9A7E-2CFD4320CC2B}" destId="{DB594876-4070-4577-942D-67F5CD4D6A19}" srcOrd="12" destOrd="0" presId="urn:microsoft.com/office/officeart/2005/8/layout/radial1"/>
    <dgm:cxn modelId="{921BBEAC-8ADE-4385-BEC2-86B2B20A2CE1}" type="presParOf" srcId="{9D8B49BD-1DF7-4888-9A7E-2CFD4320CC2B}" destId="{E49C447F-3477-4311-B10B-FFFA7DE7209F}" srcOrd="13" destOrd="0" presId="urn:microsoft.com/office/officeart/2005/8/layout/radial1"/>
    <dgm:cxn modelId="{91DF717C-9896-4992-95D0-B311084FF089}" type="presParOf" srcId="{E49C447F-3477-4311-B10B-FFFA7DE7209F}" destId="{B930024E-8665-4782-9C41-36517A71FCD4}" srcOrd="0" destOrd="0" presId="urn:microsoft.com/office/officeart/2005/8/layout/radial1"/>
    <dgm:cxn modelId="{4B13D75E-AED6-4C66-9C12-D46A00681091}" type="presParOf" srcId="{9D8B49BD-1DF7-4888-9A7E-2CFD4320CC2B}" destId="{69F18085-0AC3-4BAE-9B16-F8478FFBD61E}" srcOrd="14" destOrd="0" presId="urn:microsoft.com/office/officeart/2005/8/layout/radial1"/>
    <dgm:cxn modelId="{ADBA6338-EBA0-4035-B2EA-D6542BA5F0DA}" type="presParOf" srcId="{9D8B49BD-1DF7-4888-9A7E-2CFD4320CC2B}" destId="{FCC14444-D5E7-4E9C-B980-A27CD799E442}" srcOrd="15" destOrd="0" presId="urn:microsoft.com/office/officeart/2005/8/layout/radial1"/>
    <dgm:cxn modelId="{178383EA-B295-4D54-8CBC-02195DF0AE46}" type="presParOf" srcId="{FCC14444-D5E7-4E9C-B980-A27CD799E442}" destId="{3EA6B60F-F2E8-4D48-9EC1-CAAE09243949}" srcOrd="0" destOrd="0" presId="urn:microsoft.com/office/officeart/2005/8/layout/radial1"/>
    <dgm:cxn modelId="{DDBC9E17-010A-47F1-ADCC-9CC86082DE6E}" type="presParOf" srcId="{9D8B49BD-1DF7-4888-9A7E-2CFD4320CC2B}" destId="{49C45DFA-0A15-4DAA-80DC-CAE4ABCC6B43}" srcOrd="16" destOrd="0" presId="urn:microsoft.com/office/officeart/2005/8/layout/radial1"/>
    <dgm:cxn modelId="{9E6C0FDF-23B3-4EAD-99E2-6EA930670710}" type="presParOf" srcId="{9D8B49BD-1DF7-4888-9A7E-2CFD4320CC2B}" destId="{7B59CB2C-C82F-41EE-B3CF-ADD4878ADBA6}" srcOrd="17" destOrd="0" presId="urn:microsoft.com/office/officeart/2005/8/layout/radial1"/>
    <dgm:cxn modelId="{62193A13-A8E1-426A-8E88-7A8F4EAE048E}" type="presParOf" srcId="{7B59CB2C-C82F-41EE-B3CF-ADD4878ADBA6}" destId="{280B3AB5-4999-4B99-8BE9-E09C9DF5D482}" srcOrd="0" destOrd="0" presId="urn:microsoft.com/office/officeart/2005/8/layout/radial1"/>
    <dgm:cxn modelId="{0D436140-6B4C-48CE-A309-1B57B43A858F}" type="presParOf" srcId="{9D8B49BD-1DF7-4888-9A7E-2CFD4320CC2B}" destId="{402B25BB-F397-46B5-AAB7-C38C2276BF82}" srcOrd="18" destOrd="0" presId="urn:microsoft.com/office/officeart/2005/8/layout/radial1"/>
    <dgm:cxn modelId="{F08B883F-C08E-4414-9FFC-D1BD1291797C}" type="presParOf" srcId="{9D8B49BD-1DF7-4888-9A7E-2CFD4320CC2B}" destId="{EFB9CB5A-411C-454B-96B1-9ED988829CBE}" srcOrd="19" destOrd="0" presId="urn:microsoft.com/office/officeart/2005/8/layout/radial1"/>
    <dgm:cxn modelId="{1CE285EA-971B-4D10-8B8D-F0AE00CD2064}" type="presParOf" srcId="{EFB9CB5A-411C-454B-96B1-9ED988829CBE}" destId="{A140118B-14B1-45A7-9CF9-17E4D006F84D}" srcOrd="0" destOrd="0" presId="urn:microsoft.com/office/officeart/2005/8/layout/radial1"/>
    <dgm:cxn modelId="{C5506C87-E133-43FA-AACE-B97F434F7651}" type="presParOf" srcId="{9D8B49BD-1DF7-4888-9A7E-2CFD4320CC2B}" destId="{5AF8D9AC-0C15-4D1B-BCD3-7FFCFF0A581D}" srcOrd="20" destOrd="0" presId="urn:microsoft.com/office/officeart/2005/8/layout/radial1"/>
    <dgm:cxn modelId="{59B8D3B3-FF9E-4556-9D55-C13135C7402B}" type="presParOf" srcId="{9D8B49BD-1DF7-4888-9A7E-2CFD4320CC2B}" destId="{EA581F84-B016-4CDB-99D6-9E3DD9F505FC}" srcOrd="21" destOrd="0" presId="urn:microsoft.com/office/officeart/2005/8/layout/radial1"/>
    <dgm:cxn modelId="{218E7FB8-24ED-4FBA-A758-6D56359E5ABE}" type="presParOf" srcId="{EA581F84-B016-4CDB-99D6-9E3DD9F505FC}" destId="{5EA7C01D-B441-4CF8-BC42-1137E519F776}" srcOrd="0" destOrd="0" presId="urn:microsoft.com/office/officeart/2005/8/layout/radial1"/>
    <dgm:cxn modelId="{8822A257-0904-40EB-81D9-1DDA800A9F03}" type="presParOf" srcId="{9D8B49BD-1DF7-4888-9A7E-2CFD4320CC2B}" destId="{0BAA02DA-E841-4BF5-8708-178825E9BEE2}" srcOrd="22" destOrd="0" presId="urn:microsoft.com/office/officeart/2005/8/layout/radial1"/>
  </dgm:cxnLst>
  <dgm:bg>
    <a:noFill/>
  </dgm:bg>
  <dgm:whole/>
  <dgm:extLst>
    <a:ext uri="http://schemas.microsoft.com/office/drawing/2008/diagram">
      <dsp:dataModelExt xmlns:dsp="http://schemas.microsoft.com/office/drawing/2008/diagram" relId="rId18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420915" y="725701"/>
          <a:ext cx="1208867" cy="407445"/>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4778753" y="685486"/>
          <a:ext cx="1164846" cy="50326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a:t>
          </a: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1328">
          <a:off x="3629750" y="927139"/>
          <a:ext cx="1149022"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3669477" y="132311"/>
          <a:ext cx="1408898" cy="47477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20247553">
          <a:off x="3384727" y="656466"/>
          <a:ext cx="566821"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2506465" y="41060"/>
          <a:ext cx="1050044" cy="44569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8</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C.A.D.</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231713">
          <a:off x="2908851" y="600059"/>
          <a:ext cx="238957"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088B3AC-9EBC-4ABD-B45F-EC2EC96E416C}">
      <dgm:prSet phldrT="[Text]" custT="1"/>
      <dgm:spPr>
        <a:xfrm>
          <a:off x="3463043" y="1078222"/>
          <a:ext cx="1328028" cy="53490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a:t>
          </a:r>
        </a:p>
      </dgm:t>
    </dgm:pt>
    <dgm:pt modelId="{BB888D51-F36E-4A1A-AD65-530BDC7DD332}" type="parTrans" cxnId="{30B1AEB8-2F43-40DB-908B-C80EAFA6DFC6}">
      <dgm:prSet/>
      <dgm:spPr>
        <a:xfrm rot="1241859">
          <a:off x="3420297" y="1115902"/>
          <a:ext cx="229885"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4ABB19A-0DAA-4029-A8CB-922DC7035BE3}" type="sibTrans" cxnId="{30B1AEB8-2F43-40DB-908B-C80EAFA6DFC6}">
      <dgm:prSet/>
      <dgm:spPr/>
      <dgm:t>
        <a:bodyPr/>
        <a:lstStyle/>
        <a:p>
          <a:endParaRPr lang="en-US"/>
        </a:p>
      </dgm:t>
    </dgm:pt>
    <dgm:pt modelId="{1ED1F83B-CD97-4E51-9FD1-4E2191C87DD9}">
      <dgm:prSet phldrT="[Text]" custT="1"/>
      <dgm:spPr>
        <a:xfrm>
          <a:off x="1215754" y="1071444"/>
          <a:ext cx="1397086" cy="548458"/>
        </a:xfrm>
        <a:solidFill>
          <a:srgbClr val="4F81BD">
            <a:lumMod val="40000"/>
            <a:lumOff val="60000"/>
          </a:srgbClr>
        </a:solidFill>
        <a:ln>
          <a:noFill/>
        </a:ln>
        <a:effectLst>
          <a:outerShdw blurRad="40000" dist="23000" dir="5400000" rotWithShape="0">
            <a:srgbClr val="000000">
              <a:alpha val="35000"/>
            </a:srgbClr>
          </a:outerShdw>
        </a:effectLst>
      </dgm:spPr>
      <dgm:t>
        <a:bodyPr lIns="0" tIns="0" rIns="0" bIns="0"/>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15</a:t>
          </a:r>
        </a:p>
        <a:p>
          <a:r>
            <a:rPr lang="en-US" sz="900" baseline="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Soluciones operativas para las oficinas de P.I. </a:t>
          </a:r>
        </a:p>
      </dgm:t>
    </dgm:pt>
    <dgm:pt modelId="{AE014B54-4FFC-4271-A6FD-00D3C5F85913}" type="parTrans" cxnId="{1CDC68B5-EB25-4F4F-9CBB-8563203CE59F}">
      <dgm:prSet/>
      <dgm:spPr>
        <a:xfrm rot="9567707">
          <a:off x="2412810" y="1112442"/>
          <a:ext cx="215118"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B5AF736-2B95-46CE-82BA-DD5FB8A9AAE3}" type="sibTrans" cxnId="{1CDC68B5-EB25-4F4F-9CBB-8563203CE59F}">
      <dgm:prSet/>
      <dgm:spPr/>
      <dgm:t>
        <a:bodyPr/>
        <a:lstStyle/>
        <a:p>
          <a:endParaRPr lang="en-US"/>
        </a:p>
      </dgm:t>
    </dgm:pt>
    <dgm:pt modelId="{A94E6E4E-9ABC-4D91-9437-4DC447452660}">
      <dgm:prSet phldrT="[Text]" custT="1"/>
      <dgm:spPr>
        <a:xfrm>
          <a:off x="3435" y="652563"/>
          <a:ext cx="1387112" cy="55711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Relaciones exteriores</a:t>
          </a:r>
          <a:endParaRPr lang="en-US" sz="900">
            <a:solidFill>
              <a:srgbClr val="C00000"/>
            </a:solidFill>
            <a:latin typeface="Arial" panose="020B0604020202020204" pitchFamily="34" charset="0"/>
            <a:ea typeface="+mn-ea"/>
            <a:cs typeface="Arial" panose="020B0604020202020204" pitchFamily="34" charset="0"/>
          </a:endParaRPr>
        </a:p>
      </dgm:t>
    </dgm:pt>
    <dgm:pt modelId="{E936BDD9-A5D4-4D21-8A3B-A9B992679F1F}" type="parTrans" cxnId="{7E89E051-CD5C-4130-A5D7-C99408C8CCA0}">
      <dgm:prSet/>
      <dgm:spPr>
        <a:xfrm rot="10797497">
          <a:off x="1390546" y="924069"/>
          <a:ext cx="1030370"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B40EA14-C029-4AFD-8980-3E0592BA1C58}" type="sibTrans" cxnId="{7E89E051-CD5C-4130-A5D7-C99408C8CCA0}">
      <dgm:prSet/>
      <dgm:spPr/>
      <dgm:t>
        <a:bodyPr/>
        <a:lstStyle/>
        <a:p>
          <a:endParaRPr lang="en-US"/>
        </a:p>
      </dgm:t>
    </dgm:pt>
    <dgm:pt modelId="{47774346-E18D-4F76-8BAA-0550FDAF03CE}">
      <dgm:prSet phldrT="[Text]" custT="1"/>
      <dgm:spPr>
        <a:xfrm>
          <a:off x="1151397" y="142875"/>
          <a:ext cx="1324789" cy="501793"/>
        </a:xfrm>
        <a:solidFill>
          <a:srgbClr val="4F81BD">
            <a:lumMod val="40000"/>
            <a:lumOff val="60000"/>
          </a:srgbClr>
        </a:solidFill>
        <a:ln>
          <a:noFill/>
        </a:ln>
        <a:effectLst>
          <a:outerShdw blurRad="40000" dist="23000" dir="5400000" rotWithShape="0">
            <a:srgbClr val="000000">
              <a:alpha val="35000"/>
            </a:srgbClr>
          </a:outerShdw>
        </a:effectLst>
      </dgm:spPr>
      <dgm:t>
        <a:bodyPr lIns="0" tIns="0" rIns="0" bIns="0"/>
        <a:lstStyle/>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21</a:t>
          </a:r>
        </a:p>
        <a:p>
          <a:r>
            <a:rPr lang="en-US" sz="900">
              <a:solidFill>
                <a:sysClr val="windowText" lastClr="000000"/>
              </a:solidFill>
              <a:latin typeface="Arial" panose="020B0604020202020204" pitchFamily="34" charset="0"/>
              <a:ea typeface="+mn-ea"/>
              <a:cs typeface="Arial" panose="020B0604020202020204" pitchFamily="34" charset="0"/>
            </a:rPr>
            <a:t>Gestion ejecutiva </a:t>
          </a:r>
        </a:p>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748ED0F-9025-4150-81AF-C1AEFFEE2246}" type="parTrans" cxnId="{7A2F3881-9A85-4A8C-9C4B-5CC9408F5855}">
      <dgm:prSet/>
      <dgm:spPr>
        <a:xfrm rot="12231066">
          <a:off x="2225415" y="669689"/>
          <a:ext cx="452821"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B5C7858-3354-40C7-A720-7E7DAAC6B51B}" type="sibTrans" cxnId="{7A2F3881-9A85-4A8C-9C4B-5CC9408F5855}">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96694" custLinFactNeighborY="10988"/>
      <dgm:spPr>
        <a:prstGeom prst="ellipse">
          <a:avLst/>
        </a:prstGeom>
      </dgm:spPr>
      <dgm:t>
        <a:bodyPr/>
        <a:lstStyle/>
        <a:p>
          <a:endParaRPr lang="en-US"/>
        </a:p>
      </dgm:t>
    </dgm:pt>
    <dgm:pt modelId="{5337AE63-3722-42CC-AF72-36670EB7C5E1}" type="pres">
      <dgm:prSet presAssocID="{7AF774ED-547E-4C04-8670-B0C1D08C5EE9}" presName="Name9" presStyleLbl="parChTrans1D2" presStyleIdx="0" presStyleCnt="7"/>
      <dgm:spPr>
        <a:custGeom>
          <a:avLst/>
          <a:gdLst/>
          <a:ahLst/>
          <a:cxnLst/>
          <a:rect l="0" t="0" r="0" b="0"/>
          <a:pathLst>
            <a:path>
              <a:moveTo>
                <a:pt x="0" y="6169"/>
              </a:moveTo>
              <a:lnTo>
                <a:pt x="238957" y="6169"/>
              </a:lnTo>
            </a:path>
          </a:pathLst>
        </a:custGeom>
      </dgm:spPr>
      <dgm:t>
        <a:bodyPr/>
        <a:lstStyle/>
        <a:p>
          <a:endParaRPr lang="en-US"/>
        </a:p>
      </dgm:t>
    </dgm:pt>
    <dgm:pt modelId="{326412CE-9911-4799-A459-B56F02EB4473}" type="pres">
      <dgm:prSet presAssocID="{7AF774ED-547E-4C04-8670-B0C1D08C5EE9}" presName="connTx" presStyleLbl="parChTrans1D2" presStyleIdx="0" presStyleCnt="7"/>
      <dgm:spPr/>
      <dgm:t>
        <a:bodyPr/>
        <a:lstStyle/>
        <a:p>
          <a:endParaRPr lang="en-US"/>
        </a:p>
      </dgm:t>
    </dgm:pt>
    <dgm:pt modelId="{CED9197C-8322-406B-917C-172FA36E7B76}" type="pres">
      <dgm:prSet presAssocID="{960C5593-E0FF-4AA5-AA0B-E8BDFFBC5E53}" presName="node" presStyleLbl="node1" presStyleIdx="0" presStyleCnt="7" custScaleX="257714" custScaleY="109388" custRadScaleRad="86944" custRadScaleInc="2575">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1" presStyleCnt="7"/>
      <dgm:spPr>
        <a:custGeom>
          <a:avLst/>
          <a:gdLst/>
          <a:ahLst/>
          <a:cxnLst/>
          <a:rect l="0" t="0" r="0" b="0"/>
          <a:pathLst>
            <a:path>
              <a:moveTo>
                <a:pt x="0" y="6169"/>
              </a:moveTo>
              <a:lnTo>
                <a:pt x="566821" y="6169"/>
              </a:lnTo>
            </a:path>
          </a:pathLst>
        </a:custGeom>
      </dgm:spPr>
      <dgm:t>
        <a:bodyPr/>
        <a:lstStyle/>
        <a:p>
          <a:endParaRPr lang="en-US"/>
        </a:p>
      </dgm:t>
    </dgm:pt>
    <dgm:pt modelId="{62A1F741-432F-46BE-AE07-15F0B6D5EA89}" type="pres">
      <dgm:prSet presAssocID="{4693CA52-075F-4BD8-ABEA-5368BE377DDA}" presName="connTx" presStyleLbl="parChTrans1D2" presStyleIdx="1" presStyleCnt="7"/>
      <dgm:spPr/>
      <dgm:t>
        <a:bodyPr/>
        <a:lstStyle/>
        <a:p>
          <a:endParaRPr lang="en-US"/>
        </a:p>
      </dgm:t>
    </dgm:pt>
    <dgm:pt modelId="{035B4C9A-0916-4FCC-A1CF-85DB358A289A}" type="pres">
      <dgm:prSet presAssocID="{4631C2C5-1554-4289-90B0-F2D55D1595B6}" presName="node" presStyleLbl="node1" presStyleIdx="1" presStyleCnt="7" custScaleX="345788" custScaleY="116525" custRadScaleRad="227637" custRadScaleInc="81969">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7"/>
      <dgm:spPr>
        <a:custGeom>
          <a:avLst/>
          <a:gdLst/>
          <a:ahLst/>
          <a:cxnLst/>
          <a:rect l="0" t="0" r="0" b="0"/>
          <a:pathLst>
            <a:path>
              <a:moveTo>
                <a:pt x="0" y="6169"/>
              </a:moveTo>
              <a:lnTo>
                <a:pt x="1149022" y="6169"/>
              </a:lnTo>
            </a:path>
          </a:pathLst>
        </a:custGeom>
      </dgm:spPr>
      <dgm:t>
        <a:bodyPr/>
        <a:lstStyle/>
        <a:p>
          <a:endParaRPr lang="en-US"/>
        </a:p>
      </dgm:t>
    </dgm:pt>
    <dgm:pt modelId="{EA4144E0-C5B2-4FC0-BDB2-550B61DB7DFD}" type="pres">
      <dgm:prSet presAssocID="{0FABC453-0A5C-4CAE-813B-F0494A34E025}" presName="connTx" presStyleLbl="parChTrans1D2" presStyleIdx="2" presStyleCnt="7"/>
      <dgm:spPr/>
      <dgm:t>
        <a:bodyPr/>
        <a:lstStyle/>
        <a:p>
          <a:endParaRPr lang="en-US"/>
        </a:p>
      </dgm:t>
    </dgm:pt>
    <dgm:pt modelId="{0FAF3FA1-8E6C-455E-B189-A468B3F4D8BC}" type="pres">
      <dgm:prSet presAssocID="{C06C39C9-71B8-489C-9C45-3DD37A424E39}" presName="node" presStyleLbl="node1" presStyleIdx="2" presStyleCnt="7" custScaleX="285890" custScaleY="123518" custRadScaleRad="382960" custRadScaleInc="-37171">
        <dgm:presLayoutVars>
          <dgm:bulletEnabled val="1"/>
        </dgm:presLayoutVars>
      </dgm:prSet>
      <dgm:spPr>
        <a:prstGeom prst="ellipse">
          <a:avLst/>
        </a:prstGeom>
      </dgm:spPr>
      <dgm:t>
        <a:bodyPr/>
        <a:lstStyle/>
        <a:p>
          <a:endParaRPr lang="en-US"/>
        </a:p>
      </dgm:t>
    </dgm:pt>
    <dgm:pt modelId="{447FEE0B-EFE1-4BAD-80EF-66C3DD36014A}" type="pres">
      <dgm:prSet presAssocID="{BB888D51-F36E-4A1A-AD65-530BDC7DD332}" presName="Name9" presStyleLbl="parChTrans1D2" presStyleIdx="3" presStyleCnt="7"/>
      <dgm:spPr>
        <a:custGeom>
          <a:avLst/>
          <a:gdLst/>
          <a:ahLst/>
          <a:cxnLst/>
          <a:rect l="0" t="0" r="0" b="0"/>
          <a:pathLst>
            <a:path>
              <a:moveTo>
                <a:pt x="0" y="6169"/>
              </a:moveTo>
              <a:lnTo>
                <a:pt x="229885" y="6169"/>
              </a:lnTo>
            </a:path>
          </a:pathLst>
        </a:custGeom>
      </dgm:spPr>
      <dgm:t>
        <a:bodyPr/>
        <a:lstStyle/>
        <a:p>
          <a:endParaRPr lang="en-US"/>
        </a:p>
      </dgm:t>
    </dgm:pt>
    <dgm:pt modelId="{0AC78349-4F42-425B-8A1A-4393D65C2051}" type="pres">
      <dgm:prSet presAssocID="{BB888D51-F36E-4A1A-AD65-530BDC7DD332}" presName="connTx" presStyleLbl="parChTrans1D2" presStyleIdx="3" presStyleCnt="7"/>
      <dgm:spPr/>
      <dgm:t>
        <a:bodyPr/>
        <a:lstStyle/>
        <a:p>
          <a:endParaRPr lang="en-US"/>
        </a:p>
      </dgm:t>
    </dgm:pt>
    <dgm:pt modelId="{3F1A2A14-E080-4448-96C3-A8E6002E7EE2}" type="pres">
      <dgm:prSet presAssocID="{7088B3AC-9EBC-4ABD-B45F-EC2EC96E416C}" presName="node" presStyleLbl="node1" presStyleIdx="3" presStyleCnt="7" custScaleX="325940" custScaleY="131282" custRadScaleRad="197111" custRadScaleInc="-150821">
        <dgm:presLayoutVars>
          <dgm:bulletEnabled val="1"/>
        </dgm:presLayoutVars>
      </dgm:prSet>
      <dgm:spPr>
        <a:prstGeom prst="ellipse">
          <a:avLst/>
        </a:prstGeom>
      </dgm:spPr>
      <dgm:t>
        <a:bodyPr/>
        <a:lstStyle/>
        <a:p>
          <a:endParaRPr lang="en-US"/>
        </a:p>
      </dgm:t>
    </dgm:pt>
    <dgm:pt modelId="{E64AB50F-BCCF-45E7-A4E4-85ABC4F0C76B}" type="pres">
      <dgm:prSet presAssocID="{AE014B54-4FFC-4271-A6FD-00D3C5F85913}" presName="Name9" presStyleLbl="parChTrans1D2" presStyleIdx="4" presStyleCnt="7"/>
      <dgm:spPr>
        <a:custGeom>
          <a:avLst/>
          <a:gdLst/>
          <a:ahLst/>
          <a:cxnLst/>
          <a:rect l="0" t="0" r="0" b="0"/>
          <a:pathLst>
            <a:path>
              <a:moveTo>
                <a:pt x="0" y="6169"/>
              </a:moveTo>
              <a:lnTo>
                <a:pt x="215118" y="6169"/>
              </a:lnTo>
            </a:path>
          </a:pathLst>
        </a:custGeom>
      </dgm:spPr>
      <dgm:t>
        <a:bodyPr/>
        <a:lstStyle/>
        <a:p>
          <a:endParaRPr lang="en-US"/>
        </a:p>
      </dgm:t>
    </dgm:pt>
    <dgm:pt modelId="{073D7962-B31D-49BD-AB47-082CE21EAD80}" type="pres">
      <dgm:prSet presAssocID="{AE014B54-4FFC-4271-A6FD-00D3C5F85913}" presName="connTx" presStyleLbl="parChTrans1D2" presStyleIdx="4" presStyleCnt="7"/>
      <dgm:spPr/>
      <dgm:t>
        <a:bodyPr/>
        <a:lstStyle/>
        <a:p>
          <a:endParaRPr lang="en-US"/>
        </a:p>
      </dgm:t>
    </dgm:pt>
    <dgm:pt modelId="{97004BB0-64D3-4A92-A1C1-813788F5650F}" type="pres">
      <dgm:prSet presAssocID="{1ED1F83B-CD97-4E51-9FD1-4E2191C87DD9}" presName="node" presStyleLbl="node1" presStyleIdx="4" presStyleCnt="7" custScaleX="342889" custScaleY="151604" custRadScaleRad="210580" custRadScaleInc="132196">
        <dgm:presLayoutVars>
          <dgm:bulletEnabled val="1"/>
        </dgm:presLayoutVars>
      </dgm:prSet>
      <dgm:spPr>
        <a:prstGeom prst="ellipse">
          <a:avLst/>
        </a:prstGeom>
      </dgm:spPr>
      <dgm:t>
        <a:bodyPr/>
        <a:lstStyle/>
        <a:p>
          <a:endParaRPr lang="en-US"/>
        </a:p>
      </dgm:t>
    </dgm:pt>
    <dgm:pt modelId="{D74286FF-AAFA-441A-87F1-98384D680093}" type="pres">
      <dgm:prSet presAssocID="{E936BDD9-A5D4-4D21-8A3B-A9B992679F1F}" presName="Name9" presStyleLbl="parChTrans1D2" presStyleIdx="5" presStyleCnt="7"/>
      <dgm:spPr>
        <a:custGeom>
          <a:avLst/>
          <a:gdLst/>
          <a:ahLst/>
          <a:cxnLst/>
          <a:rect l="0" t="0" r="0" b="0"/>
          <a:pathLst>
            <a:path>
              <a:moveTo>
                <a:pt x="0" y="6169"/>
              </a:moveTo>
              <a:lnTo>
                <a:pt x="1030370" y="6169"/>
              </a:lnTo>
            </a:path>
          </a:pathLst>
        </a:custGeom>
      </dgm:spPr>
      <dgm:t>
        <a:bodyPr/>
        <a:lstStyle/>
        <a:p>
          <a:endParaRPr lang="en-US"/>
        </a:p>
      </dgm:t>
    </dgm:pt>
    <dgm:pt modelId="{4733965B-CB9A-4F14-BD3E-CB16D7A3032B}" type="pres">
      <dgm:prSet presAssocID="{E936BDD9-A5D4-4D21-8A3B-A9B992679F1F}" presName="connTx" presStyleLbl="parChTrans1D2" presStyleIdx="5" presStyleCnt="7"/>
      <dgm:spPr/>
      <dgm:t>
        <a:bodyPr/>
        <a:lstStyle/>
        <a:p>
          <a:endParaRPr lang="en-US"/>
        </a:p>
      </dgm:t>
    </dgm:pt>
    <dgm:pt modelId="{755CFD49-3313-42A9-A1A9-D99CF689F3D7}" type="pres">
      <dgm:prSet presAssocID="{A94E6E4E-9ABC-4D91-9437-4DC447452660}" presName="node" presStyleLbl="node1" presStyleIdx="5" presStyleCnt="7" custScaleX="340441" custScaleY="136733" custRadScaleRad="381694" custRadScaleInc="37002">
        <dgm:presLayoutVars>
          <dgm:bulletEnabled val="1"/>
        </dgm:presLayoutVars>
      </dgm:prSet>
      <dgm:spPr>
        <a:prstGeom prst="ellipse">
          <a:avLst/>
        </a:prstGeom>
      </dgm:spPr>
      <dgm:t>
        <a:bodyPr/>
        <a:lstStyle/>
        <a:p>
          <a:endParaRPr lang="en-US"/>
        </a:p>
      </dgm:t>
    </dgm:pt>
    <dgm:pt modelId="{6674A0B6-35AA-4763-B890-1E2177289BCF}" type="pres">
      <dgm:prSet presAssocID="{D748ED0F-9025-4150-81AF-C1AEFFEE2246}" presName="Name9" presStyleLbl="parChTrans1D2" presStyleIdx="6" presStyleCnt="7"/>
      <dgm:spPr>
        <a:custGeom>
          <a:avLst/>
          <a:gdLst/>
          <a:ahLst/>
          <a:cxnLst/>
          <a:rect l="0" t="0" r="0" b="0"/>
          <a:pathLst>
            <a:path>
              <a:moveTo>
                <a:pt x="0" y="6169"/>
              </a:moveTo>
              <a:lnTo>
                <a:pt x="452821" y="6169"/>
              </a:lnTo>
            </a:path>
          </a:pathLst>
        </a:custGeom>
      </dgm:spPr>
      <dgm:t>
        <a:bodyPr/>
        <a:lstStyle/>
        <a:p>
          <a:endParaRPr lang="en-US"/>
        </a:p>
      </dgm:t>
    </dgm:pt>
    <dgm:pt modelId="{A608A501-C2D4-466C-80D2-8354150DE79D}" type="pres">
      <dgm:prSet presAssocID="{D748ED0F-9025-4150-81AF-C1AEFFEE2246}" presName="connTx" presStyleLbl="parChTrans1D2" presStyleIdx="6" presStyleCnt="7"/>
      <dgm:spPr/>
      <dgm:t>
        <a:bodyPr/>
        <a:lstStyle/>
        <a:p>
          <a:endParaRPr lang="en-US"/>
        </a:p>
      </dgm:t>
    </dgm:pt>
    <dgm:pt modelId="{16FD236C-1C35-46D3-A6E9-C486F23997B9}" type="pres">
      <dgm:prSet presAssocID="{47774346-E18D-4F76-8BAA-0550FDAF03CE}" presName="node" presStyleLbl="node1" presStyleIdx="6" presStyleCnt="7" custScaleX="325145" custScaleY="123156" custRadScaleRad="208873" custRadScaleInc="-78720">
        <dgm:presLayoutVars>
          <dgm:bulletEnabled val="1"/>
        </dgm:presLayoutVars>
      </dgm:prSet>
      <dgm:spPr>
        <a:prstGeom prst="ellipse">
          <a:avLst/>
        </a:prstGeom>
      </dgm:spPr>
      <dgm:t>
        <a:bodyPr/>
        <a:lstStyle/>
        <a:p>
          <a:endParaRPr lang="en-US"/>
        </a:p>
      </dgm:t>
    </dgm:pt>
  </dgm:ptLst>
  <dgm:cxnLst>
    <dgm:cxn modelId="{51CC91B6-C2B0-4533-9C51-827F98E85E99}" type="presOf" srcId="{34E6C8D5-8D4F-4714-8A12-8F4599A8E760}" destId="{08F189A1-AB47-41D1-8058-7A6DA66B3F52}" srcOrd="0" destOrd="0" presId="urn:microsoft.com/office/officeart/2005/8/layout/radial1"/>
    <dgm:cxn modelId="{2ADB368D-E9C2-480E-B813-450B500AE275}" type="presOf" srcId="{AE014B54-4FFC-4271-A6FD-00D3C5F85913}" destId="{E64AB50F-BCCF-45E7-A4E4-85ABC4F0C76B}" srcOrd="0" destOrd="0" presId="urn:microsoft.com/office/officeart/2005/8/layout/radial1"/>
    <dgm:cxn modelId="{70E054AA-0DA4-4DEE-A11E-71195F43CE5C}" type="presOf" srcId="{7AF774ED-547E-4C04-8670-B0C1D08C5EE9}" destId="{326412CE-9911-4799-A459-B56F02EB4473}" srcOrd="1" destOrd="0" presId="urn:microsoft.com/office/officeart/2005/8/layout/radial1"/>
    <dgm:cxn modelId="{529D05ED-97D5-4116-BE13-DE3D93351F7F}" srcId="{DE541715-C648-404D-8124-F14F463E9202}" destId="{960C5593-E0FF-4AA5-AA0B-E8BDFFBC5E53}" srcOrd="0" destOrd="0" parTransId="{7AF774ED-547E-4C04-8670-B0C1D08C5EE9}" sibTransId="{88F12DF7-015F-4F26-950A-DAE493699644}"/>
    <dgm:cxn modelId="{22B7D710-EF92-472C-9593-AC8E07F1F544}" type="presOf" srcId="{4631C2C5-1554-4289-90B0-F2D55D1595B6}" destId="{035B4C9A-0916-4FCC-A1CF-85DB358A289A}"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A60B99CE-9D0B-484A-BA52-A73C20935CD8}" type="presOf" srcId="{C06C39C9-71B8-489C-9C45-3DD37A424E39}" destId="{0FAF3FA1-8E6C-455E-B189-A468B3F4D8BC}" srcOrd="0" destOrd="0" presId="urn:microsoft.com/office/officeart/2005/8/layout/radial1"/>
    <dgm:cxn modelId="{E7197279-4F74-4341-B845-4E6F58E608A5}" type="presOf" srcId="{E936BDD9-A5D4-4D21-8A3B-A9B992679F1F}" destId="{4733965B-CB9A-4F14-BD3E-CB16D7A3032B}" srcOrd="1" destOrd="0" presId="urn:microsoft.com/office/officeart/2005/8/layout/radial1"/>
    <dgm:cxn modelId="{7A2F3881-9A85-4A8C-9C4B-5CC9408F5855}" srcId="{DE541715-C648-404D-8124-F14F463E9202}" destId="{47774346-E18D-4F76-8BAA-0550FDAF03CE}" srcOrd="6" destOrd="0" parTransId="{D748ED0F-9025-4150-81AF-C1AEFFEE2246}" sibTransId="{1B5C7858-3354-40C7-A720-7E7DAAC6B51B}"/>
    <dgm:cxn modelId="{B409E8B6-C4DE-4023-B1DD-196973BA3FC5}" type="presOf" srcId="{DE541715-C648-404D-8124-F14F463E9202}" destId="{062AF917-2F47-4639-8A23-58AD52EC0F32}" srcOrd="0" destOrd="0" presId="urn:microsoft.com/office/officeart/2005/8/layout/radial1"/>
    <dgm:cxn modelId="{E059F084-FC24-421F-946D-9FD57EB99560}" type="presOf" srcId="{7088B3AC-9EBC-4ABD-B45F-EC2EC96E416C}" destId="{3F1A2A14-E080-4448-96C3-A8E6002E7EE2}" srcOrd="0" destOrd="0" presId="urn:microsoft.com/office/officeart/2005/8/layout/radial1"/>
    <dgm:cxn modelId="{F5D2063C-DEBB-4A4C-B172-300CFADD0D6A}" type="presOf" srcId="{0FABC453-0A5C-4CAE-813B-F0494A34E025}" destId="{ADF94B70-0D7F-4A27-8DF9-17BCD27F4A7A}" srcOrd="0" destOrd="0" presId="urn:microsoft.com/office/officeart/2005/8/layout/radial1"/>
    <dgm:cxn modelId="{30B1AEB8-2F43-40DB-908B-C80EAFA6DFC6}" srcId="{DE541715-C648-404D-8124-F14F463E9202}" destId="{7088B3AC-9EBC-4ABD-B45F-EC2EC96E416C}" srcOrd="3" destOrd="0" parTransId="{BB888D51-F36E-4A1A-AD65-530BDC7DD332}" sibTransId="{94ABB19A-0DAA-4029-A8CB-922DC7035BE3}"/>
    <dgm:cxn modelId="{A761F7C0-FCA9-4365-8086-3F8AFAC8DDB9}" type="presOf" srcId="{D748ED0F-9025-4150-81AF-C1AEFFEE2246}" destId="{A608A501-C2D4-466C-80D2-8354150DE79D}" srcOrd="1" destOrd="0" presId="urn:microsoft.com/office/officeart/2005/8/layout/radial1"/>
    <dgm:cxn modelId="{5FDC062E-8660-48BC-99B7-527AE6677B06}" type="presOf" srcId="{D748ED0F-9025-4150-81AF-C1AEFFEE2246}" destId="{6674A0B6-35AA-4763-B890-1E2177289BCF}" srcOrd="0" destOrd="0" presId="urn:microsoft.com/office/officeart/2005/8/layout/radial1"/>
    <dgm:cxn modelId="{3A41A50C-E431-4215-BC5B-5BD24A190746}" type="presOf" srcId="{0FABC453-0A5C-4CAE-813B-F0494A34E025}" destId="{EA4144E0-C5B2-4FC0-BDB2-550B61DB7DFD}" srcOrd="1" destOrd="0" presId="urn:microsoft.com/office/officeart/2005/8/layout/radial1"/>
    <dgm:cxn modelId="{7E89E051-CD5C-4130-A5D7-C99408C8CCA0}" srcId="{DE541715-C648-404D-8124-F14F463E9202}" destId="{A94E6E4E-9ABC-4D91-9437-4DC447452660}" srcOrd="5" destOrd="0" parTransId="{E936BDD9-A5D4-4D21-8A3B-A9B992679F1F}" sibTransId="{8B40EA14-C029-4AFD-8980-3E0592BA1C58}"/>
    <dgm:cxn modelId="{248698A6-055B-40E3-B808-D624056EF2B0}" srcId="{DE541715-C648-404D-8124-F14F463E9202}" destId="{C06C39C9-71B8-489C-9C45-3DD37A424E39}" srcOrd="2" destOrd="0" parTransId="{0FABC453-0A5C-4CAE-813B-F0494A34E025}" sibTransId="{DCD34884-F96E-475A-9010-14DE66A403A6}"/>
    <dgm:cxn modelId="{1CDC68B5-EB25-4F4F-9CBB-8563203CE59F}" srcId="{DE541715-C648-404D-8124-F14F463E9202}" destId="{1ED1F83B-CD97-4E51-9FD1-4E2191C87DD9}" srcOrd="4" destOrd="0" parTransId="{AE014B54-4FFC-4271-A6FD-00D3C5F85913}" sibTransId="{CB5AF736-2B95-46CE-82BA-DD5FB8A9AAE3}"/>
    <dgm:cxn modelId="{ED122E1C-FF51-436B-B220-6EFE6E30CCD2}" type="presOf" srcId="{4693CA52-075F-4BD8-ABEA-5368BE377DDA}" destId="{62A1F741-432F-46BE-AE07-15F0B6D5EA89}" srcOrd="1" destOrd="0" presId="urn:microsoft.com/office/officeart/2005/8/layout/radial1"/>
    <dgm:cxn modelId="{AE690EB8-AA9F-4EB0-91F0-51E93CFF640D}" type="presOf" srcId="{BB888D51-F36E-4A1A-AD65-530BDC7DD332}" destId="{0AC78349-4F42-425B-8A1A-4393D65C2051}" srcOrd="1" destOrd="0" presId="urn:microsoft.com/office/officeart/2005/8/layout/radial1"/>
    <dgm:cxn modelId="{1CE4F6CE-3BE1-4F16-9053-BF43F765C8A5}" type="presOf" srcId="{A94E6E4E-9ABC-4D91-9437-4DC447452660}" destId="{755CFD49-3313-42A9-A1A9-D99CF689F3D7}"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C6D5C9FA-61B2-4C8C-B497-1C117BA81617}" type="presOf" srcId="{7AF774ED-547E-4C04-8670-B0C1D08C5EE9}" destId="{5337AE63-3722-42CC-AF72-36670EB7C5E1}" srcOrd="0" destOrd="0" presId="urn:microsoft.com/office/officeart/2005/8/layout/radial1"/>
    <dgm:cxn modelId="{BADEEC29-9903-4DA2-AE11-7A06D8D2AF97}" type="presOf" srcId="{960C5593-E0FF-4AA5-AA0B-E8BDFFBC5E53}" destId="{CED9197C-8322-406B-917C-172FA36E7B76}" srcOrd="0" destOrd="0" presId="urn:microsoft.com/office/officeart/2005/8/layout/radial1"/>
    <dgm:cxn modelId="{BF65F824-D4F4-4A84-83B4-6B1944B62AAD}" srcId="{DE541715-C648-404D-8124-F14F463E9202}" destId="{4631C2C5-1554-4289-90B0-F2D55D1595B6}" srcOrd="1" destOrd="0" parTransId="{4693CA52-075F-4BD8-ABEA-5368BE377DDA}" sibTransId="{9B3CB24D-A47A-4081-B256-B868D89D5387}"/>
    <dgm:cxn modelId="{02C53BE0-17E3-4126-A66C-AB212256358F}" type="presOf" srcId="{47774346-E18D-4F76-8BAA-0550FDAF03CE}" destId="{16FD236C-1C35-46D3-A6E9-C486F23997B9}" srcOrd="0" destOrd="0" presId="urn:microsoft.com/office/officeart/2005/8/layout/radial1"/>
    <dgm:cxn modelId="{495F07A1-3C37-40DD-9F62-F4A96F7E2AD2}" type="presOf" srcId="{BB888D51-F36E-4A1A-AD65-530BDC7DD332}" destId="{447FEE0B-EFE1-4BAD-80EF-66C3DD36014A}" srcOrd="0" destOrd="0" presId="urn:microsoft.com/office/officeart/2005/8/layout/radial1"/>
    <dgm:cxn modelId="{81C14915-446C-472C-8975-D22CF7B4D798}" type="presOf" srcId="{1ED1F83B-CD97-4E51-9FD1-4E2191C87DD9}" destId="{97004BB0-64D3-4A92-A1C1-813788F5650F}" srcOrd="0" destOrd="0" presId="urn:microsoft.com/office/officeart/2005/8/layout/radial1"/>
    <dgm:cxn modelId="{4847E5F9-95D6-4116-9649-CC7FD4A9C970}" type="presOf" srcId="{AE014B54-4FFC-4271-A6FD-00D3C5F85913}" destId="{073D7962-B31D-49BD-AB47-082CE21EAD80}" srcOrd="1" destOrd="0" presId="urn:microsoft.com/office/officeart/2005/8/layout/radial1"/>
    <dgm:cxn modelId="{9E3E459E-0F8D-4D7D-9EAB-4C6F89FADF11}" type="presOf" srcId="{E936BDD9-A5D4-4D21-8A3B-A9B992679F1F}" destId="{D74286FF-AAFA-441A-87F1-98384D680093}" srcOrd="0" destOrd="0" presId="urn:microsoft.com/office/officeart/2005/8/layout/radial1"/>
    <dgm:cxn modelId="{F43F979F-A929-4431-A1CD-25426E8E92D9}" type="presOf" srcId="{4693CA52-075F-4BD8-ABEA-5368BE377DDA}" destId="{4AC11394-3179-4EC5-A97F-D1A1B521CE2F}" srcOrd="0" destOrd="0" presId="urn:microsoft.com/office/officeart/2005/8/layout/radial1"/>
    <dgm:cxn modelId="{5B38E90E-DE44-420D-8CC0-7ADF35C99F64}" type="presParOf" srcId="{08F189A1-AB47-41D1-8058-7A6DA66B3F52}" destId="{062AF917-2F47-4639-8A23-58AD52EC0F32}" srcOrd="0" destOrd="0" presId="urn:microsoft.com/office/officeart/2005/8/layout/radial1"/>
    <dgm:cxn modelId="{46CD1C93-B66D-4565-ADEF-631E33655D39}" type="presParOf" srcId="{08F189A1-AB47-41D1-8058-7A6DA66B3F52}" destId="{5337AE63-3722-42CC-AF72-36670EB7C5E1}" srcOrd="1" destOrd="0" presId="urn:microsoft.com/office/officeart/2005/8/layout/radial1"/>
    <dgm:cxn modelId="{FE6D2230-D65B-4CFC-B353-0DE7B14BB837}" type="presParOf" srcId="{5337AE63-3722-42CC-AF72-36670EB7C5E1}" destId="{326412CE-9911-4799-A459-B56F02EB4473}" srcOrd="0" destOrd="0" presId="urn:microsoft.com/office/officeart/2005/8/layout/radial1"/>
    <dgm:cxn modelId="{884EF0D6-E603-4B36-A414-26E37695075E}" type="presParOf" srcId="{08F189A1-AB47-41D1-8058-7A6DA66B3F52}" destId="{CED9197C-8322-406B-917C-172FA36E7B76}" srcOrd="2" destOrd="0" presId="urn:microsoft.com/office/officeart/2005/8/layout/radial1"/>
    <dgm:cxn modelId="{5F6BF74D-FCD4-481B-BF98-EF064CD799D8}" type="presParOf" srcId="{08F189A1-AB47-41D1-8058-7A6DA66B3F52}" destId="{4AC11394-3179-4EC5-A97F-D1A1B521CE2F}" srcOrd="3" destOrd="0" presId="urn:microsoft.com/office/officeart/2005/8/layout/radial1"/>
    <dgm:cxn modelId="{B5DBE29B-6940-4B8B-BF12-8CCB8F38989D}" type="presParOf" srcId="{4AC11394-3179-4EC5-A97F-D1A1B521CE2F}" destId="{62A1F741-432F-46BE-AE07-15F0B6D5EA89}" srcOrd="0" destOrd="0" presId="urn:microsoft.com/office/officeart/2005/8/layout/radial1"/>
    <dgm:cxn modelId="{B8909E16-02DC-427A-A613-87AFA553F824}" type="presParOf" srcId="{08F189A1-AB47-41D1-8058-7A6DA66B3F52}" destId="{035B4C9A-0916-4FCC-A1CF-85DB358A289A}" srcOrd="4" destOrd="0" presId="urn:microsoft.com/office/officeart/2005/8/layout/radial1"/>
    <dgm:cxn modelId="{342E8CC9-CC04-40FF-B34C-BDFB3D97844F}" type="presParOf" srcId="{08F189A1-AB47-41D1-8058-7A6DA66B3F52}" destId="{ADF94B70-0D7F-4A27-8DF9-17BCD27F4A7A}" srcOrd="5" destOrd="0" presId="urn:microsoft.com/office/officeart/2005/8/layout/radial1"/>
    <dgm:cxn modelId="{56A16EFB-E394-44A8-AF17-652E69ECA4EE}" type="presParOf" srcId="{ADF94B70-0D7F-4A27-8DF9-17BCD27F4A7A}" destId="{EA4144E0-C5B2-4FC0-BDB2-550B61DB7DFD}" srcOrd="0" destOrd="0" presId="urn:microsoft.com/office/officeart/2005/8/layout/radial1"/>
    <dgm:cxn modelId="{E195C48F-A9E9-41ED-9B37-1779550A0DFC}" type="presParOf" srcId="{08F189A1-AB47-41D1-8058-7A6DA66B3F52}" destId="{0FAF3FA1-8E6C-455E-B189-A468B3F4D8BC}" srcOrd="6" destOrd="0" presId="urn:microsoft.com/office/officeart/2005/8/layout/radial1"/>
    <dgm:cxn modelId="{7223A4DC-1625-4D87-94CC-BF86B80DF4B6}" type="presParOf" srcId="{08F189A1-AB47-41D1-8058-7A6DA66B3F52}" destId="{447FEE0B-EFE1-4BAD-80EF-66C3DD36014A}" srcOrd="7" destOrd="0" presId="urn:microsoft.com/office/officeart/2005/8/layout/radial1"/>
    <dgm:cxn modelId="{F3865743-F24B-46EB-B5D9-9E775EE02CF9}" type="presParOf" srcId="{447FEE0B-EFE1-4BAD-80EF-66C3DD36014A}" destId="{0AC78349-4F42-425B-8A1A-4393D65C2051}" srcOrd="0" destOrd="0" presId="urn:microsoft.com/office/officeart/2005/8/layout/radial1"/>
    <dgm:cxn modelId="{9BD59187-A17F-4B5A-AEB5-7936129F458C}" type="presParOf" srcId="{08F189A1-AB47-41D1-8058-7A6DA66B3F52}" destId="{3F1A2A14-E080-4448-96C3-A8E6002E7EE2}" srcOrd="8" destOrd="0" presId="urn:microsoft.com/office/officeart/2005/8/layout/radial1"/>
    <dgm:cxn modelId="{805CC33F-4212-4C8F-92BE-1802E044958F}" type="presParOf" srcId="{08F189A1-AB47-41D1-8058-7A6DA66B3F52}" destId="{E64AB50F-BCCF-45E7-A4E4-85ABC4F0C76B}" srcOrd="9" destOrd="0" presId="urn:microsoft.com/office/officeart/2005/8/layout/radial1"/>
    <dgm:cxn modelId="{5CC271E5-2FB2-43CF-8AF8-87A136FD3723}" type="presParOf" srcId="{E64AB50F-BCCF-45E7-A4E4-85ABC4F0C76B}" destId="{073D7962-B31D-49BD-AB47-082CE21EAD80}" srcOrd="0" destOrd="0" presId="urn:microsoft.com/office/officeart/2005/8/layout/radial1"/>
    <dgm:cxn modelId="{2CA2CF10-506A-4E07-9123-F57731286BBB}" type="presParOf" srcId="{08F189A1-AB47-41D1-8058-7A6DA66B3F52}" destId="{97004BB0-64D3-4A92-A1C1-813788F5650F}" srcOrd="10" destOrd="0" presId="urn:microsoft.com/office/officeart/2005/8/layout/radial1"/>
    <dgm:cxn modelId="{83D17706-F3ED-4576-92B9-738200B82D7B}" type="presParOf" srcId="{08F189A1-AB47-41D1-8058-7A6DA66B3F52}" destId="{D74286FF-AAFA-441A-87F1-98384D680093}" srcOrd="11" destOrd="0" presId="urn:microsoft.com/office/officeart/2005/8/layout/radial1"/>
    <dgm:cxn modelId="{53FE2B42-1EEC-47D3-8460-3A86F7035502}" type="presParOf" srcId="{D74286FF-AAFA-441A-87F1-98384D680093}" destId="{4733965B-CB9A-4F14-BD3E-CB16D7A3032B}" srcOrd="0" destOrd="0" presId="urn:microsoft.com/office/officeart/2005/8/layout/radial1"/>
    <dgm:cxn modelId="{789DD0F5-F5A2-4372-969C-5CF5AD71267B}" type="presParOf" srcId="{08F189A1-AB47-41D1-8058-7A6DA66B3F52}" destId="{755CFD49-3313-42A9-A1A9-D99CF689F3D7}" srcOrd="12" destOrd="0" presId="urn:microsoft.com/office/officeart/2005/8/layout/radial1"/>
    <dgm:cxn modelId="{22581E5D-BC8E-4832-B451-5B518F682916}" type="presParOf" srcId="{08F189A1-AB47-41D1-8058-7A6DA66B3F52}" destId="{6674A0B6-35AA-4763-B890-1E2177289BCF}" srcOrd="13" destOrd="0" presId="urn:microsoft.com/office/officeart/2005/8/layout/radial1"/>
    <dgm:cxn modelId="{0B204A3F-3A26-4E25-B5E7-BA94CF23D879}" type="presParOf" srcId="{6674A0B6-35AA-4763-B890-1E2177289BCF}" destId="{A608A501-C2D4-466C-80D2-8354150DE79D}" srcOrd="0" destOrd="0" presId="urn:microsoft.com/office/officeart/2005/8/layout/radial1"/>
    <dgm:cxn modelId="{0C48E727-FE9D-4377-9E58-F6971C307832}" type="presParOf" srcId="{08F189A1-AB47-41D1-8058-7A6DA66B3F52}" destId="{16FD236C-1C35-46D3-A6E9-C486F23997B9}" srcOrd="14" destOrd="0" presId="urn:microsoft.com/office/officeart/2005/8/layout/radial1"/>
  </dgm:cxnLst>
  <dgm:bg/>
  <dgm:whole/>
  <dgm:extLst>
    <a:ext uri="http://schemas.microsoft.com/office/drawing/2008/diagram">
      <dsp:dataModelExt xmlns:dsp="http://schemas.microsoft.com/office/drawing/2008/diagram" relId="rId48" minVer="http://schemas.openxmlformats.org/drawingml/2006/diagram"/>
    </a:ext>
    <a:ext uri="{C62137D5-CB1D-491B-B009-E17868A290BF}">
      <dgm14:recolorImg xmlns:dgm14="http://schemas.microsoft.com/office/drawing/2010/diagram" val="1"/>
    </a:ext>
  </dgm:extLst>
</dgm:dataModel>
</file>

<file path=word/diagrams/data4.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pPr algn="ctr"/>
          <a:endParaRPr lang="en-US"/>
        </a:p>
      </dgm:t>
    </dgm:pt>
    <dgm:pt modelId="{DE541715-C648-404D-8124-F14F463E9202}">
      <dgm:prSet phldrT="[Text]" custT="1"/>
      <dgm:spPr>
        <a:xfrm>
          <a:off x="2437613" y="1408990"/>
          <a:ext cx="1068372" cy="930070"/>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4</a:t>
          </a:r>
        </a:p>
      </dgm:t>
    </dgm:pt>
    <dgm:pt modelId="{7CA7849B-681D-4C0D-A708-F47E97871BB2}" type="sibTrans" cxnId="{22CFBE58-87EC-4B70-B1CC-D1D1DB4968C7}">
      <dgm:prSet/>
      <dgm:spPr/>
      <dgm:t>
        <a:bodyPr/>
        <a:lstStyle/>
        <a:p>
          <a:pPr algn="ctr"/>
          <a:endParaRPr lang="en-US"/>
        </a:p>
      </dgm:t>
    </dgm:pt>
    <dgm:pt modelId="{D7DB3476-9C56-4274-B046-F742EA8694F1}" type="parTrans" cxnId="{22CFBE58-87EC-4B70-B1CC-D1D1DB4968C7}">
      <dgm:prSet/>
      <dgm:spPr/>
      <dgm:t>
        <a:bodyPr/>
        <a:lstStyle/>
        <a:p>
          <a:pPr algn="ctr"/>
          <a:endParaRPr lang="en-US"/>
        </a:p>
      </dgm:t>
    </dgm:pt>
    <dgm:pt modelId="{A0A859C5-79E5-4C97-AF72-54A6D166EEA1}" type="sibTrans" cxnId="{DA740704-6E02-4402-8325-D0302449434E}">
      <dgm:prSet/>
      <dgm:spPr/>
      <dgm:t>
        <a:bodyPr/>
        <a:lstStyle/>
        <a:p>
          <a:pPr algn="ctr"/>
          <a:endParaRPr lang="en-US"/>
        </a:p>
      </dgm:t>
    </dgm:pt>
    <dgm:pt modelId="{4492527F-B2BC-4423-9ACC-2816666249A0}" type="parTrans" cxnId="{DA740704-6E02-4402-8325-D0302449434E}">
      <dgm:prSet/>
      <dgm:spPr/>
      <dgm:t>
        <a:bodyPr/>
        <a:lstStyle/>
        <a:p>
          <a:pPr algn="ctr"/>
          <a:endParaRPr lang="en-US"/>
        </a:p>
      </dgm:t>
    </dgm:pt>
    <dgm:pt modelId="{45870664-60BD-4390-952C-AB2EEF07F4DD}">
      <dgm:prSet phldrT="[Text]" custT="1"/>
      <dgm:spPr>
        <a:xfrm>
          <a:off x="2506764" y="14129"/>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Derecho de patentes</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CB6E0A53-B07E-4B2B-89E7-D1FB86B27272}" type="parTrans" cxnId="{C80DF295-9AAD-4C0B-B8AF-3EDA956AFFF7}">
      <dgm:prSet/>
      <dgm:spPr>
        <a:xfrm rot="16200000">
          <a:off x="2739404" y="1162511"/>
          <a:ext cx="464790" cy="28166"/>
        </a:xfrm>
        <a:noFill/>
        <a:ln w="9525" cap="flat" cmpd="sng" algn="ctr">
          <a:solidFill>
            <a:srgbClr val="4F81BD">
              <a:shade val="60000"/>
              <a:hueOff val="0"/>
              <a:satOff val="0"/>
              <a:lumOff val="0"/>
              <a:alphaOff val="0"/>
            </a:srgbClr>
          </a:solidFill>
          <a:prstDash val="solid"/>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E74149DA-41AA-4BE0-B8E7-7965A33DC1B0}" type="sibTrans" cxnId="{C80DF295-9AAD-4C0B-B8AF-3EDA956AFFF7}">
      <dgm:prSet/>
      <dgm:spPr/>
      <dgm:t>
        <a:bodyPr/>
        <a:lstStyle/>
        <a:p>
          <a:pPr algn="ctr"/>
          <a:endParaRPr lang="en-US"/>
        </a:p>
      </dgm:t>
    </dgm:pt>
    <dgm:pt modelId="{3BD68AEB-F6E8-461F-8590-A67172B04D7C}">
      <dgm:prSet phldrT="[Text]" custT="1"/>
      <dgm:spPr>
        <a:xfrm>
          <a:off x="3597311" y="539308"/>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D.A.D.C.</a:t>
          </a:r>
        </a:p>
      </dgm:t>
    </dgm:pt>
    <dgm:pt modelId="{31D2845E-7763-4EAF-A91C-F687BE68CFA9}" type="parTrans" cxnId="{8219E8C0-11D9-4ECE-9E9E-751EEF5551F9}">
      <dgm:prSet/>
      <dgm:spPr>
        <a:xfrm rot="19285714">
          <a:off x="3319225" y="1413012"/>
          <a:ext cx="426012" cy="28166"/>
        </a:xfrm>
      </dgm:spPr>
      <dgm:t>
        <a:bodyPr/>
        <a:lstStyle/>
        <a:p>
          <a:pPr algn="ctr"/>
          <a:endParaRPr lang="en-US"/>
        </a:p>
      </dgm:t>
    </dgm:pt>
    <dgm:pt modelId="{93E661BA-0293-4FF1-B933-6256D0B2E24D}" type="sibTrans" cxnId="{8219E8C0-11D9-4ECE-9E9E-751EEF5551F9}">
      <dgm:prSet/>
      <dgm:spPr/>
      <dgm:t>
        <a:bodyPr/>
        <a:lstStyle/>
        <a:p>
          <a:pPr algn="ctr"/>
          <a:endParaRPr lang="en-US"/>
        </a:p>
      </dgm:t>
    </dgm:pt>
    <dgm:pt modelId="{CDE3C2D2-2338-40D3-9864-33A39CCB5CF4}">
      <dgm:prSet phldrT="[Text]" custT="1"/>
      <dgm:spPr>
        <a:xfrm>
          <a:off x="3866653" y="171937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7</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Centro de Arbitraje y Mediación</a:t>
          </a:r>
        </a:p>
      </dgm:t>
    </dgm:pt>
    <dgm:pt modelId="{00297025-FE49-44ED-8151-9AC4B35C0885}" type="parTrans" cxnId="{60C424C7-CC54-4027-B080-4425E7B5050C}">
      <dgm:prSet/>
      <dgm:spPr>
        <a:xfrm rot="771429">
          <a:off x="3483509" y="2022364"/>
          <a:ext cx="399815" cy="28166"/>
        </a:xfrm>
      </dgm:spPr>
      <dgm:t>
        <a:bodyPr/>
        <a:lstStyle/>
        <a:p>
          <a:pPr algn="ctr"/>
          <a:endParaRPr lang="en-US"/>
        </a:p>
      </dgm:t>
    </dgm:pt>
    <dgm:pt modelId="{59703DE8-812C-459A-A996-B99B877A6FDC}" type="sibTrans" cxnId="{60C424C7-CC54-4027-B080-4425E7B5050C}">
      <dgm:prSet/>
      <dgm:spPr/>
      <dgm:t>
        <a:bodyPr/>
        <a:lstStyle/>
        <a:p>
          <a:pPr algn="ctr"/>
          <a:endParaRPr lang="en-US"/>
        </a:p>
      </dgm:t>
    </dgm:pt>
    <dgm:pt modelId="{115F3686-56C2-4580-9E8B-FA213D3DA5F6}">
      <dgm:prSet phldrT="[Text]" custT="1"/>
      <dgm:spPr>
        <a:xfrm>
          <a:off x="3111972" y="266571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8</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C.A.D.</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740ED97-4265-4052-8B1C-8A14B3879E4E}" type="parTrans" cxnId="{FF862692-6FE1-4C1B-8C29-4A220C00E54C}">
      <dgm:prSet/>
      <dgm:spPr>
        <a:xfrm rot="3857143">
          <a:off x="3049877" y="2493250"/>
          <a:ext cx="453814" cy="28166"/>
        </a:xfrm>
        <a:noFill/>
        <a:ln w="9525" cap="flat" cmpd="sng" algn="ctr">
          <a:solidFill>
            <a:srgbClr val="4F81BD">
              <a:shade val="60000"/>
              <a:hueOff val="0"/>
              <a:satOff val="0"/>
              <a:lumOff val="0"/>
              <a:alphaOff val="0"/>
            </a:srgbClr>
          </a:solidFill>
          <a:prstDash val="solid"/>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E9E35A43-605C-4C5A-B200-2A3B564FFAF5}" type="sibTrans" cxnId="{FF862692-6FE1-4C1B-8C29-4A220C00E54C}">
      <dgm:prSet/>
      <dgm:spPr/>
      <dgm:t>
        <a:bodyPr/>
        <a:lstStyle/>
        <a:p>
          <a:pPr algn="ctr"/>
          <a:endParaRPr lang="en-US"/>
        </a:p>
      </dgm:t>
    </dgm:pt>
    <dgm:pt modelId="{4E654411-73AD-4DF6-AD3B-E400E531439B}">
      <dgm:prSet phldrT="[Text]" custT="1"/>
      <dgm:spPr>
        <a:xfrm>
          <a:off x="1901557" y="266571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 </a:t>
          </a:r>
        </a:p>
      </dgm:t>
    </dgm:pt>
    <dgm:pt modelId="{7DB15392-F5F7-49E2-8294-51A0B1B620AB}" type="parTrans" cxnId="{A12C036A-14E7-451C-80B8-9B5BE762C5B4}">
      <dgm:prSet/>
      <dgm:spPr>
        <a:xfrm rot="6942857">
          <a:off x="2439907" y="2493250"/>
          <a:ext cx="453814" cy="28166"/>
        </a:xfrm>
      </dgm:spPr>
      <dgm:t>
        <a:bodyPr/>
        <a:lstStyle/>
        <a:p>
          <a:pPr algn="ctr"/>
          <a:endParaRPr lang="en-US"/>
        </a:p>
      </dgm:t>
    </dgm:pt>
    <dgm:pt modelId="{2B759E48-7284-455B-851A-DFF88118946F}" type="sibTrans" cxnId="{A12C036A-14E7-451C-80B8-9B5BE762C5B4}">
      <dgm:prSet/>
      <dgm:spPr/>
      <dgm:t>
        <a:bodyPr/>
        <a:lstStyle/>
        <a:p>
          <a:pPr algn="ctr"/>
          <a:endParaRPr lang="en-US"/>
        </a:p>
      </dgm:t>
    </dgm:pt>
    <dgm:pt modelId="{C45608E5-C683-4F82-AC41-6429A24EED40}">
      <dgm:prSet phldrT="[Text]" custT="1"/>
      <dgm:spPr>
        <a:xfrm>
          <a:off x="1146875" y="171937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Países T/D</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9BD11F2-6636-4646-B3CF-323669445FAB}" type="parTrans" cxnId="{E0594360-5C4F-4C47-B047-3E60D22AD80D}">
      <dgm:prSet/>
      <dgm:spPr>
        <a:xfrm rot="10028571">
          <a:off x="2060274" y="2022364"/>
          <a:ext cx="399815" cy="28166"/>
        </a:xfrm>
      </dgm:spPr>
      <dgm:t>
        <a:bodyPr/>
        <a:lstStyle/>
        <a:p>
          <a:pPr algn="ctr"/>
          <a:endParaRPr lang="en-US"/>
        </a:p>
      </dgm:t>
    </dgm:pt>
    <dgm:pt modelId="{2C17D791-E651-44AA-801E-D486EB358D8A}" type="sibTrans" cxnId="{E0594360-5C4F-4C47-B047-3E60D22AD80D}">
      <dgm:prSet/>
      <dgm:spPr/>
      <dgm:t>
        <a:bodyPr/>
        <a:lstStyle/>
        <a:p>
          <a:pPr algn="ctr"/>
          <a:endParaRPr lang="en-US"/>
        </a:p>
      </dgm:t>
    </dgm:pt>
    <dgm:pt modelId="{B343370C-8FB3-481F-B4DA-6C9C41B047BC}">
      <dgm:prSet phldrT="[Text]" custT="1"/>
      <dgm:spPr>
        <a:xfrm>
          <a:off x="1416218" y="539308"/>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14</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Acceso a la Info. y los conocimientos</a:t>
          </a:r>
        </a:p>
      </dgm:t>
    </dgm:pt>
    <dgm:pt modelId="{7A68E894-33D2-492F-8570-E4DDFD311B12}" type="parTrans" cxnId="{CDEFB2A3-4EA9-489B-9721-56871D483AB2}">
      <dgm:prSet/>
      <dgm:spPr>
        <a:xfrm rot="13114286">
          <a:off x="2198361" y="1413012"/>
          <a:ext cx="426012" cy="28166"/>
        </a:xfrm>
      </dgm:spPr>
      <dgm:t>
        <a:bodyPr/>
        <a:lstStyle/>
        <a:p>
          <a:pPr algn="ctr"/>
          <a:endParaRPr lang="en-US"/>
        </a:p>
      </dgm:t>
    </dgm:pt>
    <dgm:pt modelId="{7DC850A5-77C3-4602-A065-D0A45018AC8D}" type="sibTrans" cxnId="{CDEFB2A3-4EA9-489B-9721-56871D483AB2}">
      <dgm:prSet/>
      <dgm:spPr/>
      <dgm:t>
        <a:bodyPr/>
        <a:lstStyle/>
        <a:p>
          <a:pPr algn="ctr"/>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27926"/>
      <dgm:spPr>
        <a:prstGeom prst="ellipse">
          <a:avLst/>
        </a:prstGeom>
      </dgm:spPr>
      <dgm:t>
        <a:bodyPr/>
        <a:lstStyle/>
        <a:p>
          <a:endParaRPr lang="en-US"/>
        </a:p>
      </dgm:t>
    </dgm:pt>
    <dgm:pt modelId="{27C08CD6-CB73-4E0E-BA37-473C15E9C926}" type="pres">
      <dgm:prSet presAssocID="{CB6E0A53-B07E-4B2B-89E7-D1FB86B27272}" presName="Name9" presStyleLbl="parChTrans1D2" presStyleIdx="0" presStyleCnt="7"/>
      <dgm:spPr>
        <a:custGeom>
          <a:avLst/>
          <a:gdLst/>
          <a:ahLst/>
          <a:cxnLst/>
          <a:rect l="0" t="0" r="0" b="0"/>
          <a:pathLst>
            <a:path>
              <a:moveTo>
                <a:pt x="0" y="14194"/>
              </a:moveTo>
              <a:lnTo>
                <a:pt x="487996" y="14194"/>
              </a:lnTo>
            </a:path>
          </a:pathLst>
        </a:custGeom>
      </dgm:spPr>
      <dgm:t>
        <a:bodyPr/>
        <a:lstStyle/>
        <a:p>
          <a:endParaRPr lang="en-US"/>
        </a:p>
      </dgm:t>
    </dgm:pt>
    <dgm:pt modelId="{04068EB3-8728-47DB-8B53-1F3F6EA0E656}" type="pres">
      <dgm:prSet presAssocID="{CB6E0A53-B07E-4B2B-89E7-D1FB86B27272}" presName="connTx" presStyleLbl="parChTrans1D2" presStyleIdx="0" presStyleCnt="7"/>
      <dgm:spPr/>
      <dgm:t>
        <a:bodyPr/>
        <a:lstStyle/>
        <a:p>
          <a:endParaRPr lang="en-US"/>
        </a:p>
      </dgm:t>
    </dgm:pt>
    <dgm:pt modelId="{8441BECF-C9FE-4C31-BFA4-B45EB6B3D1F0}" type="pres">
      <dgm:prSet presAssocID="{45870664-60BD-4390-952C-AB2EEF07F4DD}" presName="node" presStyleLbl="node1" presStyleIdx="0" presStyleCnt="7" custScaleX="227785" custScaleY="114326">
        <dgm:presLayoutVars>
          <dgm:bulletEnabled val="1"/>
        </dgm:presLayoutVars>
      </dgm:prSet>
      <dgm:spPr>
        <a:prstGeom prst="ellipse">
          <a:avLst/>
        </a:prstGeom>
      </dgm:spPr>
      <dgm:t>
        <a:bodyPr/>
        <a:lstStyle/>
        <a:p>
          <a:endParaRPr lang="en-US"/>
        </a:p>
      </dgm:t>
    </dgm:pt>
    <dgm:pt modelId="{27678B34-738D-4B59-81F4-6EB54DA6F256}" type="pres">
      <dgm:prSet presAssocID="{31D2845E-7763-4EAF-A91C-F687BE68CFA9}" presName="Name9" presStyleLbl="parChTrans1D2" presStyleIdx="1" presStyleCnt="7"/>
      <dgm:spPr/>
      <dgm:t>
        <a:bodyPr/>
        <a:lstStyle/>
        <a:p>
          <a:endParaRPr lang="en-US"/>
        </a:p>
      </dgm:t>
    </dgm:pt>
    <dgm:pt modelId="{0D67A745-92A7-4C43-8F28-25B89678FC62}" type="pres">
      <dgm:prSet presAssocID="{31D2845E-7763-4EAF-A91C-F687BE68CFA9}" presName="connTx" presStyleLbl="parChTrans1D2" presStyleIdx="1" presStyleCnt="7"/>
      <dgm:spPr/>
      <dgm:t>
        <a:bodyPr/>
        <a:lstStyle/>
        <a:p>
          <a:endParaRPr lang="en-US"/>
        </a:p>
      </dgm:t>
    </dgm:pt>
    <dgm:pt modelId="{77E0AE60-7058-4D43-911F-C57FA8C6CA9F}" type="pres">
      <dgm:prSet presAssocID="{3BD68AEB-F6E8-461F-8590-A67172B04D7C}" presName="node" presStyleLbl="node1" presStyleIdx="1" presStyleCnt="7" custScaleX="245333" custRadScaleRad="163233" custRadScaleInc="55590">
        <dgm:presLayoutVars>
          <dgm:bulletEnabled val="1"/>
        </dgm:presLayoutVars>
      </dgm:prSet>
      <dgm:spPr>
        <a:prstGeom prst="ellipse">
          <a:avLst/>
        </a:prstGeom>
      </dgm:spPr>
      <dgm:t>
        <a:bodyPr/>
        <a:lstStyle/>
        <a:p>
          <a:endParaRPr lang="en-US"/>
        </a:p>
      </dgm:t>
    </dgm:pt>
    <dgm:pt modelId="{EED79A7F-2696-484A-8083-D28DF0387AD5}" type="pres">
      <dgm:prSet presAssocID="{00297025-FE49-44ED-8151-9AC4B35C0885}" presName="Name9" presStyleLbl="parChTrans1D2" presStyleIdx="2" presStyleCnt="7"/>
      <dgm:spPr/>
      <dgm:t>
        <a:bodyPr/>
        <a:lstStyle/>
        <a:p>
          <a:endParaRPr lang="en-US"/>
        </a:p>
      </dgm:t>
    </dgm:pt>
    <dgm:pt modelId="{BEAB3A6A-1AD1-41B3-BDFE-B268898D2300}" type="pres">
      <dgm:prSet presAssocID="{00297025-FE49-44ED-8151-9AC4B35C0885}" presName="connTx" presStyleLbl="parChTrans1D2" presStyleIdx="2" presStyleCnt="7"/>
      <dgm:spPr/>
      <dgm:t>
        <a:bodyPr/>
        <a:lstStyle/>
        <a:p>
          <a:endParaRPr lang="en-US"/>
        </a:p>
      </dgm:t>
    </dgm:pt>
    <dgm:pt modelId="{05994623-F04A-4AAC-82E3-2D63726DAA8A}" type="pres">
      <dgm:prSet presAssocID="{CDE3C2D2-2338-40D3-9864-33A39CCB5CF4}" presName="node" presStyleLbl="node1" presStyleIdx="2" presStyleCnt="7" custScaleX="254839" custScaleY="130921" custRadScaleRad="256606" custRadScaleInc="-50805">
        <dgm:presLayoutVars>
          <dgm:bulletEnabled val="1"/>
        </dgm:presLayoutVars>
      </dgm:prSet>
      <dgm:spPr>
        <a:prstGeom prst="ellipse">
          <a:avLst/>
        </a:prstGeom>
      </dgm:spPr>
      <dgm:t>
        <a:bodyPr/>
        <a:lstStyle/>
        <a:p>
          <a:endParaRPr lang="en-US"/>
        </a:p>
      </dgm:t>
    </dgm:pt>
    <dgm:pt modelId="{B654B038-4242-46EF-A10B-FF9B1A085532}" type="pres">
      <dgm:prSet presAssocID="{0740ED97-4265-4052-8B1C-8A14B3879E4E}" presName="Name9" presStyleLbl="parChTrans1D2" presStyleIdx="3" presStyleCnt="7"/>
      <dgm:spPr>
        <a:custGeom>
          <a:avLst/>
          <a:gdLst/>
          <a:ahLst/>
          <a:cxnLst/>
          <a:rect l="0" t="0" r="0" b="0"/>
          <a:pathLst>
            <a:path>
              <a:moveTo>
                <a:pt x="0" y="14194"/>
              </a:moveTo>
              <a:lnTo>
                <a:pt x="476437" y="14194"/>
              </a:lnTo>
            </a:path>
          </a:pathLst>
        </a:custGeom>
      </dgm:spPr>
      <dgm:t>
        <a:bodyPr/>
        <a:lstStyle/>
        <a:p>
          <a:endParaRPr lang="en-US"/>
        </a:p>
      </dgm:t>
    </dgm:pt>
    <dgm:pt modelId="{BA4F9CC8-82E2-4BE5-8120-3D5D089F9CF4}" type="pres">
      <dgm:prSet presAssocID="{0740ED97-4265-4052-8B1C-8A14B3879E4E}" presName="connTx" presStyleLbl="parChTrans1D2" presStyleIdx="3" presStyleCnt="7"/>
      <dgm:spPr/>
      <dgm:t>
        <a:bodyPr/>
        <a:lstStyle/>
        <a:p>
          <a:endParaRPr lang="en-US"/>
        </a:p>
      </dgm:t>
    </dgm:pt>
    <dgm:pt modelId="{3DB28723-07CF-4EFC-8E24-18E41E76D4AF}" type="pres">
      <dgm:prSet presAssocID="{115F3686-56C2-4580-9E8B-FA213D3DA5F6}" presName="node" presStyleLbl="node1" presStyleIdx="3" presStyleCnt="7" custScaleX="195642" custRadScaleRad="139799" custRadScaleInc="-130907">
        <dgm:presLayoutVars>
          <dgm:bulletEnabled val="1"/>
        </dgm:presLayoutVars>
      </dgm:prSet>
      <dgm:spPr>
        <a:prstGeom prst="ellipse">
          <a:avLst/>
        </a:prstGeom>
      </dgm:spPr>
      <dgm:t>
        <a:bodyPr/>
        <a:lstStyle/>
        <a:p>
          <a:endParaRPr lang="en-US"/>
        </a:p>
      </dgm:t>
    </dgm:pt>
    <dgm:pt modelId="{AD2F0D4B-AECA-4B10-81AC-261AA8BE8E98}" type="pres">
      <dgm:prSet presAssocID="{7DB15392-F5F7-49E2-8294-51A0B1B620AB}" presName="Name9" presStyleLbl="parChTrans1D2" presStyleIdx="4" presStyleCnt="7"/>
      <dgm:spPr/>
      <dgm:t>
        <a:bodyPr/>
        <a:lstStyle/>
        <a:p>
          <a:endParaRPr lang="en-US"/>
        </a:p>
      </dgm:t>
    </dgm:pt>
    <dgm:pt modelId="{E48FCD09-4C54-4A10-9BB3-1920483E872B}" type="pres">
      <dgm:prSet presAssocID="{7DB15392-F5F7-49E2-8294-51A0B1B620AB}" presName="connTx" presStyleLbl="parChTrans1D2" presStyleIdx="4" presStyleCnt="7"/>
      <dgm:spPr/>
      <dgm:t>
        <a:bodyPr/>
        <a:lstStyle/>
        <a:p>
          <a:endParaRPr lang="en-US"/>
        </a:p>
      </dgm:t>
    </dgm:pt>
    <dgm:pt modelId="{2BEED572-A282-4C32-95EB-3B1996D142B1}" type="pres">
      <dgm:prSet presAssocID="{4E654411-73AD-4DF6-AD3B-E400E531439B}" presName="node" presStyleLbl="node1" presStyleIdx="4" presStyleCnt="7" custScaleX="281316" custScaleY="114748" custRadScaleRad="137614" custRadScaleInc="135517">
        <dgm:presLayoutVars>
          <dgm:bulletEnabled val="1"/>
        </dgm:presLayoutVars>
      </dgm:prSet>
      <dgm:spPr>
        <a:prstGeom prst="ellipse">
          <a:avLst/>
        </a:prstGeom>
      </dgm:spPr>
      <dgm:t>
        <a:bodyPr/>
        <a:lstStyle/>
        <a:p>
          <a:endParaRPr lang="en-US"/>
        </a:p>
      </dgm:t>
    </dgm:pt>
    <dgm:pt modelId="{C58C2EC9-2FE7-4521-9408-887873CF9CD6}" type="pres">
      <dgm:prSet presAssocID="{D9BD11F2-6636-4646-B3CF-323669445FAB}" presName="Name9" presStyleLbl="parChTrans1D2" presStyleIdx="5" presStyleCnt="7"/>
      <dgm:spPr/>
      <dgm:t>
        <a:bodyPr/>
        <a:lstStyle/>
        <a:p>
          <a:endParaRPr lang="en-US"/>
        </a:p>
      </dgm:t>
    </dgm:pt>
    <dgm:pt modelId="{5F2F4C57-6D86-42F3-B46C-09D84EF99051}" type="pres">
      <dgm:prSet presAssocID="{D9BD11F2-6636-4646-B3CF-323669445FAB}" presName="connTx" presStyleLbl="parChTrans1D2" presStyleIdx="5" presStyleCnt="7"/>
      <dgm:spPr/>
      <dgm:t>
        <a:bodyPr/>
        <a:lstStyle/>
        <a:p>
          <a:endParaRPr lang="en-US"/>
        </a:p>
      </dgm:t>
    </dgm:pt>
    <dgm:pt modelId="{53F278CD-DAFE-4670-A5E7-7708D74F671E}" type="pres">
      <dgm:prSet presAssocID="{C45608E5-C683-4F82-AC41-6429A24EED40}" presName="node" presStyleLbl="node1" presStyleIdx="5" presStyleCnt="7" custScaleX="211047" custScaleY="121441" custRadScaleRad="258168" custRadScaleInc="50093">
        <dgm:presLayoutVars>
          <dgm:bulletEnabled val="1"/>
        </dgm:presLayoutVars>
      </dgm:prSet>
      <dgm:spPr>
        <a:prstGeom prst="ellipse">
          <a:avLst/>
        </a:prstGeom>
      </dgm:spPr>
      <dgm:t>
        <a:bodyPr/>
        <a:lstStyle/>
        <a:p>
          <a:endParaRPr lang="en-US"/>
        </a:p>
      </dgm:t>
    </dgm:pt>
    <dgm:pt modelId="{9D7A60DE-15BF-4701-8167-A6BE55521FB0}" type="pres">
      <dgm:prSet presAssocID="{7A68E894-33D2-492F-8570-E4DDFD311B12}" presName="Name9" presStyleLbl="parChTrans1D2" presStyleIdx="6" presStyleCnt="7"/>
      <dgm:spPr/>
      <dgm:t>
        <a:bodyPr/>
        <a:lstStyle/>
        <a:p>
          <a:endParaRPr lang="en-US"/>
        </a:p>
      </dgm:t>
    </dgm:pt>
    <dgm:pt modelId="{DA6728FC-5C85-4235-8ABB-D0CDA49DEB12}" type="pres">
      <dgm:prSet presAssocID="{7A68E894-33D2-492F-8570-E4DDFD311B12}" presName="connTx" presStyleLbl="parChTrans1D2" presStyleIdx="6" presStyleCnt="7"/>
      <dgm:spPr/>
      <dgm:t>
        <a:bodyPr/>
        <a:lstStyle/>
        <a:p>
          <a:endParaRPr lang="en-US"/>
        </a:p>
      </dgm:t>
    </dgm:pt>
    <dgm:pt modelId="{0FDECDAE-6064-4D03-98A4-386BBAAFB761}" type="pres">
      <dgm:prSet presAssocID="{B343370C-8FB3-481F-B4DA-6C9C41B047BC}" presName="node" presStyleLbl="node1" presStyleIdx="6" presStyleCnt="7" custScaleX="225396" custScaleY="128180" custRadScaleRad="162454" custRadScaleInc="-61274">
        <dgm:presLayoutVars>
          <dgm:bulletEnabled val="1"/>
        </dgm:presLayoutVars>
      </dgm:prSet>
      <dgm:spPr>
        <a:prstGeom prst="ellipse">
          <a:avLst/>
        </a:prstGeom>
      </dgm:spPr>
      <dgm:t>
        <a:bodyPr/>
        <a:lstStyle/>
        <a:p>
          <a:endParaRPr lang="en-US"/>
        </a:p>
      </dgm:t>
    </dgm:pt>
  </dgm:ptLst>
  <dgm:cxnLst>
    <dgm:cxn modelId="{86C7E3BF-2579-4EC8-B34A-3EE844EB1BDA}" type="presOf" srcId="{00297025-FE49-44ED-8151-9AC4B35C0885}" destId="{EED79A7F-2696-484A-8083-D28DF0387AD5}" srcOrd="0" destOrd="0" presId="urn:microsoft.com/office/officeart/2005/8/layout/radial1"/>
    <dgm:cxn modelId="{FF862692-6FE1-4C1B-8C29-4A220C00E54C}" srcId="{DE541715-C648-404D-8124-F14F463E9202}" destId="{115F3686-56C2-4580-9E8B-FA213D3DA5F6}" srcOrd="3" destOrd="0" parTransId="{0740ED97-4265-4052-8B1C-8A14B3879E4E}" sibTransId="{E9E35A43-605C-4C5A-B200-2A3B564FFAF5}"/>
    <dgm:cxn modelId="{C77A4DC2-3225-4AA5-81F2-9345FBB554A3}" type="presOf" srcId="{7A68E894-33D2-492F-8570-E4DDFD311B12}" destId="{DA6728FC-5C85-4235-8ABB-D0CDA49DEB12}" srcOrd="1" destOrd="0" presId="urn:microsoft.com/office/officeart/2005/8/layout/radial1"/>
    <dgm:cxn modelId="{C3535AC6-071A-478E-8302-7F653CAF2787}" type="presOf" srcId="{31D2845E-7763-4EAF-A91C-F687BE68CFA9}" destId="{27678B34-738D-4B59-81F4-6EB54DA6F256}" srcOrd="0" destOrd="0" presId="urn:microsoft.com/office/officeart/2005/8/layout/radial1"/>
    <dgm:cxn modelId="{6E56E4FC-1F34-43AE-946D-8A0836074046}" type="presOf" srcId="{0740ED97-4265-4052-8B1C-8A14B3879E4E}" destId="{B654B038-4242-46EF-A10B-FF9B1A085532}" srcOrd="0" destOrd="0" presId="urn:microsoft.com/office/officeart/2005/8/layout/radial1"/>
    <dgm:cxn modelId="{C4B10A69-AD34-4806-BB34-9A4F414A01B0}" type="presOf" srcId="{B343370C-8FB3-481F-B4DA-6C9C41B047BC}" destId="{0FDECDAE-6064-4D03-98A4-386BBAAFB761}" srcOrd="0" destOrd="0" presId="urn:microsoft.com/office/officeart/2005/8/layout/radial1"/>
    <dgm:cxn modelId="{940103A9-CB5F-48EB-AA40-C303CCBE9E1C}" type="presOf" srcId="{7A68E894-33D2-492F-8570-E4DDFD311B12}" destId="{9D7A60DE-15BF-4701-8167-A6BE55521FB0}" srcOrd="0" destOrd="0" presId="urn:microsoft.com/office/officeart/2005/8/layout/radial1"/>
    <dgm:cxn modelId="{53E38C45-0024-45F5-B026-99F253BB12EA}" type="presOf" srcId="{0740ED97-4265-4052-8B1C-8A14B3879E4E}" destId="{BA4F9CC8-82E2-4BE5-8120-3D5D089F9CF4}" srcOrd="1" destOrd="0" presId="urn:microsoft.com/office/officeart/2005/8/layout/radial1"/>
    <dgm:cxn modelId="{935FF7B4-E592-46B7-B5B1-3871C1BF1617}" type="presOf" srcId="{CB6E0A53-B07E-4B2B-89E7-D1FB86B27272}" destId="{04068EB3-8728-47DB-8B53-1F3F6EA0E656}" srcOrd="1" destOrd="0" presId="urn:microsoft.com/office/officeart/2005/8/layout/radial1"/>
    <dgm:cxn modelId="{6E7A673B-154F-4512-9BCF-4ECFCF480FCA}" type="presOf" srcId="{34E6C8D5-8D4F-4714-8A12-8F4599A8E760}" destId="{08F189A1-AB47-41D1-8058-7A6DA66B3F52}" srcOrd="0" destOrd="0" presId="urn:microsoft.com/office/officeart/2005/8/layout/radial1"/>
    <dgm:cxn modelId="{DFA8506C-17F6-4E98-BC5E-1AB9A16DB56A}" type="presOf" srcId="{7DB15392-F5F7-49E2-8294-51A0B1B620AB}" destId="{E48FCD09-4C54-4A10-9BB3-1920483E872B}" srcOrd="1" destOrd="0" presId="urn:microsoft.com/office/officeart/2005/8/layout/radial1"/>
    <dgm:cxn modelId="{56633C22-38F2-452A-834F-DA6FE960F69B}" type="presOf" srcId="{3BD68AEB-F6E8-461F-8590-A67172B04D7C}" destId="{77E0AE60-7058-4D43-911F-C57FA8C6CA9F}" srcOrd="0" destOrd="0" presId="urn:microsoft.com/office/officeart/2005/8/layout/radial1"/>
    <dgm:cxn modelId="{15E91834-B680-44DE-A36E-000C9D98AEBC}" type="presOf" srcId="{D9BD11F2-6636-4646-B3CF-323669445FAB}" destId="{5F2F4C57-6D86-42F3-B46C-09D84EF99051}" srcOrd="1"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60C424C7-CC54-4027-B080-4425E7B5050C}" srcId="{DE541715-C648-404D-8124-F14F463E9202}" destId="{CDE3C2D2-2338-40D3-9864-33A39CCB5CF4}" srcOrd="2" destOrd="0" parTransId="{00297025-FE49-44ED-8151-9AC4B35C0885}" sibTransId="{59703DE8-812C-459A-A996-B99B877A6FDC}"/>
    <dgm:cxn modelId="{71FB9010-BABA-4E79-A4EF-B74F4B4C3565}" type="presOf" srcId="{CB6E0A53-B07E-4B2B-89E7-D1FB86B27272}" destId="{27C08CD6-CB73-4E0E-BA37-473C15E9C926}" srcOrd="0" destOrd="0" presId="urn:microsoft.com/office/officeart/2005/8/layout/radial1"/>
    <dgm:cxn modelId="{30238A99-5ED1-4950-A62F-749E2DCE23F3}" type="presOf" srcId="{CDE3C2D2-2338-40D3-9864-33A39CCB5CF4}" destId="{05994623-F04A-4AAC-82E3-2D63726DAA8A}" srcOrd="0" destOrd="0" presId="urn:microsoft.com/office/officeart/2005/8/layout/radial1"/>
    <dgm:cxn modelId="{8219E8C0-11D9-4ECE-9E9E-751EEF5551F9}" srcId="{DE541715-C648-404D-8124-F14F463E9202}" destId="{3BD68AEB-F6E8-461F-8590-A67172B04D7C}" srcOrd="1" destOrd="0" parTransId="{31D2845E-7763-4EAF-A91C-F687BE68CFA9}" sibTransId="{93E661BA-0293-4FF1-B933-6256D0B2E24D}"/>
    <dgm:cxn modelId="{25A56CCF-6B36-40DB-88EB-5368D47E20A8}" type="presOf" srcId="{31D2845E-7763-4EAF-A91C-F687BE68CFA9}" destId="{0D67A745-92A7-4C43-8F28-25B89678FC62}" srcOrd="1" destOrd="0" presId="urn:microsoft.com/office/officeart/2005/8/layout/radial1"/>
    <dgm:cxn modelId="{C80DF295-9AAD-4C0B-B8AF-3EDA956AFFF7}" srcId="{DE541715-C648-404D-8124-F14F463E9202}" destId="{45870664-60BD-4390-952C-AB2EEF07F4DD}" srcOrd="0" destOrd="0" parTransId="{CB6E0A53-B07E-4B2B-89E7-D1FB86B27272}" sibTransId="{E74149DA-41AA-4BE0-B8E7-7965A33DC1B0}"/>
    <dgm:cxn modelId="{AF44C902-745D-41E7-ADA3-A0694770AA1E}" type="presOf" srcId="{00297025-FE49-44ED-8151-9AC4B35C0885}" destId="{BEAB3A6A-1AD1-41B3-BDFE-B268898D2300}" srcOrd="1" destOrd="0" presId="urn:microsoft.com/office/officeart/2005/8/layout/radial1"/>
    <dgm:cxn modelId="{CDEFB2A3-4EA9-489B-9721-56871D483AB2}" srcId="{DE541715-C648-404D-8124-F14F463E9202}" destId="{B343370C-8FB3-481F-B4DA-6C9C41B047BC}" srcOrd="6" destOrd="0" parTransId="{7A68E894-33D2-492F-8570-E4DDFD311B12}" sibTransId="{7DC850A5-77C3-4602-A065-D0A45018AC8D}"/>
    <dgm:cxn modelId="{3811C0CF-91A1-4827-87FC-C146EB11CD21}" type="presOf" srcId="{C45608E5-C683-4F82-AC41-6429A24EED40}" destId="{53F278CD-DAFE-4670-A5E7-7708D74F671E}" srcOrd="0" destOrd="0" presId="urn:microsoft.com/office/officeart/2005/8/layout/radial1"/>
    <dgm:cxn modelId="{1B3581A0-8E4E-4544-9843-F7B1C99C3CD1}" type="presOf" srcId="{D9BD11F2-6636-4646-B3CF-323669445FAB}" destId="{C58C2EC9-2FE7-4521-9408-887873CF9CD6}" srcOrd="0" destOrd="0" presId="urn:microsoft.com/office/officeart/2005/8/layout/radial1"/>
    <dgm:cxn modelId="{E0594360-5C4F-4C47-B047-3E60D22AD80D}" srcId="{DE541715-C648-404D-8124-F14F463E9202}" destId="{C45608E5-C683-4F82-AC41-6429A24EED40}" srcOrd="5" destOrd="0" parTransId="{D9BD11F2-6636-4646-B3CF-323669445FAB}" sibTransId="{2C17D791-E651-44AA-801E-D486EB358D8A}"/>
    <dgm:cxn modelId="{A12C036A-14E7-451C-80B8-9B5BE762C5B4}" srcId="{DE541715-C648-404D-8124-F14F463E9202}" destId="{4E654411-73AD-4DF6-AD3B-E400E531439B}" srcOrd="4" destOrd="0" parTransId="{7DB15392-F5F7-49E2-8294-51A0B1B620AB}" sibTransId="{2B759E48-7284-455B-851A-DFF88118946F}"/>
    <dgm:cxn modelId="{EDEB4562-A464-4CD8-BF9C-9429EAF1A5A2}" type="presOf" srcId="{115F3686-56C2-4580-9E8B-FA213D3DA5F6}" destId="{3DB28723-07CF-4EFC-8E24-18E41E76D4AF}" srcOrd="0" destOrd="0" presId="urn:microsoft.com/office/officeart/2005/8/layout/radial1"/>
    <dgm:cxn modelId="{12E6C549-4889-4732-BDB2-F2B4182DF15A}" type="presOf" srcId="{DE541715-C648-404D-8124-F14F463E9202}" destId="{062AF917-2F47-4639-8A23-58AD52EC0F32}" srcOrd="0" destOrd="0" presId="urn:microsoft.com/office/officeart/2005/8/layout/radial1"/>
    <dgm:cxn modelId="{7D4462F5-B801-4C4A-A363-F143607EBB4E}" type="presOf" srcId="{7DB15392-F5F7-49E2-8294-51A0B1B620AB}" destId="{AD2F0D4B-AECA-4B10-81AC-261AA8BE8E98}"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7F5C4DBB-F430-4A1A-8D08-3B799F4F706B}" type="presOf" srcId="{45870664-60BD-4390-952C-AB2EEF07F4DD}" destId="{8441BECF-C9FE-4C31-BFA4-B45EB6B3D1F0}" srcOrd="0" destOrd="0" presId="urn:microsoft.com/office/officeart/2005/8/layout/radial1"/>
    <dgm:cxn modelId="{65B58BBA-E5E6-40BB-9E1E-767672230E9A}" type="presOf" srcId="{4E654411-73AD-4DF6-AD3B-E400E531439B}" destId="{2BEED572-A282-4C32-95EB-3B1996D142B1}" srcOrd="0" destOrd="0" presId="urn:microsoft.com/office/officeart/2005/8/layout/radial1"/>
    <dgm:cxn modelId="{005C8B4B-205C-4A0E-BF53-6546A658B737}" type="presParOf" srcId="{08F189A1-AB47-41D1-8058-7A6DA66B3F52}" destId="{062AF917-2F47-4639-8A23-58AD52EC0F32}" srcOrd="0" destOrd="0" presId="urn:microsoft.com/office/officeart/2005/8/layout/radial1"/>
    <dgm:cxn modelId="{C32E933A-D40B-494E-A914-BE7E5E5B8970}" type="presParOf" srcId="{08F189A1-AB47-41D1-8058-7A6DA66B3F52}" destId="{27C08CD6-CB73-4E0E-BA37-473C15E9C926}" srcOrd="1" destOrd="0" presId="urn:microsoft.com/office/officeart/2005/8/layout/radial1"/>
    <dgm:cxn modelId="{5628C449-0D53-4F08-B7E9-D5EB91AA808B}" type="presParOf" srcId="{27C08CD6-CB73-4E0E-BA37-473C15E9C926}" destId="{04068EB3-8728-47DB-8B53-1F3F6EA0E656}" srcOrd="0" destOrd="0" presId="urn:microsoft.com/office/officeart/2005/8/layout/radial1"/>
    <dgm:cxn modelId="{98F8D50E-8291-4CD2-BB51-EEDD83F32F29}" type="presParOf" srcId="{08F189A1-AB47-41D1-8058-7A6DA66B3F52}" destId="{8441BECF-C9FE-4C31-BFA4-B45EB6B3D1F0}" srcOrd="2" destOrd="0" presId="urn:microsoft.com/office/officeart/2005/8/layout/radial1"/>
    <dgm:cxn modelId="{64228A4F-51B3-4B7E-A568-0AC29FD9A22F}" type="presParOf" srcId="{08F189A1-AB47-41D1-8058-7A6DA66B3F52}" destId="{27678B34-738D-4B59-81F4-6EB54DA6F256}" srcOrd="3" destOrd="0" presId="urn:microsoft.com/office/officeart/2005/8/layout/radial1"/>
    <dgm:cxn modelId="{E31488A7-7E37-4FCC-BF98-13E6E1D7DC2D}" type="presParOf" srcId="{27678B34-738D-4B59-81F4-6EB54DA6F256}" destId="{0D67A745-92A7-4C43-8F28-25B89678FC62}" srcOrd="0" destOrd="0" presId="urn:microsoft.com/office/officeart/2005/8/layout/radial1"/>
    <dgm:cxn modelId="{A8D64D74-B515-4CED-8513-F4A1F2BA7FC5}" type="presParOf" srcId="{08F189A1-AB47-41D1-8058-7A6DA66B3F52}" destId="{77E0AE60-7058-4D43-911F-C57FA8C6CA9F}" srcOrd="4" destOrd="0" presId="urn:microsoft.com/office/officeart/2005/8/layout/radial1"/>
    <dgm:cxn modelId="{68D88ED3-9E4D-48B3-930A-17366CD49081}" type="presParOf" srcId="{08F189A1-AB47-41D1-8058-7A6DA66B3F52}" destId="{EED79A7F-2696-484A-8083-D28DF0387AD5}" srcOrd="5" destOrd="0" presId="urn:microsoft.com/office/officeart/2005/8/layout/radial1"/>
    <dgm:cxn modelId="{36B279FA-AFCE-4637-89E9-B9817FB5CF53}" type="presParOf" srcId="{EED79A7F-2696-484A-8083-D28DF0387AD5}" destId="{BEAB3A6A-1AD1-41B3-BDFE-B268898D2300}" srcOrd="0" destOrd="0" presId="urn:microsoft.com/office/officeart/2005/8/layout/radial1"/>
    <dgm:cxn modelId="{016864BE-73A8-4AC2-8D6C-14BEBBE8700E}" type="presParOf" srcId="{08F189A1-AB47-41D1-8058-7A6DA66B3F52}" destId="{05994623-F04A-4AAC-82E3-2D63726DAA8A}" srcOrd="6" destOrd="0" presId="urn:microsoft.com/office/officeart/2005/8/layout/radial1"/>
    <dgm:cxn modelId="{30765A81-A234-4E3B-AFD3-0094C75E740B}" type="presParOf" srcId="{08F189A1-AB47-41D1-8058-7A6DA66B3F52}" destId="{B654B038-4242-46EF-A10B-FF9B1A085532}" srcOrd="7" destOrd="0" presId="urn:microsoft.com/office/officeart/2005/8/layout/radial1"/>
    <dgm:cxn modelId="{13548763-0026-42DD-AF2A-F6C63D495B1B}" type="presParOf" srcId="{B654B038-4242-46EF-A10B-FF9B1A085532}" destId="{BA4F9CC8-82E2-4BE5-8120-3D5D089F9CF4}" srcOrd="0" destOrd="0" presId="urn:microsoft.com/office/officeart/2005/8/layout/radial1"/>
    <dgm:cxn modelId="{6198E058-4079-46E1-B0F0-ADAF3AB793B1}" type="presParOf" srcId="{08F189A1-AB47-41D1-8058-7A6DA66B3F52}" destId="{3DB28723-07CF-4EFC-8E24-18E41E76D4AF}" srcOrd="8" destOrd="0" presId="urn:microsoft.com/office/officeart/2005/8/layout/radial1"/>
    <dgm:cxn modelId="{7CF7F758-B5F7-4BDA-8F42-6D9FACC3996C}" type="presParOf" srcId="{08F189A1-AB47-41D1-8058-7A6DA66B3F52}" destId="{AD2F0D4B-AECA-4B10-81AC-261AA8BE8E98}" srcOrd="9" destOrd="0" presId="urn:microsoft.com/office/officeart/2005/8/layout/radial1"/>
    <dgm:cxn modelId="{B81FF073-1D8A-40A6-85FB-22A1F5473E96}" type="presParOf" srcId="{AD2F0D4B-AECA-4B10-81AC-261AA8BE8E98}" destId="{E48FCD09-4C54-4A10-9BB3-1920483E872B}" srcOrd="0" destOrd="0" presId="urn:microsoft.com/office/officeart/2005/8/layout/radial1"/>
    <dgm:cxn modelId="{5E5E5F09-3A75-4270-B8EF-ABFFA500D157}" type="presParOf" srcId="{08F189A1-AB47-41D1-8058-7A6DA66B3F52}" destId="{2BEED572-A282-4C32-95EB-3B1996D142B1}" srcOrd="10" destOrd="0" presId="urn:microsoft.com/office/officeart/2005/8/layout/radial1"/>
    <dgm:cxn modelId="{E8A98E51-86E0-4A2A-ABB9-0786ADAC0A82}" type="presParOf" srcId="{08F189A1-AB47-41D1-8058-7A6DA66B3F52}" destId="{C58C2EC9-2FE7-4521-9408-887873CF9CD6}" srcOrd="11" destOrd="0" presId="urn:microsoft.com/office/officeart/2005/8/layout/radial1"/>
    <dgm:cxn modelId="{A3CA26D5-7502-42DD-BB06-21C792CDB472}" type="presParOf" srcId="{C58C2EC9-2FE7-4521-9408-887873CF9CD6}" destId="{5F2F4C57-6D86-42F3-B46C-09D84EF99051}" srcOrd="0" destOrd="0" presId="urn:microsoft.com/office/officeart/2005/8/layout/radial1"/>
    <dgm:cxn modelId="{0610BA3E-24DC-4DE0-BA1D-4F4F71495B5F}" type="presParOf" srcId="{08F189A1-AB47-41D1-8058-7A6DA66B3F52}" destId="{53F278CD-DAFE-4670-A5E7-7708D74F671E}" srcOrd="12" destOrd="0" presId="urn:microsoft.com/office/officeart/2005/8/layout/radial1"/>
    <dgm:cxn modelId="{7C58361B-0341-4D4C-8D45-4D4EC5815A17}" type="presParOf" srcId="{08F189A1-AB47-41D1-8058-7A6DA66B3F52}" destId="{9D7A60DE-15BF-4701-8167-A6BE55521FB0}" srcOrd="13" destOrd="0" presId="urn:microsoft.com/office/officeart/2005/8/layout/radial1"/>
    <dgm:cxn modelId="{CE70ED5F-8986-4888-8075-48B826308F7B}" type="presParOf" srcId="{9D7A60DE-15BF-4701-8167-A6BE55521FB0}" destId="{DA6728FC-5C85-4235-8ABB-D0CDA49DEB12}" srcOrd="0" destOrd="0" presId="urn:microsoft.com/office/officeart/2005/8/layout/radial1"/>
    <dgm:cxn modelId="{ACAEF325-AA8A-47F2-8607-0CD3A244F869}" type="presParOf" srcId="{08F189A1-AB47-41D1-8058-7A6DA66B3F52}" destId="{0FDECDAE-6064-4D03-98A4-386BBAAFB761}" srcOrd="14" destOrd="0" presId="urn:microsoft.com/office/officeart/2005/8/layout/radial1"/>
  </dgm:cxnLst>
  <dgm:bg/>
  <dgm:whole/>
  <dgm:extLst>
    <a:ext uri="http://schemas.microsoft.com/office/drawing/2008/diagram">
      <dsp:dataModelExt xmlns:dsp="http://schemas.microsoft.com/office/drawing/2008/diagram" relId="rId56" minVer="http://schemas.openxmlformats.org/drawingml/2006/diagram"/>
    </a:ext>
    <a:ext uri="{C62137D5-CB1D-491B-B009-E17868A290BF}">
      <dgm14:recolorImg xmlns:dgm14="http://schemas.microsoft.com/office/drawing/2010/diagram" val="1"/>
    </a:ext>
  </dgm:extLst>
</dgm:dataModel>
</file>

<file path=word/diagrams/data5.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endParaRPr lang="en-US"/>
        </a:p>
      </dgm:t>
    </dgm:pt>
    <dgm:pt modelId="{DE541715-C648-404D-8124-F14F463E9202}">
      <dgm:prSet phldrT="[Text]" custT="1"/>
      <dgm:spPr>
        <a:xfrm>
          <a:off x="2636790" y="937096"/>
          <a:ext cx="1044697" cy="712787"/>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45870664-60BD-4390-952C-AB2EEF07F4DD}">
      <dgm:prSet phldrT="[Text]" custT="1"/>
      <dgm:spPr>
        <a:xfrm>
          <a:off x="2676525" y="9493"/>
          <a:ext cx="965228"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gm:t>
    </dgm:pt>
    <dgm:pt modelId="{CB6E0A53-B07E-4B2B-89E7-D1FB86B27272}" type="parTrans" cxnId="{C80DF295-9AAD-4C0B-B8AF-3EDA956AFFF7}">
      <dgm:prSet/>
      <dgm:spPr>
        <a:xfrm rot="16200000">
          <a:off x="3051731" y="819453"/>
          <a:ext cx="214815" cy="20471"/>
        </a:xfrm>
      </dgm:spPr>
      <dgm:t>
        <a:bodyPr/>
        <a:lstStyle/>
        <a:p>
          <a:endParaRPr lang="en-US"/>
        </a:p>
      </dgm:t>
    </dgm:pt>
    <dgm:pt modelId="{E74149DA-41AA-4BE0-B8E7-7965A33DC1B0}" type="sibTrans" cxnId="{C80DF295-9AAD-4C0B-B8AF-3EDA956AFFF7}">
      <dgm:prSet/>
      <dgm:spPr/>
      <dgm:t>
        <a:bodyPr/>
        <a:lstStyle/>
        <a:p>
          <a:endParaRPr lang="en-US"/>
        </a:p>
      </dgm:t>
    </dgm:pt>
    <dgm:pt modelId="{3BD68AEB-F6E8-461F-8590-A67172B04D7C}">
      <dgm:prSet phldrT="[Text]" custT="1"/>
      <dgm:spPr>
        <a:xfrm>
          <a:off x="3737226" y="312872"/>
          <a:ext cx="1061733"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a:t>
          </a:r>
        </a:p>
      </dgm:t>
    </dgm:pt>
    <dgm:pt modelId="{31D2845E-7763-4EAF-A91C-F687BE68CFA9}" type="parTrans" cxnId="{8219E8C0-11D9-4ECE-9E9E-751EEF5551F9}">
      <dgm:prSet/>
      <dgm:spPr>
        <a:xfrm rot="19837505">
          <a:off x="3539989" y="972232"/>
          <a:ext cx="343383" cy="20471"/>
        </a:xfrm>
      </dgm:spPr>
      <dgm:t>
        <a:bodyPr/>
        <a:lstStyle/>
        <a:p>
          <a:endParaRPr lang="en-US"/>
        </a:p>
      </dgm:t>
    </dgm:pt>
    <dgm:pt modelId="{93E661BA-0293-4FF1-B933-6256D0B2E24D}" type="sibTrans" cxnId="{8219E8C0-11D9-4ECE-9E9E-751EEF5551F9}">
      <dgm:prSet/>
      <dgm:spPr/>
      <dgm:t>
        <a:bodyPr/>
        <a:lstStyle/>
        <a:p>
          <a:endParaRPr lang="en-US"/>
        </a:p>
      </dgm:t>
    </dgm:pt>
    <dgm:pt modelId="{CDE3C2D2-2338-40D3-9864-33A39CCB5CF4}">
      <dgm:prSet phldrT="[Text]" custT="1"/>
      <dgm:spPr>
        <a:xfrm>
          <a:off x="4864205" y="947008"/>
          <a:ext cx="1096809"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12</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Clasif. intern. y normas técnicas</a:t>
          </a:r>
        </a:p>
      </dgm:t>
    </dgm:pt>
    <dgm:pt modelId="{00297025-FE49-44ED-8151-9AC4B35C0885}" type="parTrans" cxnId="{60C424C7-CC54-4027-B080-4425E7B5050C}">
      <dgm:prSet/>
      <dgm:spPr>
        <a:xfrm rot="15120">
          <a:off x="3681471" y="1288153"/>
          <a:ext cx="1182752" cy="20471"/>
        </a:xfrm>
      </dgm:spPr>
      <dgm:t>
        <a:bodyPr/>
        <a:lstStyle/>
        <a:p>
          <a:endParaRPr lang="en-US"/>
        </a:p>
      </dgm:t>
    </dgm:pt>
    <dgm:pt modelId="{59703DE8-812C-459A-A996-B99B877A6FDC}" type="sibTrans" cxnId="{60C424C7-CC54-4027-B080-4425E7B5050C}">
      <dgm:prSet/>
      <dgm:spPr/>
      <dgm:t>
        <a:bodyPr/>
        <a:lstStyle/>
        <a:p>
          <a:endParaRPr lang="en-US"/>
        </a:p>
      </dgm:t>
    </dgm:pt>
    <dgm:pt modelId="{115F3686-56C2-4580-9E8B-FA213D3DA5F6}">
      <dgm:prSet phldrT="[Text]" custT="1"/>
      <dgm:spPr>
        <a:xfrm>
          <a:off x="380999" y="938359"/>
          <a:ext cx="1039814"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13</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Bases mundiales de datos</a:t>
          </a:r>
        </a:p>
      </dgm:t>
    </dgm:pt>
    <dgm:pt modelId="{0740ED97-4265-4052-8B1C-8A14B3879E4E}" type="parTrans" cxnId="{FF862692-6FE1-4C1B-8C29-4A220C00E54C}">
      <dgm:prSet/>
      <dgm:spPr>
        <a:xfrm rot="10798078">
          <a:off x="1420814" y="1283887"/>
          <a:ext cx="1215976" cy="20471"/>
        </a:xfrm>
      </dgm:spPr>
      <dgm:t>
        <a:bodyPr/>
        <a:lstStyle/>
        <a:p>
          <a:endParaRPr lang="en-US"/>
        </a:p>
      </dgm:t>
    </dgm:pt>
    <dgm:pt modelId="{E9E35A43-605C-4C5A-B200-2A3B564FFAF5}" type="sibTrans" cxnId="{FF862692-6FE1-4C1B-8C29-4A220C00E54C}">
      <dgm:prSet/>
      <dgm:spPr/>
      <dgm:t>
        <a:bodyPr/>
        <a:lstStyle/>
        <a:p>
          <a:endParaRPr lang="en-US"/>
        </a:p>
      </dgm:t>
    </dgm:pt>
    <dgm:pt modelId="{4E654411-73AD-4DF6-AD3B-E400E531439B}">
      <dgm:prSet phldrT="[Text]" custT="1"/>
      <dgm:spPr>
        <a:xfrm>
          <a:off x="1477987" y="343345"/>
          <a:ext cx="1163390"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14</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Acceso a la información y a los conocimientos</a:t>
          </a:r>
        </a:p>
      </dgm:t>
    </dgm:pt>
    <dgm:pt modelId="{7DB15392-F5F7-49E2-8294-51A0B1B620AB}" type="parTrans" cxnId="{A12C036A-14E7-451C-80B8-9B5BE762C5B4}">
      <dgm:prSet/>
      <dgm:spPr>
        <a:xfrm rot="12502253">
          <a:off x="2478756" y="993615"/>
          <a:ext cx="288109" cy="20471"/>
        </a:xfrm>
      </dgm:spPr>
      <dgm:t>
        <a:bodyPr/>
        <a:lstStyle/>
        <a:p>
          <a:endParaRPr lang="en-US"/>
        </a:p>
      </dgm:t>
    </dgm:pt>
    <dgm:pt modelId="{2B759E48-7284-455B-851A-DFF88118946F}" type="sibTrans" cxnId="{A12C036A-14E7-451C-80B8-9B5BE762C5B4}">
      <dgm:prSet/>
      <dgm:spPr/>
      <dgm:t>
        <a:bodyPr/>
        <a:lstStyle/>
        <a:p>
          <a:endParaRPr lang="en-US"/>
        </a:p>
      </dgm:t>
    </dgm:pt>
    <dgm:pt modelId="{0312DC60-63F3-4695-A4B2-2143D87CBA69}">
      <dgm:prSet phldrT="[Text]" custT="1"/>
      <dgm:spPr>
        <a:xfrm>
          <a:off x="2676525" y="9493"/>
          <a:ext cx="965228"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7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Centro de Arbitraje y Mediación</a:t>
          </a:r>
        </a:p>
      </dgm:t>
    </dgm:pt>
    <dgm:pt modelId="{92995B63-ADD2-4A50-AE0E-6CB45D8C6E35}" type="parTrans" cxnId="{97CE5D63-B5EC-4910-A585-3916F3D90753}">
      <dgm:prSet/>
      <dgm:spPr/>
      <dgm:t>
        <a:bodyPr/>
        <a:lstStyle/>
        <a:p>
          <a:endParaRPr lang="en-US"/>
        </a:p>
      </dgm:t>
    </dgm:pt>
    <dgm:pt modelId="{27B22FCA-D743-4668-A987-13511BDD8FC7}" type="sibTrans" cxnId="{97CE5D63-B5EC-4910-A585-3916F3D90753}">
      <dgm:prSet/>
      <dgm:spPr/>
      <dgm:t>
        <a:bodyPr/>
        <a:lstStyle/>
        <a:p>
          <a:endParaRPr lang="en-US"/>
        </a:p>
      </dgm:t>
    </dgm:pt>
    <dgm:pt modelId="{3617534A-E595-427C-AC8F-9064DFBAF0A6}">
      <dgm:prSet phldrT="[Text]" custT="1"/>
      <dgm:spPr>
        <a:xfrm>
          <a:off x="2676525" y="9493"/>
          <a:ext cx="965228"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Derecho de patentes</a:t>
          </a:r>
        </a:p>
      </dgm:t>
    </dgm:pt>
    <dgm:pt modelId="{D048942C-F61A-4F2B-B900-E08A5C266B6D}" type="parTrans" cxnId="{7A8622CA-DAE5-441B-AF51-EADD298D7EC2}">
      <dgm:prSet/>
      <dgm:spPr/>
      <dgm:t>
        <a:bodyPr/>
        <a:lstStyle/>
        <a:p>
          <a:endParaRPr lang="en-US"/>
        </a:p>
      </dgm:t>
    </dgm:pt>
    <dgm:pt modelId="{14D43D76-EF3E-4E3A-A784-4FA35B591162}" type="sibTrans" cxnId="{7A8622CA-DAE5-441B-AF51-EADD298D7EC2}">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37387" custScaleY="84950"/>
      <dgm:spPr>
        <a:prstGeom prst="ellipse">
          <a:avLst/>
        </a:prstGeom>
      </dgm:spPr>
      <dgm:t>
        <a:bodyPr/>
        <a:lstStyle/>
        <a:p>
          <a:endParaRPr lang="en-US"/>
        </a:p>
      </dgm:t>
    </dgm:pt>
    <dgm:pt modelId="{DDE83488-D0AF-4A61-9C32-0D1EF5D54320}" type="pres">
      <dgm:prSet presAssocID="{D048942C-F61A-4F2B-B900-E08A5C266B6D}" presName="Name9" presStyleLbl="parChTrans1D2" presStyleIdx="0" presStyleCnt="7"/>
      <dgm:spPr/>
      <dgm:t>
        <a:bodyPr/>
        <a:lstStyle/>
        <a:p>
          <a:endParaRPr lang="en-US"/>
        </a:p>
      </dgm:t>
    </dgm:pt>
    <dgm:pt modelId="{7452C467-723D-40C3-B847-788D2E8C3669}" type="pres">
      <dgm:prSet presAssocID="{D048942C-F61A-4F2B-B900-E08A5C266B6D}" presName="connTx" presStyleLbl="parChTrans1D2" presStyleIdx="0" presStyleCnt="7"/>
      <dgm:spPr/>
      <dgm:t>
        <a:bodyPr/>
        <a:lstStyle/>
        <a:p>
          <a:endParaRPr lang="en-US"/>
        </a:p>
      </dgm:t>
    </dgm:pt>
    <dgm:pt modelId="{5A264607-8295-4AD5-8D4E-5E0F0A25C928}" type="pres">
      <dgm:prSet presAssocID="{3617534A-E595-427C-AC8F-9064DFBAF0A6}" presName="node" presStyleLbl="node1" presStyleIdx="0" presStyleCnt="7" custScaleX="200203" custScaleY="124787">
        <dgm:presLayoutVars>
          <dgm:bulletEnabled val="1"/>
        </dgm:presLayoutVars>
      </dgm:prSet>
      <dgm:spPr/>
      <dgm:t>
        <a:bodyPr/>
        <a:lstStyle/>
        <a:p>
          <a:endParaRPr lang="en-US"/>
        </a:p>
      </dgm:t>
    </dgm:pt>
    <dgm:pt modelId="{64B847BA-C336-4F4D-BCB1-E9F8B02329EB}" type="pres">
      <dgm:prSet presAssocID="{92995B63-ADD2-4A50-AE0E-6CB45D8C6E35}" presName="Name9" presStyleLbl="parChTrans1D2" presStyleIdx="1" presStyleCnt="7"/>
      <dgm:spPr/>
      <dgm:t>
        <a:bodyPr/>
        <a:lstStyle/>
        <a:p>
          <a:endParaRPr lang="en-US"/>
        </a:p>
      </dgm:t>
    </dgm:pt>
    <dgm:pt modelId="{826F95A3-91FC-4B4C-BC2D-78EBAEA00899}" type="pres">
      <dgm:prSet presAssocID="{92995B63-ADD2-4A50-AE0E-6CB45D8C6E35}" presName="connTx" presStyleLbl="parChTrans1D2" presStyleIdx="1" presStyleCnt="7"/>
      <dgm:spPr/>
      <dgm:t>
        <a:bodyPr/>
        <a:lstStyle/>
        <a:p>
          <a:endParaRPr lang="en-US"/>
        </a:p>
      </dgm:t>
    </dgm:pt>
    <dgm:pt modelId="{1AB73DFF-B172-4EE5-8B1D-E235635E7315}" type="pres">
      <dgm:prSet presAssocID="{0312DC60-63F3-4695-A4B2-2143D87CBA69}" presName="node" presStyleLbl="node1" presStyleIdx="1" presStyleCnt="7" custScaleX="274829" custScaleY="116842" custRadScaleRad="177017" custRadScaleInc="58500">
        <dgm:presLayoutVars>
          <dgm:bulletEnabled val="1"/>
        </dgm:presLayoutVars>
      </dgm:prSet>
      <dgm:spPr/>
      <dgm:t>
        <a:bodyPr/>
        <a:lstStyle/>
        <a:p>
          <a:endParaRPr lang="en-US"/>
        </a:p>
      </dgm:t>
    </dgm:pt>
    <dgm:pt modelId="{27C08CD6-CB73-4E0E-BA37-473C15E9C926}" type="pres">
      <dgm:prSet presAssocID="{CB6E0A53-B07E-4B2B-89E7-D1FB86B27272}" presName="Name9" presStyleLbl="parChTrans1D2" presStyleIdx="2" presStyleCnt="7"/>
      <dgm:spPr/>
      <dgm:t>
        <a:bodyPr/>
        <a:lstStyle/>
        <a:p>
          <a:endParaRPr lang="en-US"/>
        </a:p>
      </dgm:t>
    </dgm:pt>
    <dgm:pt modelId="{04068EB3-8728-47DB-8B53-1F3F6EA0E656}" type="pres">
      <dgm:prSet presAssocID="{CB6E0A53-B07E-4B2B-89E7-D1FB86B27272}" presName="connTx" presStyleLbl="parChTrans1D2" presStyleIdx="2" presStyleCnt="7"/>
      <dgm:spPr/>
      <dgm:t>
        <a:bodyPr/>
        <a:lstStyle/>
        <a:p>
          <a:endParaRPr lang="en-US"/>
        </a:p>
      </dgm:t>
    </dgm:pt>
    <dgm:pt modelId="{8441BECF-C9FE-4C31-BFA4-B45EB6B3D1F0}" type="pres">
      <dgm:prSet presAssocID="{45870664-60BD-4390-952C-AB2EEF07F4DD}" presName="node" presStyleLbl="node1" presStyleIdx="2" presStyleCnt="7" custScaleX="288373" custScaleY="107406" custRadScaleRad="275999" custRadScaleInc="-50361">
        <dgm:presLayoutVars>
          <dgm:bulletEnabled val="1"/>
        </dgm:presLayoutVars>
      </dgm:prSet>
      <dgm:spPr>
        <a:prstGeom prst="ellipse">
          <a:avLst/>
        </a:prstGeom>
      </dgm:spPr>
      <dgm:t>
        <a:bodyPr/>
        <a:lstStyle/>
        <a:p>
          <a:endParaRPr lang="en-US"/>
        </a:p>
      </dgm:t>
    </dgm:pt>
    <dgm:pt modelId="{27678B34-738D-4B59-81F4-6EB54DA6F256}" type="pres">
      <dgm:prSet presAssocID="{31D2845E-7763-4EAF-A91C-F687BE68CFA9}" presName="Name9" presStyleLbl="parChTrans1D2" presStyleIdx="3" presStyleCnt="7"/>
      <dgm:spPr/>
      <dgm:t>
        <a:bodyPr/>
        <a:lstStyle/>
        <a:p>
          <a:endParaRPr lang="en-US"/>
        </a:p>
      </dgm:t>
    </dgm:pt>
    <dgm:pt modelId="{0D67A745-92A7-4C43-8F28-25B89678FC62}" type="pres">
      <dgm:prSet presAssocID="{31D2845E-7763-4EAF-A91C-F687BE68CFA9}" presName="connTx" presStyleLbl="parChTrans1D2" presStyleIdx="3" presStyleCnt="7"/>
      <dgm:spPr/>
      <dgm:t>
        <a:bodyPr/>
        <a:lstStyle/>
        <a:p>
          <a:endParaRPr lang="en-US"/>
        </a:p>
      </dgm:t>
    </dgm:pt>
    <dgm:pt modelId="{77E0AE60-7058-4D43-911F-C57FA8C6CA9F}" type="pres">
      <dgm:prSet presAssocID="{3BD68AEB-F6E8-461F-8590-A67172B04D7C}" presName="node" presStyleLbl="node1" presStyleIdx="3" presStyleCnt="7" custScaleX="224489" custScaleY="101570" custRadScaleRad="158125" custRadScaleInc="-133600">
        <dgm:presLayoutVars>
          <dgm:bulletEnabled val="1"/>
        </dgm:presLayoutVars>
      </dgm:prSet>
      <dgm:spPr>
        <a:prstGeom prst="ellipse">
          <a:avLst/>
        </a:prstGeom>
      </dgm:spPr>
      <dgm:t>
        <a:bodyPr/>
        <a:lstStyle/>
        <a:p>
          <a:endParaRPr lang="en-US"/>
        </a:p>
      </dgm:t>
    </dgm:pt>
    <dgm:pt modelId="{EED79A7F-2696-484A-8083-D28DF0387AD5}" type="pres">
      <dgm:prSet presAssocID="{00297025-FE49-44ED-8151-9AC4B35C0885}" presName="Name9" presStyleLbl="parChTrans1D2" presStyleIdx="4" presStyleCnt="7"/>
      <dgm:spPr/>
      <dgm:t>
        <a:bodyPr/>
        <a:lstStyle/>
        <a:p>
          <a:endParaRPr lang="en-US"/>
        </a:p>
      </dgm:t>
    </dgm:pt>
    <dgm:pt modelId="{BEAB3A6A-1AD1-41B3-BDFE-B268898D2300}" type="pres">
      <dgm:prSet presAssocID="{00297025-FE49-44ED-8151-9AC4B35C0885}" presName="connTx" presStyleLbl="parChTrans1D2" presStyleIdx="4" presStyleCnt="7"/>
      <dgm:spPr/>
      <dgm:t>
        <a:bodyPr/>
        <a:lstStyle/>
        <a:p>
          <a:endParaRPr lang="en-US"/>
        </a:p>
      </dgm:t>
    </dgm:pt>
    <dgm:pt modelId="{05994623-F04A-4AAC-82E3-2D63726DAA8A}" type="pres">
      <dgm:prSet presAssocID="{CDE3C2D2-2338-40D3-9864-33A39CCB5CF4}" presName="node" presStyleLbl="node1" presStyleIdx="4" presStyleCnt="7" custScaleX="272443" custScaleY="147043" custRadScaleRad="150809" custRadScaleInc="143297">
        <dgm:presLayoutVars>
          <dgm:bulletEnabled val="1"/>
        </dgm:presLayoutVars>
      </dgm:prSet>
      <dgm:spPr>
        <a:prstGeom prst="ellipse">
          <a:avLst/>
        </a:prstGeom>
      </dgm:spPr>
      <dgm:t>
        <a:bodyPr/>
        <a:lstStyle/>
        <a:p>
          <a:endParaRPr lang="en-US"/>
        </a:p>
      </dgm:t>
    </dgm:pt>
    <dgm:pt modelId="{B654B038-4242-46EF-A10B-FF9B1A085532}" type="pres">
      <dgm:prSet presAssocID="{0740ED97-4265-4052-8B1C-8A14B3879E4E}" presName="Name9" presStyleLbl="parChTrans1D2" presStyleIdx="5" presStyleCnt="7"/>
      <dgm:spPr/>
      <dgm:t>
        <a:bodyPr/>
        <a:lstStyle/>
        <a:p>
          <a:endParaRPr lang="en-US"/>
        </a:p>
      </dgm:t>
    </dgm:pt>
    <dgm:pt modelId="{BA4F9CC8-82E2-4BE5-8120-3D5D089F9CF4}" type="pres">
      <dgm:prSet presAssocID="{0740ED97-4265-4052-8B1C-8A14B3879E4E}" presName="connTx" presStyleLbl="parChTrans1D2" presStyleIdx="5" presStyleCnt="7"/>
      <dgm:spPr/>
      <dgm:t>
        <a:bodyPr/>
        <a:lstStyle/>
        <a:p>
          <a:endParaRPr lang="en-US"/>
        </a:p>
      </dgm:t>
    </dgm:pt>
    <dgm:pt modelId="{3DB28723-07CF-4EFC-8E24-18E41E76D4AF}" type="pres">
      <dgm:prSet presAssocID="{115F3686-56C2-4580-9E8B-FA213D3DA5F6}" presName="node" presStyleLbl="node1" presStyleIdx="5" presStyleCnt="7" custScaleX="267029" custScaleY="115324" custRadScaleRad="290642" custRadScaleInc="45261">
        <dgm:presLayoutVars>
          <dgm:bulletEnabled val="1"/>
        </dgm:presLayoutVars>
      </dgm:prSet>
      <dgm:spPr>
        <a:prstGeom prst="ellipse">
          <a:avLst/>
        </a:prstGeom>
      </dgm:spPr>
      <dgm:t>
        <a:bodyPr/>
        <a:lstStyle/>
        <a:p>
          <a:endParaRPr lang="en-US"/>
        </a:p>
      </dgm:t>
    </dgm:pt>
    <dgm:pt modelId="{AD2F0D4B-AECA-4B10-81AC-261AA8BE8E98}" type="pres">
      <dgm:prSet presAssocID="{7DB15392-F5F7-49E2-8294-51A0B1B620AB}" presName="Name9" presStyleLbl="parChTrans1D2" presStyleIdx="6" presStyleCnt="7"/>
      <dgm:spPr/>
      <dgm:t>
        <a:bodyPr/>
        <a:lstStyle/>
        <a:p>
          <a:endParaRPr lang="en-US"/>
        </a:p>
      </dgm:t>
    </dgm:pt>
    <dgm:pt modelId="{E48FCD09-4C54-4A10-9BB3-1920483E872B}" type="pres">
      <dgm:prSet presAssocID="{7DB15392-F5F7-49E2-8294-51A0B1B620AB}" presName="connTx" presStyleLbl="parChTrans1D2" presStyleIdx="6" presStyleCnt="7"/>
      <dgm:spPr/>
      <dgm:t>
        <a:bodyPr/>
        <a:lstStyle/>
        <a:p>
          <a:endParaRPr lang="en-US"/>
        </a:p>
      </dgm:t>
    </dgm:pt>
    <dgm:pt modelId="{2BEED572-A282-4C32-95EB-3B1996D142B1}" type="pres">
      <dgm:prSet presAssocID="{4E654411-73AD-4DF6-AD3B-E400E531439B}" presName="node" presStyleLbl="node1" presStyleIdx="6" presStyleCnt="7" custScaleX="320438" custScaleY="130892" custRadScaleRad="185872" custRadScaleInc="-61116">
        <dgm:presLayoutVars>
          <dgm:bulletEnabled val="1"/>
        </dgm:presLayoutVars>
      </dgm:prSet>
      <dgm:spPr>
        <a:prstGeom prst="ellipse">
          <a:avLst/>
        </a:prstGeom>
      </dgm:spPr>
      <dgm:t>
        <a:bodyPr/>
        <a:lstStyle/>
        <a:p>
          <a:endParaRPr lang="en-US"/>
        </a:p>
      </dgm:t>
    </dgm:pt>
  </dgm:ptLst>
  <dgm:cxnLst>
    <dgm:cxn modelId="{2350396C-C4DD-4AF1-A620-4B245B1B46B6}" type="presOf" srcId="{CDE3C2D2-2338-40D3-9864-33A39CCB5CF4}" destId="{05994623-F04A-4AAC-82E3-2D63726DAA8A}" srcOrd="0" destOrd="0" presId="urn:microsoft.com/office/officeart/2005/8/layout/radial1"/>
    <dgm:cxn modelId="{F3120C6A-0E90-4C39-8052-E9690F84707C}" type="presOf" srcId="{D048942C-F61A-4F2B-B900-E08A5C266B6D}" destId="{7452C467-723D-40C3-B847-788D2E8C3669}" srcOrd="1" destOrd="0" presId="urn:microsoft.com/office/officeart/2005/8/layout/radial1"/>
    <dgm:cxn modelId="{35D108DA-421B-424D-A21A-41070B9CF15D}" type="presOf" srcId="{CB6E0A53-B07E-4B2B-89E7-D1FB86B27272}" destId="{04068EB3-8728-47DB-8B53-1F3F6EA0E656}" srcOrd="1" destOrd="0" presId="urn:microsoft.com/office/officeart/2005/8/layout/radial1"/>
    <dgm:cxn modelId="{FF862692-6FE1-4C1B-8C29-4A220C00E54C}" srcId="{DE541715-C648-404D-8124-F14F463E9202}" destId="{115F3686-56C2-4580-9E8B-FA213D3DA5F6}" srcOrd="5" destOrd="0" parTransId="{0740ED97-4265-4052-8B1C-8A14B3879E4E}" sibTransId="{E9E35A43-605C-4C5A-B200-2A3B564FFAF5}"/>
    <dgm:cxn modelId="{B41A04B3-9BE1-4CF6-A2C3-F46B1AD6F1CE}" type="presOf" srcId="{31D2845E-7763-4EAF-A91C-F687BE68CFA9}" destId="{27678B34-738D-4B59-81F4-6EB54DA6F256}" srcOrd="0" destOrd="0" presId="urn:microsoft.com/office/officeart/2005/8/layout/radial1"/>
    <dgm:cxn modelId="{42C2BE87-D529-4AA7-8AAA-A9FC8975CB59}" type="presOf" srcId="{115F3686-56C2-4580-9E8B-FA213D3DA5F6}" destId="{3DB28723-07CF-4EFC-8E24-18E41E76D4AF}" srcOrd="0" destOrd="0" presId="urn:microsoft.com/office/officeart/2005/8/layout/radial1"/>
    <dgm:cxn modelId="{DE44E3F2-895F-4288-B777-B8E01A642572}" type="presOf" srcId="{92995B63-ADD2-4A50-AE0E-6CB45D8C6E35}" destId="{64B847BA-C336-4F4D-BCB1-E9F8B02329EB}" srcOrd="0" destOrd="0" presId="urn:microsoft.com/office/officeart/2005/8/layout/radial1"/>
    <dgm:cxn modelId="{EC8507FC-2642-42E6-9660-7800B22A7D37}" type="presOf" srcId="{CB6E0A53-B07E-4B2B-89E7-D1FB86B27272}" destId="{27C08CD6-CB73-4E0E-BA37-473C15E9C926}" srcOrd="0" destOrd="0" presId="urn:microsoft.com/office/officeart/2005/8/layout/radial1"/>
    <dgm:cxn modelId="{09A47097-0636-4788-861C-42C65BC1559D}" type="presOf" srcId="{4E654411-73AD-4DF6-AD3B-E400E531439B}" destId="{2BEED572-A282-4C32-95EB-3B1996D142B1}"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9C0DE266-7566-48D8-B830-B77E723B9F55}" type="presOf" srcId="{0740ED97-4265-4052-8B1C-8A14B3879E4E}" destId="{BA4F9CC8-82E2-4BE5-8120-3D5D089F9CF4}" srcOrd="1" destOrd="0" presId="urn:microsoft.com/office/officeart/2005/8/layout/radial1"/>
    <dgm:cxn modelId="{60C424C7-CC54-4027-B080-4425E7B5050C}" srcId="{DE541715-C648-404D-8124-F14F463E9202}" destId="{CDE3C2D2-2338-40D3-9864-33A39CCB5CF4}" srcOrd="4" destOrd="0" parTransId="{00297025-FE49-44ED-8151-9AC4B35C0885}" sibTransId="{59703DE8-812C-459A-A996-B99B877A6FDC}"/>
    <dgm:cxn modelId="{BF1E2A71-79E3-4694-970B-F6C22B0947D5}" type="presOf" srcId="{92995B63-ADD2-4A50-AE0E-6CB45D8C6E35}" destId="{826F95A3-91FC-4B4C-BC2D-78EBAEA00899}" srcOrd="1" destOrd="0" presId="urn:microsoft.com/office/officeart/2005/8/layout/radial1"/>
    <dgm:cxn modelId="{6BFFB4E4-96F5-4EC2-827F-398721560781}" type="presOf" srcId="{0740ED97-4265-4052-8B1C-8A14B3879E4E}" destId="{B654B038-4242-46EF-A10B-FF9B1A085532}" srcOrd="0" destOrd="0" presId="urn:microsoft.com/office/officeart/2005/8/layout/radial1"/>
    <dgm:cxn modelId="{35F4B81C-B424-4BAF-8B65-409ADA357E54}" type="presOf" srcId="{0312DC60-63F3-4695-A4B2-2143D87CBA69}" destId="{1AB73DFF-B172-4EE5-8B1D-E235635E7315}" srcOrd="0" destOrd="0" presId="urn:microsoft.com/office/officeart/2005/8/layout/radial1"/>
    <dgm:cxn modelId="{07191C33-58DE-4FDD-AFD8-BCB4D520AA36}" type="presOf" srcId="{7DB15392-F5F7-49E2-8294-51A0B1B620AB}" destId="{AD2F0D4B-AECA-4B10-81AC-261AA8BE8E98}" srcOrd="0" destOrd="0" presId="urn:microsoft.com/office/officeart/2005/8/layout/radial1"/>
    <dgm:cxn modelId="{8219E8C0-11D9-4ECE-9E9E-751EEF5551F9}" srcId="{DE541715-C648-404D-8124-F14F463E9202}" destId="{3BD68AEB-F6E8-461F-8590-A67172B04D7C}" srcOrd="3" destOrd="0" parTransId="{31D2845E-7763-4EAF-A91C-F687BE68CFA9}" sibTransId="{93E661BA-0293-4FF1-B933-6256D0B2E24D}"/>
    <dgm:cxn modelId="{28B1935C-154D-4F7F-B0EE-B412FC92C611}" type="presOf" srcId="{DE541715-C648-404D-8124-F14F463E9202}" destId="{062AF917-2F47-4639-8A23-58AD52EC0F32}" srcOrd="0" destOrd="0" presId="urn:microsoft.com/office/officeart/2005/8/layout/radial1"/>
    <dgm:cxn modelId="{867906A4-DB4D-453B-9A5A-E9AEBD9EAF39}" type="presOf" srcId="{00297025-FE49-44ED-8151-9AC4B35C0885}" destId="{EED79A7F-2696-484A-8083-D28DF0387AD5}" srcOrd="0" destOrd="0" presId="urn:microsoft.com/office/officeart/2005/8/layout/radial1"/>
    <dgm:cxn modelId="{7D4075CC-54FC-4475-B528-BF4A705814AE}" type="presOf" srcId="{45870664-60BD-4390-952C-AB2EEF07F4DD}" destId="{8441BECF-C9FE-4C31-BFA4-B45EB6B3D1F0}" srcOrd="0" destOrd="0" presId="urn:microsoft.com/office/officeart/2005/8/layout/radial1"/>
    <dgm:cxn modelId="{071A0A79-57FF-41B1-9D4C-39728F92C7FC}" type="presOf" srcId="{7DB15392-F5F7-49E2-8294-51A0B1B620AB}" destId="{E48FCD09-4C54-4A10-9BB3-1920483E872B}" srcOrd="1" destOrd="0" presId="urn:microsoft.com/office/officeart/2005/8/layout/radial1"/>
    <dgm:cxn modelId="{C80DF295-9AAD-4C0B-B8AF-3EDA956AFFF7}" srcId="{DE541715-C648-404D-8124-F14F463E9202}" destId="{45870664-60BD-4390-952C-AB2EEF07F4DD}" srcOrd="2" destOrd="0" parTransId="{CB6E0A53-B07E-4B2B-89E7-D1FB86B27272}" sibTransId="{E74149DA-41AA-4BE0-B8E7-7965A33DC1B0}"/>
    <dgm:cxn modelId="{0B3F0A88-193B-4430-8F7D-6401D3E31330}" type="presOf" srcId="{31D2845E-7763-4EAF-A91C-F687BE68CFA9}" destId="{0D67A745-92A7-4C43-8F28-25B89678FC62}" srcOrd="1" destOrd="0" presId="urn:microsoft.com/office/officeart/2005/8/layout/radial1"/>
    <dgm:cxn modelId="{76B3045A-1E30-412D-8026-1AF520EBDC9E}" type="presOf" srcId="{34E6C8D5-8D4F-4714-8A12-8F4599A8E760}" destId="{08F189A1-AB47-41D1-8058-7A6DA66B3F52}" srcOrd="0" destOrd="0" presId="urn:microsoft.com/office/officeart/2005/8/layout/radial1"/>
    <dgm:cxn modelId="{EE4D5FAF-863E-48C9-AB0D-53EC38F085F5}" type="presOf" srcId="{D048942C-F61A-4F2B-B900-E08A5C266B6D}" destId="{DDE83488-D0AF-4A61-9C32-0D1EF5D54320}" srcOrd="0" destOrd="0" presId="urn:microsoft.com/office/officeart/2005/8/layout/radial1"/>
    <dgm:cxn modelId="{A12C036A-14E7-451C-80B8-9B5BE762C5B4}" srcId="{DE541715-C648-404D-8124-F14F463E9202}" destId="{4E654411-73AD-4DF6-AD3B-E400E531439B}" srcOrd="6" destOrd="0" parTransId="{7DB15392-F5F7-49E2-8294-51A0B1B620AB}" sibTransId="{2B759E48-7284-455B-851A-DFF88118946F}"/>
    <dgm:cxn modelId="{DFBC9945-F24A-4FC7-8823-F3F218B1EE77}" type="presOf" srcId="{3BD68AEB-F6E8-461F-8590-A67172B04D7C}" destId="{77E0AE60-7058-4D43-911F-C57FA8C6CA9F}" srcOrd="0" destOrd="0" presId="urn:microsoft.com/office/officeart/2005/8/layout/radial1"/>
    <dgm:cxn modelId="{7A8622CA-DAE5-441B-AF51-EADD298D7EC2}" srcId="{DE541715-C648-404D-8124-F14F463E9202}" destId="{3617534A-E595-427C-AC8F-9064DFBAF0A6}" srcOrd="0" destOrd="0" parTransId="{D048942C-F61A-4F2B-B900-E08A5C266B6D}" sibTransId="{14D43D76-EF3E-4E3A-A784-4FA35B591162}"/>
    <dgm:cxn modelId="{97CE5D63-B5EC-4910-A585-3916F3D90753}" srcId="{DE541715-C648-404D-8124-F14F463E9202}" destId="{0312DC60-63F3-4695-A4B2-2143D87CBA69}" srcOrd="1" destOrd="0" parTransId="{92995B63-ADD2-4A50-AE0E-6CB45D8C6E35}" sibTransId="{27B22FCA-D743-4668-A987-13511BDD8FC7}"/>
    <dgm:cxn modelId="{8CBDAC14-3DE6-492B-ACAA-4EB68639BC00}" type="presOf" srcId="{00297025-FE49-44ED-8151-9AC4B35C0885}" destId="{BEAB3A6A-1AD1-41B3-BDFE-B268898D2300}" srcOrd="1" destOrd="0" presId="urn:microsoft.com/office/officeart/2005/8/layout/radial1"/>
    <dgm:cxn modelId="{7DE784D5-9912-4A43-8228-3E519E60E06A}" type="presOf" srcId="{3617534A-E595-427C-AC8F-9064DFBAF0A6}" destId="{5A264607-8295-4AD5-8D4E-5E0F0A25C928}"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FD200A2D-CDBA-43C7-9A8A-7E380D5BF865}" type="presParOf" srcId="{08F189A1-AB47-41D1-8058-7A6DA66B3F52}" destId="{062AF917-2F47-4639-8A23-58AD52EC0F32}" srcOrd="0" destOrd="0" presId="urn:microsoft.com/office/officeart/2005/8/layout/radial1"/>
    <dgm:cxn modelId="{79FB61D6-C8F0-4475-8BD6-782D5C82AA6D}" type="presParOf" srcId="{08F189A1-AB47-41D1-8058-7A6DA66B3F52}" destId="{DDE83488-D0AF-4A61-9C32-0D1EF5D54320}" srcOrd="1" destOrd="0" presId="urn:microsoft.com/office/officeart/2005/8/layout/radial1"/>
    <dgm:cxn modelId="{6CC39DB1-6DF2-434E-B5BB-A2186638709D}" type="presParOf" srcId="{DDE83488-D0AF-4A61-9C32-0D1EF5D54320}" destId="{7452C467-723D-40C3-B847-788D2E8C3669}" srcOrd="0" destOrd="0" presId="urn:microsoft.com/office/officeart/2005/8/layout/radial1"/>
    <dgm:cxn modelId="{B7EBADC2-D1B6-4D3D-87F6-D1D55497B67A}" type="presParOf" srcId="{08F189A1-AB47-41D1-8058-7A6DA66B3F52}" destId="{5A264607-8295-4AD5-8D4E-5E0F0A25C928}" srcOrd="2" destOrd="0" presId="urn:microsoft.com/office/officeart/2005/8/layout/radial1"/>
    <dgm:cxn modelId="{5D08E420-4F33-4659-A749-9C8C0D15FA21}" type="presParOf" srcId="{08F189A1-AB47-41D1-8058-7A6DA66B3F52}" destId="{64B847BA-C336-4F4D-BCB1-E9F8B02329EB}" srcOrd="3" destOrd="0" presId="urn:microsoft.com/office/officeart/2005/8/layout/radial1"/>
    <dgm:cxn modelId="{9D7AE254-9963-48B8-B397-658070AB17CA}" type="presParOf" srcId="{64B847BA-C336-4F4D-BCB1-E9F8B02329EB}" destId="{826F95A3-91FC-4B4C-BC2D-78EBAEA00899}" srcOrd="0" destOrd="0" presId="urn:microsoft.com/office/officeart/2005/8/layout/radial1"/>
    <dgm:cxn modelId="{51E61199-4A5E-4D23-8F9D-2B86AD15AF2B}" type="presParOf" srcId="{08F189A1-AB47-41D1-8058-7A6DA66B3F52}" destId="{1AB73DFF-B172-4EE5-8B1D-E235635E7315}" srcOrd="4" destOrd="0" presId="urn:microsoft.com/office/officeart/2005/8/layout/radial1"/>
    <dgm:cxn modelId="{540A2E48-3986-412E-B6E6-6E84741E1CCD}" type="presParOf" srcId="{08F189A1-AB47-41D1-8058-7A6DA66B3F52}" destId="{27C08CD6-CB73-4E0E-BA37-473C15E9C926}" srcOrd="5" destOrd="0" presId="urn:microsoft.com/office/officeart/2005/8/layout/radial1"/>
    <dgm:cxn modelId="{3FF4F6AC-7A6A-41D1-AFC4-E685B4CC53A8}" type="presParOf" srcId="{27C08CD6-CB73-4E0E-BA37-473C15E9C926}" destId="{04068EB3-8728-47DB-8B53-1F3F6EA0E656}" srcOrd="0" destOrd="0" presId="urn:microsoft.com/office/officeart/2005/8/layout/radial1"/>
    <dgm:cxn modelId="{FEC49008-7AF2-4551-B6DF-62A018BE3845}" type="presParOf" srcId="{08F189A1-AB47-41D1-8058-7A6DA66B3F52}" destId="{8441BECF-C9FE-4C31-BFA4-B45EB6B3D1F0}" srcOrd="6" destOrd="0" presId="urn:microsoft.com/office/officeart/2005/8/layout/radial1"/>
    <dgm:cxn modelId="{529ADB57-CA0E-409D-BB58-E754A28C400D}" type="presParOf" srcId="{08F189A1-AB47-41D1-8058-7A6DA66B3F52}" destId="{27678B34-738D-4B59-81F4-6EB54DA6F256}" srcOrd="7" destOrd="0" presId="urn:microsoft.com/office/officeart/2005/8/layout/radial1"/>
    <dgm:cxn modelId="{3B530D86-243A-4DDF-A36D-080E403FB260}" type="presParOf" srcId="{27678B34-738D-4B59-81F4-6EB54DA6F256}" destId="{0D67A745-92A7-4C43-8F28-25B89678FC62}" srcOrd="0" destOrd="0" presId="urn:microsoft.com/office/officeart/2005/8/layout/radial1"/>
    <dgm:cxn modelId="{6D1FE6F3-0267-4FB6-B60B-183D833AF553}" type="presParOf" srcId="{08F189A1-AB47-41D1-8058-7A6DA66B3F52}" destId="{77E0AE60-7058-4D43-911F-C57FA8C6CA9F}" srcOrd="8" destOrd="0" presId="urn:microsoft.com/office/officeart/2005/8/layout/radial1"/>
    <dgm:cxn modelId="{5BB05030-990D-44A6-A292-B83744E45874}" type="presParOf" srcId="{08F189A1-AB47-41D1-8058-7A6DA66B3F52}" destId="{EED79A7F-2696-484A-8083-D28DF0387AD5}" srcOrd="9" destOrd="0" presId="urn:microsoft.com/office/officeart/2005/8/layout/radial1"/>
    <dgm:cxn modelId="{2DBA4A3F-C90F-44E7-85B1-B1DCFDA01F4E}" type="presParOf" srcId="{EED79A7F-2696-484A-8083-D28DF0387AD5}" destId="{BEAB3A6A-1AD1-41B3-BDFE-B268898D2300}" srcOrd="0" destOrd="0" presId="urn:microsoft.com/office/officeart/2005/8/layout/radial1"/>
    <dgm:cxn modelId="{78101241-A196-4405-9879-BBEC140F16E7}" type="presParOf" srcId="{08F189A1-AB47-41D1-8058-7A6DA66B3F52}" destId="{05994623-F04A-4AAC-82E3-2D63726DAA8A}" srcOrd="10" destOrd="0" presId="urn:microsoft.com/office/officeart/2005/8/layout/radial1"/>
    <dgm:cxn modelId="{2CD77877-1667-400C-8EEA-97B95CC8C8C9}" type="presParOf" srcId="{08F189A1-AB47-41D1-8058-7A6DA66B3F52}" destId="{B654B038-4242-46EF-A10B-FF9B1A085532}" srcOrd="11" destOrd="0" presId="urn:microsoft.com/office/officeart/2005/8/layout/radial1"/>
    <dgm:cxn modelId="{F20B0A64-37CC-443D-B247-36481E09260D}" type="presParOf" srcId="{B654B038-4242-46EF-A10B-FF9B1A085532}" destId="{BA4F9CC8-82E2-4BE5-8120-3D5D089F9CF4}" srcOrd="0" destOrd="0" presId="urn:microsoft.com/office/officeart/2005/8/layout/radial1"/>
    <dgm:cxn modelId="{F9C95D84-62B2-4D26-8D74-F35BFF580E46}" type="presParOf" srcId="{08F189A1-AB47-41D1-8058-7A6DA66B3F52}" destId="{3DB28723-07CF-4EFC-8E24-18E41E76D4AF}" srcOrd="12" destOrd="0" presId="urn:microsoft.com/office/officeart/2005/8/layout/radial1"/>
    <dgm:cxn modelId="{F68C7084-19F9-445A-8C0B-28FF67E20170}" type="presParOf" srcId="{08F189A1-AB47-41D1-8058-7A6DA66B3F52}" destId="{AD2F0D4B-AECA-4B10-81AC-261AA8BE8E98}" srcOrd="13" destOrd="0" presId="urn:microsoft.com/office/officeart/2005/8/layout/radial1"/>
    <dgm:cxn modelId="{8323749E-9428-42E7-84BD-F6527D302238}" type="presParOf" srcId="{AD2F0D4B-AECA-4B10-81AC-261AA8BE8E98}" destId="{E48FCD09-4C54-4A10-9BB3-1920483E872B}" srcOrd="0" destOrd="0" presId="urn:microsoft.com/office/officeart/2005/8/layout/radial1"/>
    <dgm:cxn modelId="{85BD7175-FAD2-4649-ACDD-D8FC02B45402}" type="presParOf" srcId="{08F189A1-AB47-41D1-8058-7A6DA66B3F52}" destId="{2BEED572-A282-4C32-95EB-3B1996D142B1}" srcOrd="14" destOrd="0" presId="urn:microsoft.com/office/officeart/2005/8/layout/radial1"/>
  </dgm:cxnLst>
  <dgm:bg/>
  <dgm:whole/>
  <dgm:extLst>
    <a:ext uri="http://schemas.microsoft.com/office/drawing/2008/diagram">
      <dsp:dataModelExt xmlns:dsp="http://schemas.microsoft.com/office/drawing/2008/diagram" relId="rId64" minVer="http://schemas.openxmlformats.org/drawingml/2006/diagram"/>
    </a:ext>
    <a:ext uri="{C62137D5-CB1D-491B-B009-E17868A290BF}">
      <dgm14:recolorImg xmlns:dgm14="http://schemas.microsoft.com/office/drawing/2010/diagram" val="1"/>
    </a:ext>
  </dgm:extLst>
</dgm:dataModel>
</file>

<file path=word/diagrams/data6.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71164" y="566567"/>
          <a:ext cx="1265647" cy="384097"/>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2291946" y="1066913"/>
          <a:ext cx="1409249" cy="41662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31</a:t>
          </a:r>
        </a:p>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La Haya</a:t>
          </a: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5449353">
          <a:off x="2942264" y="1002570"/>
          <a:ext cx="116264" cy="1243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4428751" y="528256"/>
          <a:ext cx="1137996" cy="46272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729">
          <a:off x="3636811" y="752915"/>
          <a:ext cx="791940" cy="1243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2325568" y="30863"/>
          <a:ext cx="1361313" cy="41932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214841">
          <a:off x="2946877" y="502158"/>
          <a:ext cx="116382" cy="1243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1C9E753-F212-4257-9A94-5537ADFE5943}">
      <dgm:prSet phldrT="[Text]" custT="1"/>
      <dgm:spPr>
        <a:xfrm>
          <a:off x="348963" y="530449"/>
          <a:ext cx="1209560" cy="462236"/>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32</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Lisboa</a:t>
          </a:r>
        </a:p>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F9B6D57-E004-4603-A3A8-3A2B6A815956}" type="parTrans" cxnId="{46C2FB3A-BC61-4C22-A3CC-12E30BF0C032}">
      <dgm:prSet/>
      <dgm:spPr>
        <a:xfrm rot="10795050">
          <a:off x="1558519" y="753893"/>
          <a:ext cx="812652" cy="1243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0399FCC-9C49-4F86-8EA2-A1E913A65726}" type="sibTrans" cxnId="{46C2FB3A-BC61-4C22-A3CC-12E30BF0C032}">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08203" custScaleY="93533" custLinFactNeighborX="1339" custLinFactNeighborY="1618"/>
      <dgm:spPr>
        <a:prstGeom prst="ellipse">
          <a:avLst/>
        </a:prstGeom>
      </dgm:spPr>
      <dgm:t>
        <a:bodyPr/>
        <a:lstStyle/>
        <a:p>
          <a:endParaRPr lang="en-US"/>
        </a:p>
      </dgm:t>
    </dgm:pt>
    <dgm:pt modelId="{5337AE63-3722-42CC-AF72-36670EB7C5E1}" type="pres">
      <dgm:prSet presAssocID="{7AF774ED-547E-4C04-8670-B0C1D08C5EE9}" presName="Name9" presStyleLbl="parChTrans1D2" presStyleIdx="0" presStyleCnt="4"/>
      <dgm:spPr>
        <a:custGeom>
          <a:avLst/>
          <a:gdLst/>
          <a:ahLst/>
          <a:cxnLst/>
          <a:rect l="0" t="0" r="0" b="0"/>
          <a:pathLst>
            <a:path>
              <a:moveTo>
                <a:pt x="0" y="6158"/>
              </a:moveTo>
              <a:lnTo>
                <a:pt x="115978" y="6158"/>
              </a:lnTo>
            </a:path>
          </a:pathLst>
        </a:custGeom>
      </dgm:spPr>
      <dgm:t>
        <a:bodyPr/>
        <a:lstStyle/>
        <a:p>
          <a:endParaRPr lang="en-US"/>
        </a:p>
      </dgm:t>
    </dgm:pt>
    <dgm:pt modelId="{326412CE-9911-4799-A459-B56F02EB4473}" type="pres">
      <dgm:prSet presAssocID="{7AF774ED-547E-4C04-8670-B0C1D08C5EE9}" presName="connTx" presStyleLbl="parChTrans1D2" presStyleIdx="0" presStyleCnt="4"/>
      <dgm:spPr/>
      <dgm:t>
        <a:bodyPr/>
        <a:lstStyle/>
        <a:p>
          <a:endParaRPr lang="en-US"/>
        </a:p>
      </dgm:t>
    </dgm:pt>
    <dgm:pt modelId="{CED9197C-8322-406B-917C-172FA36E7B76}" type="pres">
      <dgm:prSet presAssocID="{960C5593-E0FF-4AA5-AA0B-E8BDFFBC5E53}" presName="node" presStyleLbl="node1" presStyleIdx="0" presStyleCnt="4" custScaleX="429949" custScaleY="102111" custRadScaleRad="93857" custRadScaleInc="4202">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1" presStyleCnt="4"/>
      <dgm:spPr>
        <a:custGeom>
          <a:avLst/>
          <a:gdLst/>
          <a:ahLst/>
          <a:cxnLst/>
          <a:rect l="0" t="0" r="0" b="0"/>
          <a:pathLst>
            <a:path>
              <a:moveTo>
                <a:pt x="0" y="6158"/>
              </a:moveTo>
              <a:lnTo>
                <a:pt x="850274" y="6158"/>
              </a:lnTo>
            </a:path>
          </a:pathLst>
        </a:custGeom>
      </dgm:spPr>
      <dgm:t>
        <a:bodyPr/>
        <a:lstStyle/>
        <a:p>
          <a:endParaRPr lang="en-US"/>
        </a:p>
      </dgm:t>
    </dgm:pt>
    <dgm:pt modelId="{62A1F741-432F-46BE-AE07-15F0B6D5EA89}" type="pres">
      <dgm:prSet presAssocID="{4693CA52-075F-4BD8-ABEA-5368BE377DDA}" presName="connTx" presStyleLbl="parChTrans1D2" presStyleIdx="1" presStyleCnt="4"/>
      <dgm:spPr/>
      <dgm:t>
        <a:bodyPr/>
        <a:lstStyle/>
        <a:p>
          <a:endParaRPr lang="en-US"/>
        </a:p>
      </dgm:t>
    </dgm:pt>
    <dgm:pt modelId="{035B4C9A-0916-4FCC-A1CF-85DB358A289A}" type="pres">
      <dgm:prSet presAssocID="{4631C2C5-1554-4289-90B0-F2D55D1595B6}" presName="node" presStyleLbl="node1" presStyleIdx="1" presStyleCnt="4" custScaleX="277118" custScaleY="112680" custRadScaleRad="376138" custRadScaleInc="1159">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4"/>
      <dgm:spPr>
        <a:custGeom>
          <a:avLst/>
          <a:gdLst/>
          <a:ahLst/>
          <a:cxnLst/>
          <a:rect l="0" t="0" r="0" b="0"/>
          <a:pathLst>
            <a:path>
              <a:moveTo>
                <a:pt x="0" y="6158"/>
              </a:moveTo>
              <a:lnTo>
                <a:pt x="118504" y="6158"/>
              </a:lnTo>
            </a:path>
          </a:pathLst>
        </a:custGeom>
      </dgm:spPr>
      <dgm:t>
        <a:bodyPr/>
        <a:lstStyle/>
        <a:p>
          <a:endParaRPr lang="en-US"/>
        </a:p>
      </dgm:t>
    </dgm:pt>
    <dgm:pt modelId="{EA4144E0-C5B2-4FC0-BDB2-550B61DB7DFD}" type="pres">
      <dgm:prSet presAssocID="{0FABC453-0A5C-4CAE-813B-F0494A34E025}" presName="connTx" presStyleLbl="parChTrans1D2" presStyleIdx="2" presStyleCnt="4"/>
      <dgm:spPr/>
      <dgm:t>
        <a:bodyPr/>
        <a:lstStyle/>
        <a:p>
          <a:endParaRPr lang="en-US"/>
        </a:p>
      </dgm:t>
    </dgm:pt>
    <dgm:pt modelId="{0FAF3FA1-8E6C-455E-B189-A468B3F4D8BC}" type="pres">
      <dgm:prSet presAssocID="{C06C39C9-71B8-489C-9C45-3DD37A424E39}" presName="node" presStyleLbl="node1" presStyleIdx="2" presStyleCnt="4" custScaleX="389275" custScaleY="101453" custRadScaleRad="105187" custRadScaleInc="-1560">
        <dgm:presLayoutVars>
          <dgm:bulletEnabled val="1"/>
        </dgm:presLayoutVars>
      </dgm:prSet>
      <dgm:spPr>
        <a:prstGeom prst="ellipse">
          <a:avLst/>
        </a:prstGeom>
      </dgm:spPr>
      <dgm:t>
        <a:bodyPr/>
        <a:lstStyle/>
        <a:p>
          <a:endParaRPr lang="en-US"/>
        </a:p>
      </dgm:t>
    </dgm:pt>
    <dgm:pt modelId="{9A56F0B1-9466-40E9-8BFA-10DF1330E460}" type="pres">
      <dgm:prSet presAssocID="{0F9B6D57-E004-4603-A3A8-3A2B6A815956}" presName="Name9" presStyleLbl="parChTrans1D2" presStyleIdx="3" presStyleCnt="4"/>
      <dgm:spPr>
        <a:custGeom>
          <a:avLst/>
          <a:gdLst/>
          <a:ahLst/>
          <a:cxnLst/>
          <a:rect l="0" t="0" r="0" b="0"/>
          <a:pathLst>
            <a:path>
              <a:moveTo>
                <a:pt x="0" y="6158"/>
              </a:moveTo>
              <a:lnTo>
                <a:pt x="840874" y="6158"/>
              </a:lnTo>
            </a:path>
          </a:pathLst>
        </a:custGeom>
      </dgm:spPr>
      <dgm:t>
        <a:bodyPr/>
        <a:lstStyle/>
        <a:p>
          <a:endParaRPr lang="en-US"/>
        </a:p>
      </dgm:t>
    </dgm:pt>
    <dgm:pt modelId="{5B61520A-D966-494F-A7BF-91A6C71C68DF}" type="pres">
      <dgm:prSet presAssocID="{0F9B6D57-E004-4603-A3A8-3A2B6A815956}" presName="connTx" presStyleLbl="parChTrans1D2" presStyleIdx="3" presStyleCnt="4"/>
      <dgm:spPr/>
      <dgm:t>
        <a:bodyPr/>
        <a:lstStyle/>
        <a:p>
          <a:endParaRPr lang="en-US"/>
        </a:p>
      </dgm:t>
    </dgm:pt>
    <dgm:pt modelId="{1826B69E-77B8-4580-ABF8-4926B99AA206}" type="pres">
      <dgm:prSet presAssocID="{11C9E753-F212-4257-9A94-5537ADFE5943}" presName="node" presStyleLbl="node1" presStyleIdx="3" presStyleCnt="4" custScaleX="351435" custScaleY="112561" custRadScaleRad="381365" custRadScaleInc="-1265">
        <dgm:presLayoutVars>
          <dgm:bulletEnabled val="1"/>
        </dgm:presLayoutVars>
      </dgm:prSet>
      <dgm:spPr>
        <a:prstGeom prst="ellipse">
          <a:avLst/>
        </a:prstGeom>
      </dgm:spPr>
      <dgm:t>
        <a:bodyPr/>
        <a:lstStyle/>
        <a:p>
          <a:endParaRPr lang="en-US"/>
        </a:p>
      </dgm:t>
    </dgm:pt>
  </dgm:ptLst>
  <dgm:cxnLst>
    <dgm:cxn modelId="{305510A4-885A-4433-8998-AA820D7A19B8}" type="presOf" srcId="{0FABC453-0A5C-4CAE-813B-F0494A34E025}" destId="{ADF94B70-0D7F-4A27-8DF9-17BCD27F4A7A}"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E0F9BBE7-B2C1-4989-91F9-6B50D413B0C3}" type="presOf" srcId="{11C9E753-F212-4257-9A94-5537ADFE5943}" destId="{1826B69E-77B8-4580-ABF8-4926B99AA206}" srcOrd="0" destOrd="0" presId="urn:microsoft.com/office/officeart/2005/8/layout/radial1"/>
    <dgm:cxn modelId="{46C2FB3A-BC61-4C22-A3CC-12E30BF0C032}" srcId="{DE541715-C648-404D-8124-F14F463E9202}" destId="{11C9E753-F212-4257-9A94-5537ADFE5943}" srcOrd="3" destOrd="0" parTransId="{0F9B6D57-E004-4603-A3A8-3A2B6A815956}" sibTransId="{C0399FCC-9C49-4F86-8EA2-A1E913A65726}"/>
    <dgm:cxn modelId="{DC584F71-3B52-4AAC-A33F-047267C7F953}" type="presOf" srcId="{4693CA52-075F-4BD8-ABEA-5368BE377DDA}" destId="{4AC11394-3179-4EC5-A97F-D1A1B521CE2F}" srcOrd="0" destOrd="0" presId="urn:microsoft.com/office/officeart/2005/8/layout/radial1"/>
    <dgm:cxn modelId="{96436E8F-99A3-44C6-A09E-94D96E9649D7}" type="presOf" srcId="{0F9B6D57-E004-4603-A3A8-3A2B6A815956}" destId="{5B61520A-D966-494F-A7BF-91A6C71C68DF}" srcOrd="1" destOrd="0" presId="urn:microsoft.com/office/officeart/2005/8/layout/radial1"/>
    <dgm:cxn modelId="{EA24B731-A8EB-4847-A61A-421E5532F6FC}" type="presOf" srcId="{4631C2C5-1554-4289-90B0-F2D55D1595B6}" destId="{035B4C9A-0916-4FCC-A1CF-85DB358A289A}" srcOrd="0" destOrd="0" presId="urn:microsoft.com/office/officeart/2005/8/layout/radial1"/>
    <dgm:cxn modelId="{D85BB1E9-D7C2-466C-875D-5AA6FDDD9214}" type="presOf" srcId="{960C5593-E0FF-4AA5-AA0B-E8BDFFBC5E53}" destId="{CED9197C-8322-406B-917C-172FA36E7B76}" srcOrd="0" destOrd="0" presId="urn:microsoft.com/office/officeart/2005/8/layout/radial1"/>
    <dgm:cxn modelId="{0E5FD77B-784F-4D53-ACB3-6639B5EFAD37}" type="presOf" srcId="{DE541715-C648-404D-8124-F14F463E9202}" destId="{062AF917-2F47-4639-8A23-58AD52EC0F32}" srcOrd="0" destOrd="0" presId="urn:microsoft.com/office/officeart/2005/8/layout/radial1"/>
    <dgm:cxn modelId="{9DD1132E-B0BC-4BB9-9E7A-C7909EE3ADD4}" type="presOf" srcId="{0F9B6D57-E004-4603-A3A8-3A2B6A815956}" destId="{9A56F0B1-9466-40E9-8BFA-10DF1330E460}" srcOrd="0" destOrd="0" presId="urn:microsoft.com/office/officeart/2005/8/layout/radial1"/>
    <dgm:cxn modelId="{DF9597CA-953B-4756-A1B6-867C199836A8}" type="presOf" srcId="{34E6C8D5-8D4F-4714-8A12-8F4599A8E760}" destId="{08F189A1-AB47-41D1-8058-7A6DA66B3F52}"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529D05ED-97D5-4116-BE13-DE3D93351F7F}" srcId="{DE541715-C648-404D-8124-F14F463E9202}" destId="{960C5593-E0FF-4AA5-AA0B-E8BDFFBC5E53}" srcOrd="0" destOrd="0" parTransId="{7AF774ED-547E-4C04-8670-B0C1D08C5EE9}" sibTransId="{88F12DF7-015F-4F26-950A-DAE493699644}"/>
    <dgm:cxn modelId="{B773BE14-0941-4217-849B-391BCFBD8361}" type="presOf" srcId="{0FABC453-0A5C-4CAE-813B-F0494A34E025}" destId="{EA4144E0-C5B2-4FC0-BDB2-550B61DB7DFD}" srcOrd="1" destOrd="0" presId="urn:microsoft.com/office/officeart/2005/8/layout/radial1"/>
    <dgm:cxn modelId="{BF65F824-D4F4-4A84-83B4-6B1944B62AAD}" srcId="{DE541715-C648-404D-8124-F14F463E9202}" destId="{4631C2C5-1554-4289-90B0-F2D55D1595B6}" srcOrd="1" destOrd="0" parTransId="{4693CA52-075F-4BD8-ABEA-5368BE377DDA}" sibTransId="{9B3CB24D-A47A-4081-B256-B868D89D5387}"/>
    <dgm:cxn modelId="{27A524DC-6243-4526-819D-F7CAF8F8391F}" type="presOf" srcId="{C06C39C9-71B8-489C-9C45-3DD37A424E39}" destId="{0FAF3FA1-8E6C-455E-B189-A468B3F4D8BC}" srcOrd="0" destOrd="0" presId="urn:microsoft.com/office/officeart/2005/8/layout/radial1"/>
    <dgm:cxn modelId="{30D6A8B9-E65F-40A8-9774-DC3BAC4BDC23}" type="presOf" srcId="{4693CA52-075F-4BD8-ABEA-5368BE377DDA}" destId="{62A1F741-432F-46BE-AE07-15F0B6D5EA89}" srcOrd="1" destOrd="0" presId="urn:microsoft.com/office/officeart/2005/8/layout/radial1"/>
    <dgm:cxn modelId="{CBE046F7-3524-4ED6-ABCE-B9C561722401}" type="presOf" srcId="{7AF774ED-547E-4C04-8670-B0C1D08C5EE9}" destId="{5337AE63-3722-42CC-AF72-36670EB7C5E1}" srcOrd="0" destOrd="0" presId="urn:microsoft.com/office/officeart/2005/8/layout/radial1"/>
    <dgm:cxn modelId="{111925CB-26A8-4EF0-83E2-1F4ABBDA733B}" type="presOf" srcId="{7AF774ED-547E-4C04-8670-B0C1D08C5EE9}" destId="{326412CE-9911-4799-A459-B56F02EB4473}" srcOrd="1" destOrd="0" presId="urn:microsoft.com/office/officeart/2005/8/layout/radial1"/>
    <dgm:cxn modelId="{248698A6-055B-40E3-B808-D624056EF2B0}" srcId="{DE541715-C648-404D-8124-F14F463E9202}" destId="{C06C39C9-71B8-489C-9C45-3DD37A424E39}" srcOrd="2" destOrd="0" parTransId="{0FABC453-0A5C-4CAE-813B-F0494A34E025}" sibTransId="{DCD34884-F96E-475A-9010-14DE66A403A6}"/>
    <dgm:cxn modelId="{5E0FB464-A03D-4C8D-927E-B6051C8B2D9B}" type="presParOf" srcId="{08F189A1-AB47-41D1-8058-7A6DA66B3F52}" destId="{062AF917-2F47-4639-8A23-58AD52EC0F32}" srcOrd="0" destOrd="0" presId="urn:microsoft.com/office/officeart/2005/8/layout/radial1"/>
    <dgm:cxn modelId="{DE6B2972-D5EA-4FDE-B340-71F3F87CEC7D}" type="presParOf" srcId="{08F189A1-AB47-41D1-8058-7A6DA66B3F52}" destId="{5337AE63-3722-42CC-AF72-36670EB7C5E1}" srcOrd="1" destOrd="0" presId="urn:microsoft.com/office/officeart/2005/8/layout/radial1"/>
    <dgm:cxn modelId="{FFA1FF23-1B27-4794-B535-3D9337FBBE1B}" type="presParOf" srcId="{5337AE63-3722-42CC-AF72-36670EB7C5E1}" destId="{326412CE-9911-4799-A459-B56F02EB4473}" srcOrd="0" destOrd="0" presId="urn:microsoft.com/office/officeart/2005/8/layout/radial1"/>
    <dgm:cxn modelId="{D30A4230-4F71-4F5E-A886-43BD05F9F947}" type="presParOf" srcId="{08F189A1-AB47-41D1-8058-7A6DA66B3F52}" destId="{CED9197C-8322-406B-917C-172FA36E7B76}" srcOrd="2" destOrd="0" presId="urn:microsoft.com/office/officeart/2005/8/layout/radial1"/>
    <dgm:cxn modelId="{53EEDD3C-7148-413F-8795-751121556EC2}" type="presParOf" srcId="{08F189A1-AB47-41D1-8058-7A6DA66B3F52}" destId="{4AC11394-3179-4EC5-A97F-D1A1B521CE2F}" srcOrd="3" destOrd="0" presId="urn:microsoft.com/office/officeart/2005/8/layout/radial1"/>
    <dgm:cxn modelId="{0BC1DB48-A3D1-418A-8E23-AA0179D35807}" type="presParOf" srcId="{4AC11394-3179-4EC5-A97F-D1A1B521CE2F}" destId="{62A1F741-432F-46BE-AE07-15F0B6D5EA89}" srcOrd="0" destOrd="0" presId="urn:microsoft.com/office/officeart/2005/8/layout/radial1"/>
    <dgm:cxn modelId="{AE16C988-3806-487F-B629-B0E2D0914222}" type="presParOf" srcId="{08F189A1-AB47-41D1-8058-7A6DA66B3F52}" destId="{035B4C9A-0916-4FCC-A1CF-85DB358A289A}" srcOrd="4" destOrd="0" presId="urn:microsoft.com/office/officeart/2005/8/layout/radial1"/>
    <dgm:cxn modelId="{821D14C3-AD0A-41F9-B805-B369E4C26465}" type="presParOf" srcId="{08F189A1-AB47-41D1-8058-7A6DA66B3F52}" destId="{ADF94B70-0D7F-4A27-8DF9-17BCD27F4A7A}" srcOrd="5" destOrd="0" presId="urn:microsoft.com/office/officeart/2005/8/layout/radial1"/>
    <dgm:cxn modelId="{93D01618-64D6-4534-98F7-3677A1E0483F}" type="presParOf" srcId="{ADF94B70-0D7F-4A27-8DF9-17BCD27F4A7A}" destId="{EA4144E0-C5B2-4FC0-BDB2-550B61DB7DFD}" srcOrd="0" destOrd="0" presId="urn:microsoft.com/office/officeart/2005/8/layout/radial1"/>
    <dgm:cxn modelId="{F95C026E-06DC-4199-90D9-56AC4695BA00}" type="presParOf" srcId="{08F189A1-AB47-41D1-8058-7A6DA66B3F52}" destId="{0FAF3FA1-8E6C-455E-B189-A468B3F4D8BC}" srcOrd="6" destOrd="0" presId="urn:microsoft.com/office/officeart/2005/8/layout/radial1"/>
    <dgm:cxn modelId="{85D57EC5-6E7E-491D-A3CF-14523A624249}" type="presParOf" srcId="{08F189A1-AB47-41D1-8058-7A6DA66B3F52}" destId="{9A56F0B1-9466-40E9-8BFA-10DF1330E460}" srcOrd="7" destOrd="0" presId="urn:microsoft.com/office/officeart/2005/8/layout/radial1"/>
    <dgm:cxn modelId="{89B405DD-1A2A-4EF3-A28A-06ABEDD9BB88}" type="presParOf" srcId="{9A56F0B1-9466-40E9-8BFA-10DF1330E460}" destId="{5B61520A-D966-494F-A7BF-91A6C71C68DF}" srcOrd="0" destOrd="0" presId="urn:microsoft.com/office/officeart/2005/8/layout/radial1"/>
    <dgm:cxn modelId="{F9830F01-6E80-48F0-AF2D-010E4A7CE8BD}" type="presParOf" srcId="{08F189A1-AB47-41D1-8058-7A6DA66B3F52}" destId="{1826B69E-77B8-4580-ABF8-4926B99AA206}" srcOrd="8" destOrd="0" presId="urn:microsoft.com/office/officeart/2005/8/layout/radial1"/>
  </dgm:cxnLst>
  <dgm:bg/>
  <dgm:whole/>
  <dgm:extLst>
    <a:ext uri="http://schemas.microsoft.com/office/drawing/2008/diagram">
      <dsp:dataModelExt xmlns:dsp="http://schemas.microsoft.com/office/drawing/2008/diagram" relId="rId71" minVer="http://schemas.openxmlformats.org/drawingml/2006/diagram"/>
    </a:ext>
    <a:ext uri="{C62137D5-CB1D-491B-B009-E17868A290BF}">
      <dgm14:recolorImg xmlns:dgm14="http://schemas.microsoft.com/office/drawing/2010/diagram" val="1"/>
    </a:ext>
  </dgm:extLst>
</dgm:dataModel>
</file>

<file path=word/diagrams/data7.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047009" y="751101"/>
          <a:ext cx="1356160" cy="556846"/>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31</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154299" y="782942"/>
          <a:ext cx="1434875" cy="50215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en T/D</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791658">
          <a:off x="1589157" y="1022591"/>
          <a:ext cx="457865" cy="1826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1967338" y="0"/>
          <a:ext cx="1512650" cy="57683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Madrid</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6193386">
          <a:off x="2637251" y="654832"/>
          <a:ext cx="174270" cy="1826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C260341-F1C3-4458-A657-957289015FC3}">
      <dgm:prSet phldrT="[Text]" custT="1"/>
      <dgm:spPr>
        <a:xfrm>
          <a:off x="3824740" y="770785"/>
          <a:ext cx="1507315" cy="52057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gm:t>
    </dgm:pt>
    <dgm:pt modelId="{45A6C23B-D452-4078-BA3A-466D0894B9EB}" type="parTrans" cxnId="{0266A1D0-CEC9-45F3-8B31-A21772E8AA19}">
      <dgm:prSet/>
      <dgm:spPr>
        <a:xfrm rot="2869">
          <a:off x="3403168" y="1021132"/>
          <a:ext cx="421574" cy="1826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B7C331-6FB9-4771-84B2-9F75AB1415C9}" type="sibTrans" cxnId="{0266A1D0-CEC9-45F3-8B31-A21772E8AA19}">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43543" custLinFactNeighborX="0" custLinFactNeighborY="386"/>
      <dgm:spPr>
        <a:prstGeom prst="ellipse">
          <a:avLst/>
        </a:prstGeom>
      </dgm:spPr>
      <dgm:t>
        <a:bodyPr/>
        <a:lstStyle/>
        <a:p>
          <a:endParaRPr lang="en-US"/>
        </a:p>
      </dgm:t>
    </dgm:pt>
    <dgm:pt modelId="{4AC11394-3179-4EC5-A97F-D1A1B521CE2F}" type="pres">
      <dgm:prSet presAssocID="{4693CA52-075F-4BD8-ABEA-5368BE377DDA}" presName="Name9" presStyleLbl="parChTrans1D2" presStyleIdx="0" presStyleCnt="3"/>
      <dgm:spPr>
        <a:custGeom>
          <a:avLst/>
          <a:gdLst/>
          <a:ahLst/>
          <a:cxnLst/>
          <a:rect l="0" t="0" r="0" b="0"/>
          <a:pathLst>
            <a:path>
              <a:moveTo>
                <a:pt x="0" y="9134"/>
              </a:moveTo>
              <a:lnTo>
                <a:pt x="163517" y="9134"/>
              </a:lnTo>
            </a:path>
          </a:pathLst>
        </a:custGeom>
      </dgm:spPr>
      <dgm:t>
        <a:bodyPr/>
        <a:lstStyle/>
        <a:p>
          <a:endParaRPr lang="en-US"/>
        </a:p>
      </dgm:t>
    </dgm:pt>
    <dgm:pt modelId="{62A1F741-432F-46BE-AE07-15F0B6D5EA89}" type="pres">
      <dgm:prSet presAssocID="{4693CA52-075F-4BD8-ABEA-5368BE377DDA}" presName="connTx" presStyleLbl="parChTrans1D2" presStyleIdx="0" presStyleCnt="3"/>
      <dgm:spPr/>
      <dgm:t>
        <a:bodyPr/>
        <a:lstStyle/>
        <a:p>
          <a:endParaRPr lang="en-US"/>
        </a:p>
      </dgm:t>
    </dgm:pt>
    <dgm:pt modelId="{035B4C9A-0916-4FCC-A1CF-85DB358A289A}" type="pres">
      <dgm:prSet presAssocID="{4631C2C5-1554-4289-90B0-F2D55D1595B6}" presName="node" presStyleLbl="node1" presStyleIdx="0" presStyleCnt="3" custScaleX="271646" custScaleY="103589" custRadScaleRad="100387" custRadScaleInc="-187">
        <dgm:presLayoutVars>
          <dgm:bulletEnabled val="1"/>
        </dgm:presLayoutVars>
      </dgm:prSet>
      <dgm:spPr>
        <a:prstGeom prst="ellipse">
          <a:avLst/>
        </a:prstGeom>
      </dgm:spPr>
      <dgm:t>
        <a:bodyPr/>
        <a:lstStyle/>
        <a:p>
          <a:endParaRPr lang="en-US"/>
        </a:p>
      </dgm:t>
    </dgm:pt>
    <dgm:pt modelId="{64248C57-3CE0-4657-BC67-6279BA0257B1}" type="pres">
      <dgm:prSet presAssocID="{45A6C23B-D452-4078-BA3A-466D0894B9EB}" presName="Name9" presStyleLbl="parChTrans1D2" presStyleIdx="1" presStyleCnt="3"/>
      <dgm:spPr>
        <a:custGeom>
          <a:avLst/>
          <a:gdLst/>
          <a:ahLst/>
          <a:cxnLst/>
          <a:rect l="0" t="0" r="0" b="0"/>
          <a:pathLst>
            <a:path>
              <a:moveTo>
                <a:pt x="0" y="9134"/>
              </a:moveTo>
              <a:lnTo>
                <a:pt x="463565" y="9134"/>
              </a:lnTo>
            </a:path>
          </a:pathLst>
        </a:custGeom>
      </dgm:spPr>
      <dgm:t>
        <a:bodyPr/>
        <a:lstStyle/>
        <a:p>
          <a:endParaRPr lang="en-US"/>
        </a:p>
      </dgm:t>
    </dgm:pt>
    <dgm:pt modelId="{C7C9B7EB-2DEF-4B99-8D38-AC2E9641BEB5}" type="pres">
      <dgm:prSet presAssocID="{45A6C23B-D452-4078-BA3A-466D0894B9EB}" presName="connTx" presStyleLbl="parChTrans1D2" presStyleIdx="1" presStyleCnt="3"/>
      <dgm:spPr/>
      <dgm:t>
        <a:bodyPr/>
        <a:lstStyle/>
        <a:p>
          <a:endParaRPr lang="en-US"/>
        </a:p>
      </dgm:t>
    </dgm:pt>
    <dgm:pt modelId="{976BA53C-17D4-4F7C-9078-1272C469C9E5}" type="pres">
      <dgm:prSet presAssocID="{5C260341-F1C3-4458-A657-957289015FC3}" presName="node" presStyleLbl="node1" presStyleIdx="1" presStyleCnt="3" custScaleX="284116" custScaleY="93486" custRadScaleRad="255715" custRadScaleInc="-49632">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3"/>
      <dgm:spPr>
        <a:custGeom>
          <a:avLst/>
          <a:gdLst/>
          <a:ahLst/>
          <a:cxnLst/>
          <a:rect l="0" t="0" r="0" b="0"/>
          <a:pathLst>
            <a:path>
              <a:moveTo>
                <a:pt x="0" y="9134"/>
              </a:moveTo>
              <a:lnTo>
                <a:pt x="457860" y="9134"/>
              </a:lnTo>
            </a:path>
          </a:pathLst>
        </a:custGeom>
      </dgm:spPr>
      <dgm:t>
        <a:bodyPr/>
        <a:lstStyle/>
        <a:p>
          <a:endParaRPr lang="en-US"/>
        </a:p>
      </dgm:t>
    </dgm:pt>
    <dgm:pt modelId="{EA4144E0-C5B2-4FC0-BDB2-550B61DB7DFD}" type="pres">
      <dgm:prSet presAssocID="{0FABC453-0A5C-4CAE-813B-F0494A34E025}" presName="connTx" presStyleLbl="parChTrans1D2" presStyleIdx="2" presStyleCnt="3"/>
      <dgm:spPr/>
      <dgm:t>
        <a:bodyPr/>
        <a:lstStyle/>
        <a:p>
          <a:endParaRPr lang="en-US"/>
        </a:p>
      </dgm:t>
    </dgm:pt>
    <dgm:pt modelId="{0FAF3FA1-8E6C-455E-B189-A468B3F4D8BC}" type="pres">
      <dgm:prSet presAssocID="{C06C39C9-71B8-489C-9C45-3DD37A424E39}" presName="node" presStyleLbl="node1" presStyleIdx="2" presStyleCnt="3" custScaleX="257679" custScaleY="90179" custRadScaleRad="255723" custRadScaleInc="49480">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22CFBE58-87EC-4B70-B1CC-D1D1DB4968C7}" srcId="{34E6C8D5-8D4F-4714-8A12-8F4599A8E760}" destId="{DE541715-C648-404D-8124-F14F463E9202}" srcOrd="0" destOrd="0" parTransId="{D7DB3476-9C56-4274-B046-F742EA8694F1}" sibTransId="{7CA7849B-681D-4C0D-A708-F47E97871BB2}"/>
    <dgm:cxn modelId="{C8CEF94C-DFD8-4137-8516-87DCFC1BE5B8}" type="presOf" srcId="{DE541715-C648-404D-8124-F14F463E9202}" destId="{062AF917-2F47-4639-8A23-58AD52EC0F32}" srcOrd="0" destOrd="0" presId="urn:microsoft.com/office/officeart/2005/8/layout/radial1"/>
    <dgm:cxn modelId="{BF65F824-D4F4-4A84-83B4-6B1944B62AAD}" srcId="{DE541715-C648-404D-8124-F14F463E9202}" destId="{4631C2C5-1554-4289-90B0-F2D55D1595B6}" srcOrd="0" destOrd="0" parTransId="{4693CA52-075F-4BD8-ABEA-5368BE377DDA}" sibTransId="{9B3CB24D-A47A-4081-B256-B868D89D5387}"/>
    <dgm:cxn modelId="{29CEA7EC-4B5D-4D31-9019-5B5C27DD2E3D}" type="presOf" srcId="{4631C2C5-1554-4289-90B0-F2D55D1595B6}" destId="{035B4C9A-0916-4FCC-A1CF-85DB358A289A}" srcOrd="0" destOrd="0" presId="urn:microsoft.com/office/officeart/2005/8/layout/radial1"/>
    <dgm:cxn modelId="{C05FDE43-9F5C-4CA2-BEDA-F823AD8FB34D}" type="presOf" srcId="{4693CA52-075F-4BD8-ABEA-5368BE377DDA}" destId="{62A1F741-432F-46BE-AE07-15F0B6D5EA89}" srcOrd="1" destOrd="0" presId="urn:microsoft.com/office/officeart/2005/8/layout/radial1"/>
    <dgm:cxn modelId="{4F2E58A9-9123-4C02-83A0-210E9BB3BFD2}" type="presOf" srcId="{45A6C23B-D452-4078-BA3A-466D0894B9EB}" destId="{64248C57-3CE0-4657-BC67-6279BA0257B1}" srcOrd="0" destOrd="0" presId="urn:microsoft.com/office/officeart/2005/8/layout/radial1"/>
    <dgm:cxn modelId="{0266A1D0-CEC9-45F3-8B31-A21772E8AA19}" srcId="{DE541715-C648-404D-8124-F14F463E9202}" destId="{5C260341-F1C3-4458-A657-957289015FC3}" srcOrd="1" destOrd="0" parTransId="{45A6C23B-D452-4078-BA3A-466D0894B9EB}" sibTransId="{89B7C331-6FB9-4771-84B2-9F75AB1415C9}"/>
    <dgm:cxn modelId="{E540371D-F97E-4BE1-BF05-A88AEADA0D5B}" type="presOf" srcId="{0FABC453-0A5C-4CAE-813B-F0494A34E025}" destId="{EA4144E0-C5B2-4FC0-BDB2-550B61DB7DFD}" srcOrd="1" destOrd="0" presId="urn:microsoft.com/office/officeart/2005/8/layout/radial1"/>
    <dgm:cxn modelId="{248698A6-055B-40E3-B808-D624056EF2B0}" srcId="{DE541715-C648-404D-8124-F14F463E9202}" destId="{C06C39C9-71B8-489C-9C45-3DD37A424E39}" srcOrd="2" destOrd="0" parTransId="{0FABC453-0A5C-4CAE-813B-F0494A34E025}" sibTransId="{DCD34884-F96E-475A-9010-14DE66A403A6}"/>
    <dgm:cxn modelId="{02010631-EAF6-4465-8FA8-90B57E24918E}" type="presOf" srcId="{34E6C8D5-8D4F-4714-8A12-8F4599A8E760}" destId="{08F189A1-AB47-41D1-8058-7A6DA66B3F52}" srcOrd="0" destOrd="0" presId="urn:microsoft.com/office/officeart/2005/8/layout/radial1"/>
    <dgm:cxn modelId="{52ECBF7F-5AD2-4BED-B116-386D13145078}" type="presOf" srcId="{45A6C23B-D452-4078-BA3A-466D0894B9EB}" destId="{C7C9B7EB-2DEF-4B99-8D38-AC2E9641BEB5}" srcOrd="1" destOrd="0" presId="urn:microsoft.com/office/officeart/2005/8/layout/radial1"/>
    <dgm:cxn modelId="{3DEBC9F5-E55E-4212-8E58-46F1485808C4}" type="presOf" srcId="{C06C39C9-71B8-489C-9C45-3DD37A424E39}" destId="{0FAF3FA1-8E6C-455E-B189-A468B3F4D8BC}" srcOrd="0" destOrd="0" presId="urn:microsoft.com/office/officeart/2005/8/layout/radial1"/>
    <dgm:cxn modelId="{A88FD87F-6535-4FFE-B8CF-12A4875CDBF2}" type="presOf" srcId="{4693CA52-075F-4BD8-ABEA-5368BE377DDA}" destId="{4AC11394-3179-4EC5-A97F-D1A1B521CE2F}" srcOrd="0" destOrd="0" presId="urn:microsoft.com/office/officeart/2005/8/layout/radial1"/>
    <dgm:cxn modelId="{879D1492-8AA1-473A-8EE7-E385AEAFC2BD}" type="presOf" srcId="{5C260341-F1C3-4458-A657-957289015FC3}" destId="{976BA53C-17D4-4F7C-9078-1272C469C9E5}" srcOrd="0" destOrd="0" presId="urn:microsoft.com/office/officeart/2005/8/layout/radial1"/>
    <dgm:cxn modelId="{087306D9-2B8F-4AE0-AAFB-F7CB083BF444}" type="presOf" srcId="{0FABC453-0A5C-4CAE-813B-F0494A34E025}" destId="{ADF94B70-0D7F-4A27-8DF9-17BCD27F4A7A}" srcOrd="0" destOrd="0" presId="urn:microsoft.com/office/officeart/2005/8/layout/radial1"/>
    <dgm:cxn modelId="{9C34968F-215A-403E-8840-72EDB7735688}" type="presParOf" srcId="{08F189A1-AB47-41D1-8058-7A6DA66B3F52}" destId="{062AF917-2F47-4639-8A23-58AD52EC0F32}" srcOrd="0" destOrd="0" presId="urn:microsoft.com/office/officeart/2005/8/layout/radial1"/>
    <dgm:cxn modelId="{AB16C463-BB34-4FA6-BED2-63B81B56E14E}" type="presParOf" srcId="{08F189A1-AB47-41D1-8058-7A6DA66B3F52}" destId="{4AC11394-3179-4EC5-A97F-D1A1B521CE2F}" srcOrd="1" destOrd="0" presId="urn:microsoft.com/office/officeart/2005/8/layout/radial1"/>
    <dgm:cxn modelId="{B6EDD20A-5CC2-44C4-91D3-7F1540BD412B}" type="presParOf" srcId="{4AC11394-3179-4EC5-A97F-D1A1B521CE2F}" destId="{62A1F741-432F-46BE-AE07-15F0B6D5EA89}" srcOrd="0" destOrd="0" presId="urn:microsoft.com/office/officeart/2005/8/layout/radial1"/>
    <dgm:cxn modelId="{C4B0975C-964A-4C08-8BB1-55021EBD503B}" type="presParOf" srcId="{08F189A1-AB47-41D1-8058-7A6DA66B3F52}" destId="{035B4C9A-0916-4FCC-A1CF-85DB358A289A}" srcOrd="2" destOrd="0" presId="urn:microsoft.com/office/officeart/2005/8/layout/radial1"/>
    <dgm:cxn modelId="{B3F66BE1-7A4A-429A-8B12-BC0B636E608D}" type="presParOf" srcId="{08F189A1-AB47-41D1-8058-7A6DA66B3F52}" destId="{64248C57-3CE0-4657-BC67-6279BA0257B1}" srcOrd="3" destOrd="0" presId="urn:microsoft.com/office/officeart/2005/8/layout/radial1"/>
    <dgm:cxn modelId="{9732DB3F-6D0E-47BF-B17B-981138F2EC5F}" type="presParOf" srcId="{64248C57-3CE0-4657-BC67-6279BA0257B1}" destId="{C7C9B7EB-2DEF-4B99-8D38-AC2E9641BEB5}" srcOrd="0" destOrd="0" presId="urn:microsoft.com/office/officeart/2005/8/layout/radial1"/>
    <dgm:cxn modelId="{EACFE8EC-F016-4C1F-AA1A-EB363FF46E75}" type="presParOf" srcId="{08F189A1-AB47-41D1-8058-7A6DA66B3F52}" destId="{976BA53C-17D4-4F7C-9078-1272C469C9E5}" srcOrd="4" destOrd="0" presId="urn:microsoft.com/office/officeart/2005/8/layout/radial1"/>
    <dgm:cxn modelId="{4553DECD-3468-453D-8795-4D099BA88E9B}" type="presParOf" srcId="{08F189A1-AB47-41D1-8058-7A6DA66B3F52}" destId="{ADF94B70-0D7F-4A27-8DF9-17BCD27F4A7A}" srcOrd="5" destOrd="0" presId="urn:microsoft.com/office/officeart/2005/8/layout/radial1"/>
    <dgm:cxn modelId="{E4BE6F45-AD5F-4182-A0BD-F9F138B0CA4C}" type="presParOf" srcId="{ADF94B70-0D7F-4A27-8DF9-17BCD27F4A7A}" destId="{EA4144E0-C5B2-4FC0-BDB2-550B61DB7DFD}" srcOrd="0" destOrd="0" presId="urn:microsoft.com/office/officeart/2005/8/layout/radial1"/>
    <dgm:cxn modelId="{3DDD0C34-6627-4293-9211-404A43691861}" type="presParOf" srcId="{08F189A1-AB47-41D1-8058-7A6DA66B3F52}" destId="{0FAF3FA1-8E6C-455E-B189-A468B3F4D8BC}" srcOrd="6" destOrd="0" presId="urn:microsoft.com/office/officeart/2005/8/layout/radial1"/>
  </dgm:cxnLst>
  <dgm:bg/>
  <dgm:whole/>
  <dgm:extLst>
    <a:ext uri="http://schemas.microsoft.com/office/drawing/2008/diagram">
      <dsp:dataModelExt xmlns:dsp="http://schemas.microsoft.com/office/drawing/2008/diagram" relId="rId78" minVer="http://schemas.openxmlformats.org/drawingml/2006/diagram"/>
    </a:ext>
    <a:ext uri="{C62137D5-CB1D-491B-B009-E17868A290BF}">
      <dgm14:recolorImg xmlns:dgm14="http://schemas.microsoft.com/office/drawing/2010/diagram" val="1"/>
    </a:ext>
  </dgm:extLst>
</dgm:dataModel>
</file>

<file path=word/diagrams/data8.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04047" y="549354"/>
          <a:ext cx="1215104" cy="368758"/>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32</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4631C2C5-1554-4289-90B0-F2D55D1595B6}">
      <dgm:prSet phldrT="[Text]" custT="1"/>
      <dgm:spPr>
        <a:xfrm>
          <a:off x="4282109" y="501142"/>
          <a:ext cx="1092550" cy="44424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21581225">
          <a:off x="3519047" y="722173"/>
          <a:ext cx="763116" cy="1231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2260274" y="34356"/>
          <a:ext cx="1306950" cy="40257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Madrid</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214841">
          <a:off x="2856426" y="486985"/>
          <a:ext cx="112422" cy="1231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1C9E753-F212-4257-9A94-5537ADFE5943}">
      <dgm:prSet phldrT="[Text]" custT="1"/>
      <dgm:spPr>
        <a:xfrm>
          <a:off x="354166" y="508973"/>
          <a:ext cx="1161257" cy="443777"/>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3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a:t>
          </a:r>
        </a:p>
      </dgm:t>
    </dgm:pt>
    <dgm:pt modelId="{0F9B6D57-E004-4603-A3A8-3A2B6A815956}" type="parTrans" cxnId="{46C2FB3A-BC61-4C22-A3CC-12E30BF0C032}">
      <dgm:prSet/>
      <dgm:spPr>
        <a:xfrm rot="10804994">
          <a:off x="1515419" y="726119"/>
          <a:ext cx="788635" cy="1231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0399FCC-9C49-4F86-8EA2-A1E913A65726}" type="sibTrans" cxnId="{46C2FB3A-BC61-4C22-A3CC-12E30BF0C032}">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18759" custScaleY="93533" custLinFactNeighborX="1339" custLinFactNeighborY="1618"/>
      <dgm:spPr>
        <a:prstGeom prst="ellipse">
          <a:avLst/>
        </a:prstGeom>
      </dgm:spPr>
      <dgm:t>
        <a:bodyPr/>
        <a:lstStyle/>
        <a:p>
          <a:endParaRPr lang="en-US"/>
        </a:p>
      </dgm:t>
    </dgm:pt>
    <dgm:pt modelId="{5337AE63-3722-42CC-AF72-36670EB7C5E1}" type="pres">
      <dgm:prSet presAssocID="{7AF774ED-547E-4C04-8670-B0C1D08C5EE9}" presName="Name9" presStyleLbl="parChTrans1D2" presStyleIdx="0" presStyleCnt="3"/>
      <dgm:spPr>
        <a:custGeom>
          <a:avLst/>
          <a:gdLst/>
          <a:ahLst/>
          <a:cxnLst/>
          <a:rect l="0" t="0" r="0" b="0"/>
          <a:pathLst>
            <a:path>
              <a:moveTo>
                <a:pt x="0" y="6158"/>
              </a:moveTo>
              <a:lnTo>
                <a:pt x="115978" y="6158"/>
              </a:lnTo>
            </a:path>
          </a:pathLst>
        </a:custGeom>
      </dgm:spPr>
      <dgm:t>
        <a:bodyPr/>
        <a:lstStyle/>
        <a:p>
          <a:endParaRPr lang="en-US"/>
        </a:p>
      </dgm:t>
    </dgm:pt>
    <dgm:pt modelId="{326412CE-9911-4799-A459-B56F02EB4473}" type="pres">
      <dgm:prSet presAssocID="{7AF774ED-547E-4C04-8670-B0C1D08C5EE9}" presName="connTx" presStyleLbl="parChTrans1D2" presStyleIdx="0" presStyleCnt="3"/>
      <dgm:spPr/>
      <dgm:t>
        <a:bodyPr/>
        <a:lstStyle/>
        <a:p>
          <a:endParaRPr lang="en-US"/>
        </a:p>
      </dgm:t>
    </dgm:pt>
    <dgm:pt modelId="{CED9197C-8322-406B-917C-172FA36E7B76}" type="pres">
      <dgm:prSet presAssocID="{960C5593-E0FF-4AA5-AA0B-E8BDFFBC5E53}" presName="node" presStyleLbl="node1" presStyleIdx="0" presStyleCnt="3" custScaleX="373458" custScaleY="102111" custRadScaleRad="93857" custRadScaleInc="4202">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1" presStyleCnt="3"/>
      <dgm:spPr>
        <a:custGeom>
          <a:avLst/>
          <a:gdLst/>
          <a:ahLst/>
          <a:cxnLst/>
          <a:rect l="0" t="0" r="0" b="0"/>
          <a:pathLst>
            <a:path>
              <a:moveTo>
                <a:pt x="0" y="6158"/>
              </a:moveTo>
              <a:lnTo>
                <a:pt x="850274" y="6158"/>
              </a:lnTo>
            </a:path>
          </a:pathLst>
        </a:custGeom>
      </dgm:spPr>
      <dgm:t>
        <a:bodyPr/>
        <a:lstStyle/>
        <a:p>
          <a:endParaRPr lang="en-US"/>
        </a:p>
      </dgm:t>
    </dgm:pt>
    <dgm:pt modelId="{62A1F741-432F-46BE-AE07-15F0B6D5EA89}" type="pres">
      <dgm:prSet presAssocID="{4693CA52-075F-4BD8-ABEA-5368BE377DDA}" presName="connTx" presStyleLbl="parChTrans1D2" presStyleIdx="1" presStyleCnt="3"/>
      <dgm:spPr/>
      <dgm:t>
        <a:bodyPr/>
        <a:lstStyle/>
        <a:p>
          <a:endParaRPr lang="en-US"/>
        </a:p>
      </dgm:t>
    </dgm:pt>
    <dgm:pt modelId="{035B4C9A-0916-4FCC-A1CF-85DB358A289A}" type="pres">
      <dgm:prSet presAssocID="{4631C2C5-1554-4289-90B0-F2D55D1595B6}" presName="node" presStyleLbl="node1" presStyleIdx="1" presStyleCnt="3" custScaleX="338024" custScaleY="112680" custRadScaleRad="376124" custRadScaleInc="405">
        <dgm:presLayoutVars>
          <dgm:bulletEnabled val="1"/>
        </dgm:presLayoutVars>
      </dgm:prSet>
      <dgm:spPr>
        <a:prstGeom prst="ellipse">
          <a:avLst/>
        </a:prstGeom>
      </dgm:spPr>
      <dgm:t>
        <a:bodyPr/>
        <a:lstStyle/>
        <a:p>
          <a:endParaRPr lang="en-US"/>
        </a:p>
      </dgm:t>
    </dgm:pt>
    <dgm:pt modelId="{9A56F0B1-9466-40E9-8BFA-10DF1330E460}" type="pres">
      <dgm:prSet presAssocID="{0F9B6D57-E004-4603-A3A8-3A2B6A815956}" presName="Name9" presStyleLbl="parChTrans1D2" presStyleIdx="2" presStyleCnt="3"/>
      <dgm:spPr>
        <a:custGeom>
          <a:avLst/>
          <a:gdLst/>
          <a:ahLst/>
          <a:cxnLst/>
          <a:rect l="0" t="0" r="0" b="0"/>
          <a:pathLst>
            <a:path>
              <a:moveTo>
                <a:pt x="0" y="6158"/>
              </a:moveTo>
              <a:lnTo>
                <a:pt x="840874" y="6158"/>
              </a:lnTo>
            </a:path>
          </a:pathLst>
        </a:custGeom>
      </dgm:spPr>
      <dgm:t>
        <a:bodyPr/>
        <a:lstStyle/>
        <a:p>
          <a:endParaRPr lang="en-US"/>
        </a:p>
      </dgm:t>
    </dgm:pt>
    <dgm:pt modelId="{5B61520A-D966-494F-A7BF-91A6C71C68DF}" type="pres">
      <dgm:prSet presAssocID="{0F9B6D57-E004-4603-A3A8-3A2B6A815956}" presName="connTx" presStyleLbl="parChTrans1D2" presStyleIdx="2" presStyleCnt="3"/>
      <dgm:spPr/>
      <dgm:t>
        <a:bodyPr/>
        <a:lstStyle/>
        <a:p>
          <a:endParaRPr lang="en-US"/>
        </a:p>
      </dgm:t>
    </dgm:pt>
    <dgm:pt modelId="{1826B69E-77B8-4580-ABF8-4926B99AA206}" type="pres">
      <dgm:prSet presAssocID="{11C9E753-F212-4257-9A94-5537ADFE5943}" presName="node" presStyleLbl="node1" presStyleIdx="2" presStyleCnt="3" custScaleX="253217" custScaleY="112561" custRadScaleRad="382469" custRadScaleInc="-891">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D1FB5FD5-0D62-4499-B08A-87639A677D3A}" type="presOf" srcId="{960C5593-E0FF-4AA5-AA0B-E8BDFFBC5E53}" destId="{CED9197C-8322-406B-917C-172FA36E7B76}"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1" destOrd="0" parTransId="{4693CA52-075F-4BD8-ABEA-5368BE377DDA}" sibTransId="{9B3CB24D-A47A-4081-B256-B868D89D5387}"/>
    <dgm:cxn modelId="{68F4AAA1-7126-47FB-BCCE-28A3B8C414FD}" type="presOf" srcId="{4693CA52-075F-4BD8-ABEA-5368BE377DDA}" destId="{4AC11394-3179-4EC5-A97F-D1A1B521CE2F}" srcOrd="0" destOrd="0" presId="urn:microsoft.com/office/officeart/2005/8/layout/radial1"/>
    <dgm:cxn modelId="{DBD26939-6244-4C23-99DD-9A58C36DE3E1}" type="presOf" srcId="{4693CA52-075F-4BD8-ABEA-5368BE377DDA}" destId="{62A1F741-432F-46BE-AE07-15F0B6D5EA89}" srcOrd="1" destOrd="0" presId="urn:microsoft.com/office/officeart/2005/8/layout/radial1"/>
    <dgm:cxn modelId="{7B1CE865-57A7-497D-B92C-054773791DC6}" type="presOf" srcId="{34E6C8D5-8D4F-4714-8A12-8F4599A8E760}" destId="{08F189A1-AB47-41D1-8058-7A6DA66B3F52}" srcOrd="0" destOrd="0" presId="urn:microsoft.com/office/officeart/2005/8/layout/radial1"/>
    <dgm:cxn modelId="{DD9F5F30-53FA-4B4C-8130-867D0F74197F}" type="presOf" srcId="{7AF774ED-547E-4C04-8670-B0C1D08C5EE9}" destId="{5337AE63-3722-42CC-AF72-36670EB7C5E1}" srcOrd="0" destOrd="0" presId="urn:microsoft.com/office/officeart/2005/8/layout/radial1"/>
    <dgm:cxn modelId="{7CE32A3E-A02F-4502-8CE5-6770DEB2865F}" type="presOf" srcId="{DE541715-C648-404D-8124-F14F463E9202}" destId="{062AF917-2F47-4639-8A23-58AD52EC0F32}" srcOrd="0" destOrd="0" presId="urn:microsoft.com/office/officeart/2005/8/layout/radial1"/>
    <dgm:cxn modelId="{2CDEDD0F-C2E4-4A41-82A6-FA3080E153C1}" type="presOf" srcId="{4631C2C5-1554-4289-90B0-F2D55D1595B6}" destId="{035B4C9A-0916-4FCC-A1CF-85DB358A289A}" srcOrd="0" destOrd="0" presId="urn:microsoft.com/office/officeart/2005/8/layout/radial1"/>
    <dgm:cxn modelId="{529D05ED-97D5-4116-BE13-DE3D93351F7F}" srcId="{DE541715-C648-404D-8124-F14F463E9202}" destId="{960C5593-E0FF-4AA5-AA0B-E8BDFFBC5E53}" srcOrd="0" destOrd="0" parTransId="{7AF774ED-547E-4C04-8670-B0C1D08C5EE9}" sibTransId="{88F12DF7-015F-4F26-950A-DAE493699644}"/>
    <dgm:cxn modelId="{30204E5F-3C87-48BB-AE67-FF286D4102BC}" type="presOf" srcId="{0F9B6D57-E004-4603-A3A8-3A2B6A815956}" destId="{5B61520A-D966-494F-A7BF-91A6C71C68DF}" srcOrd="1" destOrd="0" presId="urn:microsoft.com/office/officeart/2005/8/layout/radial1"/>
    <dgm:cxn modelId="{46C2FB3A-BC61-4C22-A3CC-12E30BF0C032}" srcId="{DE541715-C648-404D-8124-F14F463E9202}" destId="{11C9E753-F212-4257-9A94-5537ADFE5943}" srcOrd="2" destOrd="0" parTransId="{0F9B6D57-E004-4603-A3A8-3A2B6A815956}" sibTransId="{C0399FCC-9C49-4F86-8EA2-A1E913A65726}"/>
    <dgm:cxn modelId="{5E3029C7-88B2-4D0D-9ED4-46D583A99E20}" type="presOf" srcId="{11C9E753-F212-4257-9A94-5537ADFE5943}" destId="{1826B69E-77B8-4580-ABF8-4926B99AA206}" srcOrd="0" destOrd="0" presId="urn:microsoft.com/office/officeart/2005/8/layout/radial1"/>
    <dgm:cxn modelId="{669E2BAE-497F-4EC0-9E27-004EC4171E7E}" type="presOf" srcId="{0F9B6D57-E004-4603-A3A8-3A2B6A815956}" destId="{9A56F0B1-9466-40E9-8BFA-10DF1330E460}" srcOrd="0" destOrd="0" presId="urn:microsoft.com/office/officeart/2005/8/layout/radial1"/>
    <dgm:cxn modelId="{22A44D71-C336-4303-BCBE-52C262D3B373}" type="presOf" srcId="{7AF774ED-547E-4C04-8670-B0C1D08C5EE9}" destId="{326412CE-9911-4799-A459-B56F02EB4473}" srcOrd="1" destOrd="0" presId="urn:microsoft.com/office/officeart/2005/8/layout/radial1"/>
    <dgm:cxn modelId="{940F8BA7-5411-4B13-8CC0-DB8E372F6018}" type="presParOf" srcId="{08F189A1-AB47-41D1-8058-7A6DA66B3F52}" destId="{062AF917-2F47-4639-8A23-58AD52EC0F32}" srcOrd="0" destOrd="0" presId="urn:microsoft.com/office/officeart/2005/8/layout/radial1"/>
    <dgm:cxn modelId="{DACCE403-1EB8-49AE-8AFE-61AFFFAFEFDE}" type="presParOf" srcId="{08F189A1-AB47-41D1-8058-7A6DA66B3F52}" destId="{5337AE63-3722-42CC-AF72-36670EB7C5E1}" srcOrd="1" destOrd="0" presId="urn:microsoft.com/office/officeart/2005/8/layout/radial1"/>
    <dgm:cxn modelId="{B578C471-C8FD-49F1-AD5A-6E637C1A51B1}" type="presParOf" srcId="{5337AE63-3722-42CC-AF72-36670EB7C5E1}" destId="{326412CE-9911-4799-A459-B56F02EB4473}" srcOrd="0" destOrd="0" presId="urn:microsoft.com/office/officeart/2005/8/layout/radial1"/>
    <dgm:cxn modelId="{5C84EC6D-487E-482C-8546-84B4A27A0CA7}" type="presParOf" srcId="{08F189A1-AB47-41D1-8058-7A6DA66B3F52}" destId="{CED9197C-8322-406B-917C-172FA36E7B76}" srcOrd="2" destOrd="0" presId="urn:microsoft.com/office/officeart/2005/8/layout/radial1"/>
    <dgm:cxn modelId="{FFA976BC-6D32-40A9-9F76-2AD1F6B156C9}" type="presParOf" srcId="{08F189A1-AB47-41D1-8058-7A6DA66B3F52}" destId="{4AC11394-3179-4EC5-A97F-D1A1B521CE2F}" srcOrd="3" destOrd="0" presId="urn:microsoft.com/office/officeart/2005/8/layout/radial1"/>
    <dgm:cxn modelId="{310E8A7B-D0A0-4A00-A98B-57924AB8C88F}" type="presParOf" srcId="{4AC11394-3179-4EC5-A97F-D1A1B521CE2F}" destId="{62A1F741-432F-46BE-AE07-15F0B6D5EA89}" srcOrd="0" destOrd="0" presId="urn:microsoft.com/office/officeart/2005/8/layout/radial1"/>
    <dgm:cxn modelId="{6358FEFD-4B0A-4C0B-94CD-8D7D6198505E}" type="presParOf" srcId="{08F189A1-AB47-41D1-8058-7A6DA66B3F52}" destId="{035B4C9A-0916-4FCC-A1CF-85DB358A289A}" srcOrd="4" destOrd="0" presId="urn:microsoft.com/office/officeart/2005/8/layout/radial1"/>
    <dgm:cxn modelId="{49E8FB74-E861-4BF2-9E83-17DE62390F49}" type="presParOf" srcId="{08F189A1-AB47-41D1-8058-7A6DA66B3F52}" destId="{9A56F0B1-9466-40E9-8BFA-10DF1330E460}" srcOrd="5" destOrd="0" presId="urn:microsoft.com/office/officeart/2005/8/layout/radial1"/>
    <dgm:cxn modelId="{6B11B852-CA65-4364-9D12-74F848051A95}" type="presParOf" srcId="{9A56F0B1-9466-40E9-8BFA-10DF1330E460}" destId="{5B61520A-D966-494F-A7BF-91A6C71C68DF}" srcOrd="0" destOrd="0" presId="urn:microsoft.com/office/officeart/2005/8/layout/radial1"/>
    <dgm:cxn modelId="{D633E1E0-F676-4CD4-99E1-58A5F74DF639}" type="presParOf" srcId="{08F189A1-AB47-41D1-8058-7A6DA66B3F52}" destId="{1826B69E-77B8-4580-ABF8-4926B99AA206}" srcOrd="6" destOrd="0" presId="urn:microsoft.com/office/officeart/2005/8/layout/radial1"/>
  </dgm:cxnLst>
  <dgm:bg/>
  <dgm:whole/>
  <dgm:extLst>
    <a:ext uri="http://schemas.microsoft.com/office/drawing/2008/diagram">
      <dsp:dataModelExt xmlns:dsp="http://schemas.microsoft.com/office/drawing/2008/diagram" relId="rId85" minVer="http://schemas.openxmlformats.org/drawingml/2006/diagram"/>
    </a:ext>
    <a:ext uri="{C62137D5-CB1D-491B-B009-E17868A290BF}">
      <dgm14:recolorImg xmlns:dgm14="http://schemas.microsoft.com/office/drawing/2010/diagram" val="1"/>
    </a:ext>
  </dgm:extLst>
</dgm:dataModel>
</file>

<file path=word/diagrams/data9.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dgm:t>
        <a:bodyPr/>
        <a:lstStyle/>
        <a:p>
          <a:r>
            <a:rPr lang="en-US" sz="1200">
              <a:latin typeface="Arial" panose="020B0604020202020204" pitchFamily="34" charset="0"/>
              <a:cs typeface="Arial" panose="020B0604020202020204" pitchFamily="34" charset="0"/>
            </a:rPr>
            <a:t>Programa 7 </a:t>
          </a: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solidFill>
          <a:schemeClr val="accent1">
            <a:lumMod val="40000"/>
            <a:lumOff val="60000"/>
          </a:schemeClr>
        </a:solidFill>
      </dgm:spPr>
      <dgm:t>
        <a:bodyPr/>
        <a:lstStyle/>
        <a:p>
          <a:r>
            <a:rPr lang="en-US" sz="1000">
              <a:latin typeface="Arial" panose="020B0604020202020204" pitchFamily="34" charset="0"/>
              <a:cs typeface="Arial" panose="020B0604020202020204" pitchFamily="34" charset="0"/>
            </a:rPr>
            <a:t>Programa 20 </a:t>
          </a:r>
        </a:p>
        <a:p>
          <a:r>
            <a:rPr lang="en-US" sz="900">
              <a:latin typeface="Arial" panose="020B0604020202020204" pitchFamily="34" charset="0"/>
              <a:cs typeface="Arial" panose="020B0604020202020204" pitchFamily="34" charset="0"/>
            </a:rPr>
            <a:t>Relaciones exteriores</a:t>
          </a: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dgm:t>
        <a:bodyPr/>
        <a:lstStyle/>
        <a:p>
          <a:endParaRPr lang="en-US"/>
        </a:p>
      </dgm:t>
    </dgm:pt>
    <dgm:pt modelId="{44FBC2E2-D754-42C1-BEE4-690296442511}">
      <dgm:prSet phldrT="[Text]" custT="1"/>
      <dgm:spPr>
        <a:solidFill>
          <a:schemeClr val="accent1">
            <a:lumMod val="40000"/>
            <a:lumOff val="60000"/>
          </a:schemeClr>
        </a:solidFill>
      </dgm:spPr>
      <dgm:t>
        <a:bodyPr/>
        <a:lstStyle/>
        <a:p>
          <a:r>
            <a:rPr lang="en-US" sz="1000">
              <a:latin typeface="Arial" panose="020B0604020202020204" pitchFamily="34" charset="0"/>
              <a:cs typeface="Arial" panose="020B0604020202020204" pitchFamily="34" charset="0"/>
            </a:rPr>
            <a:t>Programa 18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La P.I. y los desafíos mundiales</a:t>
          </a:r>
          <a:endParaRPr lang="en-US" sz="900">
            <a:latin typeface="Arial" panose="020B0604020202020204" pitchFamily="34" charset="0"/>
            <a:cs typeface="Arial" panose="020B0604020202020204" pitchFamily="34" charset="0"/>
          </a:endParaRP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dgm:t>
        <a:bodyPr/>
        <a:lstStyle/>
        <a:p>
          <a:endParaRPr lang="en-US"/>
        </a:p>
      </dgm:t>
    </dgm:pt>
    <dgm:pt modelId="{2628F477-2289-4CEE-9618-96DDAFCD4291}">
      <dgm:prSet phldrT="[Text]" custT="1"/>
      <dgm:spPr>
        <a:solidFill>
          <a:schemeClr val="accent1">
            <a:lumMod val="40000"/>
            <a:lumOff val="60000"/>
          </a:schemeClr>
        </a:solidFill>
      </dgm:spPr>
      <dgm:t>
        <a:bodyPr/>
        <a:lstStyle/>
        <a:p>
          <a:r>
            <a:rPr lang="en-US" sz="1000">
              <a:latin typeface="Arial" panose="020B0604020202020204" pitchFamily="34" charset="0"/>
              <a:cs typeface="Arial" panose="020B0604020202020204" pitchFamily="34" charset="0"/>
            </a:rPr>
            <a:t>Programa 17 </a:t>
          </a:r>
        </a:p>
        <a:p>
          <a:r>
            <a:rPr lang="en-US" sz="900">
              <a:latin typeface="Arial" panose="020B0604020202020204" pitchFamily="34" charset="0"/>
              <a:cs typeface="Arial" panose="020B0604020202020204" pitchFamily="34" charset="0"/>
            </a:rPr>
            <a:t>Fomentar el respeto por la P.I.</a:t>
          </a: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dgm:t>
        <a:bodyPr/>
        <a:lstStyle/>
        <a:p>
          <a:endParaRPr lang="en-US"/>
        </a:p>
      </dgm:t>
    </dgm:pt>
    <dgm:pt modelId="{7C1FA040-4399-40F0-866F-845B7914F68D}">
      <dgm:prSet phldrT="[Text]" custT="1"/>
      <dgm:spPr>
        <a:solidFill>
          <a:schemeClr val="accent1">
            <a:lumMod val="40000"/>
            <a:lumOff val="60000"/>
          </a:schemeClr>
        </a:solidFill>
      </dgm:spPr>
      <dgm:t>
        <a:bodyPr/>
        <a:lstStyle/>
        <a:p>
          <a:r>
            <a:rPr lang="en-US" sz="1000">
              <a:latin typeface="Arial" panose="020B0604020202020204" pitchFamily="34" charset="0"/>
              <a:cs typeface="Arial" panose="020B0604020202020204" pitchFamily="34" charset="0"/>
            </a:rPr>
            <a:t>Programa 10 </a:t>
          </a:r>
        </a:p>
        <a:p>
          <a:r>
            <a:rPr lang="es-ES_tradnl" sz="900">
              <a:latin typeface="Arial" panose="020B0604020202020204" pitchFamily="34" charset="0"/>
              <a:cs typeface="Arial" panose="020B0604020202020204" pitchFamily="34" charset="0"/>
            </a:rPr>
            <a:t>Países T/D</a:t>
          </a:r>
          <a:endParaRPr lang="en-US" sz="900">
            <a:latin typeface="Arial" panose="020B0604020202020204" pitchFamily="34" charset="0"/>
            <a:cs typeface="Arial" panose="020B0604020202020204" pitchFamily="34" charset="0"/>
          </a:endParaRP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dgm:t>
        <a:bodyPr/>
        <a:lstStyle/>
        <a:p>
          <a:endParaRPr lang="en-US"/>
        </a:p>
      </dgm:t>
    </dgm:pt>
    <dgm:pt modelId="{14602118-D739-48CC-85E0-791974AFA995}">
      <dgm:prSet phldrT="[Text]" custT="1"/>
      <dgm:spPr>
        <a:solidFill>
          <a:schemeClr val="accent1">
            <a:lumMod val="40000"/>
            <a:lumOff val="60000"/>
          </a:schemeClr>
        </a:solidFill>
      </dgm:spPr>
      <dgm:t>
        <a:bodyPr/>
        <a:lstStyle/>
        <a:p>
          <a:r>
            <a:rPr lang="en-US" sz="1000">
              <a:latin typeface="Arial" panose="020B0604020202020204" pitchFamily="34" charset="0"/>
              <a:cs typeface="Arial" panose="020B0604020202020204" pitchFamily="34" charset="0"/>
            </a:rPr>
            <a:t>Programa 9</a:t>
          </a:r>
        </a:p>
        <a:p>
          <a:r>
            <a:rPr lang="en-US" sz="900">
              <a:latin typeface="Arial" panose="020B0604020202020204" pitchFamily="34" charset="0"/>
              <a:cs typeface="Arial" panose="020B0604020202020204" pitchFamily="34" charset="0"/>
            </a:rPr>
            <a:t> Oficinas regionales en la sede</a:t>
          </a: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dgm:t>
        <a:bodyPr/>
        <a:lstStyle/>
        <a:p>
          <a:endParaRPr lang="en-US"/>
        </a:p>
      </dgm:t>
    </dgm:pt>
    <dgm:pt modelId="{DB0D84B1-C440-4746-9EEF-F1ED71D64DD2}">
      <dgm:prSet phldrT="[Text]" custT="1"/>
      <dgm:spPr>
        <a:solidFill>
          <a:schemeClr val="accent1">
            <a:lumMod val="40000"/>
            <a:lumOff val="60000"/>
          </a:schemeClr>
        </a:solidFill>
      </dgm:spPr>
      <dgm:t>
        <a:bodyPr lIns="0" rIns="0"/>
        <a:lstStyle/>
        <a:p>
          <a:r>
            <a:rPr lang="en-US" sz="1000">
              <a:latin typeface="Arial" panose="020B0604020202020204" pitchFamily="34" charset="0"/>
              <a:cs typeface="Arial" panose="020B0604020202020204" pitchFamily="34" charset="0"/>
            </a:rPr>
            <a:t>Programa 6</a:t>
          </a:r>
        </a:p>
        <a:p>
          <a:r>
            <a:rPr lang="en-US" sz="900">
              <a:latin typeface="Arial" panose="020B0604020202020204" pitchFamily="34" charset="0"/>
              <a:cs typeface="Arial" panose="020B0604020202020204" pitchFamily="34" charset="0"/>
            </a:rPr>
            <a:t>Sistema de Madrid</a:t>
          </a: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dgm:t>
        <a:bodyPr/>
        <a:lstStyle/>
        <a:p>
          <a:endParaRPr lang="en-US"/>
        </a:p>
      </dgm:t>
    </dgm:pt>
    <dgm:pt modelId="{6DAE892F-3F2D-42A5-BB1C-58D0E6BD9A47}">
      <dgm:prSet phldrT="[Text]" custT="1"/>
      <dgm:spPr>
        <a:solidFill>
          <a:schemeClr val="accent1">
            <a:lumMod val="40000"/>
            <a:lumOff val="60000"/>
          </a:schemeClr>
        </a:solidFill>
      </dgm:spPr>
      <dgm:t>
        <a:bodyPr lIns="0" rIns="0" bIns="0"/>
        <a:lstStyle/>
        <a:p>
          <a:r>
            <a:rPr lang="en-US" sz="1000">
              <a:latin typeface="Arial" panose="020B0604020202020204" pitchFamily="34" charset="0"/>
              <a:cs typeface="Arial" panose="020B0604020202020204" pitchFamily="34" charset="0"/>
            </a:rPr>
            <a:t>Programa 5 </a:t>
          </a:r>
        </a:p>
        <a:p>
          <a:r>
            <a:rPr lang="en-US" sz="900">
              <a:latin typeface="Arial" panose="020B0604020202020204" pitchFamily="34" charset="0"/>
              <a:cs typeface="Arial" panose="020B0604020202020204" pitchFamily="34" charset="0"/>
            </a:rPr>
            <a:t>PCT</a:t>
          </a: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dgm:t>
        <a:bodyPr/>
        <a:lstStyle/>
        <a:p>
          <a:endParaRPr lang="en-US"/>
        </a:p>
      </dgm:t>
    </dgm:pt>
    <dgm:pt modelId="{898446A3-EA8C-4C13-8A65-DF8A110D0838}">
      <dgm:prSet phldrT="[Text]" custT="1"/>
      <dgm:spPr>
        <a:solidFill>
          <a:schemeClr val="accent1">
            <a:lumMod val="40000"/>
            <a:lumOff val="60000"/>
          </a:schemeClr>
        </a:solidFill>
      </dgm:spPr>
      <dgm:t>
        <a:bodyPr lIns="0" rIns="0" bIns="0"/>
        <a:lstStyle/>
        <a:p>
          <a:r>
            <a:rPr lang="en-US" sz="1000">
              <a:latin typeface="Arial" panose="020B0604020202020204" pitchFamily="34" charset="0"/>
              <a:cs typeface="Arial" panose="020B0604020202020204" pitchFamily="34" charset="0"/>
            </a:rPr>
            <a:t>Programa 3 </a:t>
          </a:r>
        </a:p>
        <a:p>
          <a:r>
            <a:rPr lang="en-US" sz="900">
              <a:latin typeface="Arial" panose="020B0604020202020204" pitchFamily="34" charset="0"/>
              <a:cs typeface="Arial" panose="020B0604020202020204" pitchFamily="34" charset="0"/>
            </a:rPr>
            <a:t>D.A.D.C.</a:t>
          </a: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dgm:t>
        <a:bodyPr/>
        <a:lstStyle/>
        <a:p>
          <a:endParaRPr lang="en-US"/>
        </a:p>
      </dgm:t>
    </dgm:pt>
    <dgm:pt modelId="{68A5766F-115C-487E-B7CB-4ADE150678D1}">
      <dgm:prSet phldrT="[Text]" custT="1"/>
      <dgm:spPr>
        <a:solidFill>
          <a:schemeClr val="accent1">
            <a:lumMod val="40000"/>
            <a:lumOff val="60000"/>
          </a:schemeClr>
        </a:solidFill>
      </dgm:spPr>
      <dgm:t>
        <a:bodyPr lIns="0" tIns="0" rIns="0" bIns="0"/>
        <a:lstStyle/>
        <a:p>
          <a:r>
            <a:rPr lang="en-US" sz="1000">
              <a:latin typeface="Arial" panose="020B0604020202020204" pitchFamily="34" charset="0"/>
              <a:cs typeface="Arial" panose="020B0604020202020204" pitchFamily="34" charset="0"/>
            </a:rPr>
            <a:t>Programa 2 </a:t>
          </a:r>
        </a:p>
        <a:p>
          <a:r>
            <a:rPr lang="en-US" sz="900">
              <a:latin typeface="Arial" panose="020B0604020202020204" pitchFamily="34" charset="0"/>
              <a:cs typeface="Arial" panose="020B0604020202020204" pitchFamily="34" charset="0"/>
            </a:rPr>
            <a:t>Marcas, DD.II. e II.GG.</a:t>
          </a: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dgm:t>
        <a:bodyPr/>
        <a:lstStyle/>
        <a:p>
          <a:endParaRPr lang="en-US"/>
        </a:p>
      </dgm:t>
    </dgm:pt>
    <dgm:pt modelId="{3869496C-0E19-4CE4-AC4D-8E2619BF9D68}">
      <dgm:prSet phldrT="[Text]" custT="1"/>
      <dgm:spPr>
        <a:solidFill>
          <a:schemeClr val="accent1">
            <a:lumMod val="40000"/>
            <a:lumOff val="60000"/>
          </a:schemeClr>
        </a:solidFill>
      </dgm:spPr>
      <dgm:t>
        <a:bodyPr lIns="0" tIns="0" rIns="0" bIns="0"/>
        <a:lstStyle/>
        <a:p>
          <a:r>
            <a:rPr lang="en-US" sz="1000">
              <a:latin typeface="Arial" panose="020B0604020202020204" pitchFamily="34" charset="0"/>
              <a:cs typeface="Arial" panose="020B0604020202020204" pitchFamily="34" charset="0"/>
            </a:rPr>
            <a:t>Programa 31 </a:t>
          </a:r>
        </a:p>
        <a:p>
          <a:r>
            <a:rPr lang="en-US" sz="900">
              <a:latin typeface="Arial" panose="020B0604020202020204" pitchFamily="34" charset="0"/>
              <a:cs typeface="Arial" panose="020B0604020202020204" pitchFamily="34" charset="0"/>
            </a:rPr>
            <a:t>Sistema de La Haya</a:t>
          </a:r>
        </a:p>
      </dgm:t>
    </dgm:pt>
    <dgm:pt modelId="{AD80D2A2-2CDC-439E-8A80-49FDDE50F566}" type="parTrans" cxnId="{A5794848-FA88-45E4-9420-D1C7392B5B45}">
      <dgm:prSet/>
      <dgm:spPr/>
      <dgm:t>
        <a:bodyPr/>
        <a:lstStyle/>
        <a:p>
          <a:endParaRPr lang="en-US"/>
        </a:p>
      </dgm:t>
    </dgm:pt>
    <dgm:pt modelId="{3C80BB14-F31D-405F-A95F-B4434486AD2E}" type="sibTrans" cxnId="{A5794848-FA88-45E4-9420-D1C7392B5B45}">
      <dgm:prSet/>
      <dgm:spPr/>
      <dgm:t>
        <a:bodyPr/>
        <a:lstStyle/>
        <a:p>
          <a:endParaRPr lang="en-US"/>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223278" custLinFactNeighborX="4188" custLinFactNeighborY="-7538"/>
      <dgm:spPr/>
      <dgm:t>
        <a:bodyPr/>
        <a:lstStyle/>
        <a:p>
          <a:endParaRPr lang="en-US"/>
        </a:p>
      </dgm:t>
    </dgm:pt>
    <dgm:pt modelId="{E6ACA703-0949-41B3-BE6B-C702E5C7275F}" type="pres">
      <dgm:prSet presAssocID="{BA28F4A6-AD16-499D-88C1-DBE004B28175}" presName="Name9" presStyleLbl="parChTrans1D2" presStyleIdx="0" presStyleCnt="10"/>
      <dgm:spPr/>
      <dgm:t>
        <a:bodyPr/>
        <a:lstStyle/>
        <a:p>
          <a:endParaRPr lang="en-US"/>
        </a:p>
      </dgm:t>
    </dgm:pt>
    <dgm:pt modelId="{B06AADB2-5D51-41DC-8677-C0CC2357518B}" type="pres">
      <dgm:prSet presAssocID="{BA28F4A6-AD16-499D-88C1-DBE004B28175}" presName="connTx" presStyleLbl="parChTrans1D2" presStyleIdx="0" presStyleCnt="10"/>
      <dgm:spPr/>
      <dgm:t>
        <a:bodyPr/>
        <a:lstStyle/>
        <a:p>
          <a:endParaRPr lang="en-US"/>
        </a:p>
      </dgm:t>
    </dgm:pt>
    <dgm:pt modelId="{AFD0CC05-9AD4-4A51-8739-4FB4CA1E4ACE}" type="pres">
      <dgm:prSet presAssocID="{68A5766F-115C-487E-B7CB-4ADE150678D1}" presName="node" presStyleLbl="node1" presStyleIdx="0" presStyleCnt="10" custScaleX="220050" custScaleY="111529" custRadScaleRad="100976" custRadScaleInc="23834">
        <dgm:presLayoutVars>
          <dgm:bulletEnabled val="1"/>
        </dgm:presLayoutVars>
      </dgm:prSet>
      <dgm:spPr/>
      <dgm:t>
        <a:bodyPr/>
        <a:lstStyle/>
        <a:p>
          <a:endParaRPr lang="en-US"/>
        </a:p>
      </dgm:t>
    </dgm:pt>
    <dgm:pt modelId="{34515D96-C834-4D67-AF5C-3B293601CBC3}" type="pres">
      <dgm:prSet presAssocID="{DB9FEC62-86A7-454A-89B3-F32F1907C71A}" presName="Name9" presStyleLbl="parChTrans1D2" presStyleIdx="1" presStyleCnt="10"/>
      <dgm:spPr/>
      <dgm:t>
        <a:bodyPr/>
        <a:lstStyle/>
        <a:p>
          <a:endParaRPr lang="en-US"/>
        </a:p>
      </dgm:t>
    </dgm:pt>
    <dgm:pt modelId="{A8CF68B1-7D91-429E-8C8D-53007288E1DC}" type="pres">
      <dgm:prSet presAssocID="{DB9FEC62-86A7-454A-89B3-F32F1907C71A}" presName="connTx" presStyleLbl="parChTrans1D2" presStyleIdx="1" presStyleCnt="10"/>
      <dgm:spPr/>
      <dgm:t>
        <a:bodyPr/>
        <a:lstStyle/>
        <a:p>
          <a:endParaRPr lang="en-US"/>
        </a:p>
      </dgm:t>
    </dgm:pt>
    <dgm:pt modelId="{D9366F31-B7D7-4B43-830C-AD5E2193A794}" type="pres">
      <dgm:prSet presAssocID="{898446A3-EA8C-4C13-8A65-DF8A110D0838}" presName="node" presStyleLbl="node1" presStyleIdx="1" presStyleCnt="10" custScaleX="207445" custRadScaleRad="140761" custRadScaleInc="83846">
        <dgm:presLayoutVars>
          <dgm:bulletEnabled val="1"/>
        </dgm:presLayoutVars>
      </dgm:prSet>
      <dgm:spPr/>
      <dgm:t>
        <a:bodyPr/>
        <a:lstStyle/>
        <a:p>
          <a:endParaRPr lang="en-US"/>
        </a:p>
      </dgm:t>
    </dgm:pt>
    <dgm:pt modelId="{5CF8296B-0142-429D-A71A-20799D2EB74B}" type="pres">
      <dgm:prSet presAssocID="{D22DE764-173E-47DF-9480-722F8D8EA62C}" presName="Name9" presStyleLbl="parChTrans1D2" presStyleIdx="2" presStyleCnt="10"/>
      <dgm:spPr/>
      <dgm:t>
        <a:bodyPr/>
        <a:lstStyle/>
        <a:p>
          <a:endParaRPr lang="en-US"/>
        </a:p>
      </dgm:t>
    </dgm:pt>
    <dgm:pt modelId="{48797E66-4F8B-4B79-BCA7-6F88E85CF835}" type="pres">
      <dgm:prSet presAssocID="{D22DE764-173E-47DF-9480-722F8D8EA62C}" presName="connTx" presStyleLbl="parChTrans1D2" presStyleIdx="2" presStyleCnt="10"/>
      <dgm:spPr/>
      <dgm:t>
        <a:bodyPr/>
        <a:lstStyle/>
        <a:p>
          <a:endParaRPr lang="en-US"/>
        </a:p>
      </dgm:t>
    </dgm:pt>
    <dgm:pt modelId="{7E7DDE23-6C04-407D-AAB6-669511EA704E}" type="pres">
      <dgm:prSet presAssocID="{6DAE892F-3F2D-42A5-BB1C-58D0E6BD9A47}" presName="node" presStyleLbl="node1" presStyleIdx="2" presStyleCnt="10" custScaleX="217893" custRadScaleRad="191483" custRadScaleInc="10517">
        <dgm:presLayoutVars>
          <dgm:bulletEnabled val="1"/>
        </dgm:presLayoutVars>
      </dgm:prSet>
      <dgm:spPr/>
      <dgm:t>
        <a:bodyPr/>
        <a:lstStyle/>
        <a:p>
          <a:endParaRPr lang="en-US"/>
        </a:p>
      </dgm:t>
    </dgm:pt>
    <dgm:pt modelId="{DC281168-2DBC-4CFB-B21D-C54E9628B383}" type="pres">
      <dgm:prSet presAssocID="{9E510621-404D-46D6-8EB3-39712C8626D4}" presName="Name9" presStyleLbl="parChTrans1D2" presStyleIdx="3" presStyleCnt="10"/>
      <dgm:spPr/>
      <dgm:t>
        <a:bodyPr/>
        <a:lstStyle/>
        <a:p>
          <a:endParaRPr lang="en-US"/>
        </a:p>
      </dgm:t>
    </dgm:pt>
    <dgm:pt modelId="{0D3BFC0A-5ED4-4CCF-A336-A529B3363890}" type="pres">
      <dgm:prSet presAssocID="{9E510621-404D-46D6-8EB3-39712C8626D4}" presName="connTx" presStyleLbl="parChTrans1D2" presStyleIdx="3" presStyleCnt="10"/>
      <dgm:spPr/>
      <dgm:t>
        <a:bodyPr/>
        <a:lstStyle/>
        <a:p>
          <a:endParaRPr lang="en-US"/>
        </a:p>
      </dgm:t>
    </dgm:pt>
    <dgm:pt modelId="{66DADE40-99AE-41BE-B997-129EED231064}" type="pres">
      <dgm:prSet presAssocID="{DB0D84B1-C440-4746-9EEF-F1ED71D64DD2}" presName="node" presStyleLbl="node1" presStyleIdx="3" presStyleCnt="10" custScaleX="284368" custScaleY="112032" custRadScaleRad="188111" custRadScaleInc="-97025">
        <dgm:presLayoutVars>
          <dgm:bulletEnabled val="1"/>
        </dgm:presLayoutVars>
      </dgm:prSet>
      <dgm:spPr/>
      <dgm:t>
        <a:bodyPr/>
        <a:lstStyle/>
        <a:p>
          <a:endParaRPr lang="en-US"/>
        </a:p>
      </dgm:t>
    </dgm:pt>
    <dgm:pt modelId="{4DF1B0BE-A63A-4BEA-9EE5-4168481CC99E}" type="pres">
      <dgm:prSet presAssocID="{3F89048A-3F9F-4897-8631-4599F4976029}" presName="Name9" presStyleLbl="parChTrans1D2" presStyleIdx="4" presStyleCnt="10"/>
      <dgm:spPr/>
      <dgm:t>
        <a:bodyPr/>
        <a:lstStyle/>
        <a:p>
          <a:endParaRPr lang="en-US"/>
        </a:p>
      </dgm:t>
    </dgm:pt>
    <dgm:pt modelId="{32B4D7AF-BD29-4AC4-BA11-37F2AE9561F4}" type="pres">
      <dgm:prSet presAssocID="{3F89048A-3F9F-4897-8631-4599F4976029}" presName="connTx" presStyleLbl="parChTrans1D2" presStyleIdx="4" presStyleCnt="10"/>
      <dgm:spPr/>
      <dgm:t>
        <a:bodyPr/>
        <a:lstStyle/>
        <a:p>
          <a:endParaRPr lang="en-US"/>
        </a:p>
      </dgm:t>
    </dgm:pt>
    <dgm:pt modelId="{DB594876-4070-4577-942D-67F5CD4D6A19}" type="pres">
      <dgm:prSet presAssocID="{14602118-D739-48CC-85E0-791974AFA995}" presName="node" presStyleLbl="node1" presStyleIdx="4" presStyleCnt="10" custScaleX="278814" custScaleY="98925" custRadScaleRad="157271" custRadScaleInc="-183621">
        <dgm:presLayoutVars>
          <dgm:bulletEnabled val="1"/>
        </dgm:presLayoutVars>
      </dgm:prSet>
      <dgm:spPr/>
      <dgm:t>
        <a:bodyPr/>
        <a:lstStyle/>
        <a:p>
          <a:endParaRPr lang="en-US"/>
        </a:p>
      </dgm:t>
    </dgm:pt>
    <dgm:pt modelId="{E49C447F-3477-4311-B10B-FFFA7DE7209F}" type="pres">
      <dgm:prSet presAssocID="{98585C11-761C-43C4-979D-FB1B8BABF102}" presName="Name9" presStyleLbl="parChTrans1D2" presStyleIdx="5" presStyleCnt="10"/>
      <dgm:spPr/>
      <dgm:t>
        <a:bodyPr/>
        <a:lstStyle/>
        <a:p>
          <a:endParaRPr lang="en-US"/>
        </a:p>
      </dgm:t>
    </dgm:pt>
    <dgm:pt modelId="{B930024E-8665-4782-9C41-36517A71FCD4}" type="pres">
      <dgm:prSet presAssocID="{98585C11-761C-43C4-979D-FB1B8BABF102}" presName="connTx" presStyleLbl="parChTrans1D2" presStyleIdx="5" presStyleCnt="10"/>
      <dgm:spPr/>
      <dgm:t>
        <a:bodyPr/>
        <a:lstStyle/>
        <a:p>
          <a:endParaRPr lang="en-US"/>
        </a:p>
      </dgm:t>
    </dgm:pt>
    <dgm:pt modelId="{69F18085-0AC3-4BAE-9B16-F8478FFBD61E}" type="pres">
      <dgm:prSet presAssocID="{7C1FA040-4399-40F0-866F-845B7914F68D}" presName="node" presStyleLbl="node1" presStyleIdx="5" presStyleCnt="10" custScaleX="228842" custRadScaleRad="74335" custRadScaleInc="-124162">
        <dgm:presLayoutVars>
          <dgm:bulletEnabled val="1"/>
        </dgm:presLayoutVars>
      </dgm:prSet>
      <dgm:spPr/>
      <dgm:t>
        <a:bodyPr/>
        <a:lstStyle/>
        <a:p>
          <a:endParaRPr lang="en-US"/>
        </a:p>
      </dgm:t>
    </dgm:pt>
    <dgm:pt modelId="{FCC14444-D5E7-4E9C-B980-A27CD799E442}" type="pres">
      <dgm:prSet presAssocID="{DEF73824-C893-4963-9504-7E97D2FF5253}" presName="Name9" presStyleLbl="parChTrans1D2" presStyleIdx="6" presStyleCnt="10"/>
      <dgm:spPr/>
      <dgm:t>
        <a:bodyPr/>
        <a:lstStyle/>
        <a:p>
          <a:endParaRPr lang="en-US"/>
        </a:p>
      </dgm:t>
    </dgm:pt>
    <dgm:pt modelId="{3EA6B60F-F2E8-4D48-9EC1-CAAE09243949}" type="pres">
      <dgm:prSet presAssocID="{DEF73824-C893-4963-9504-7E97D2FF5253}" presName="connTx" presStyleLbl="parChTrans1D2" presStyleIdx="6" presStyleCnt="10"/>
      <dgm:spPr/>
      <dgm:t>
        <a:bodyPr/>
        <a:lstStyle/>
        <a:p>
          <a:endParaRPr lang="en-US"/>
        </a:p>
      </dgm:t>
    </dgm:pt>
    <dgm:pt modelId="{49C45DFA-0A15-4DAA-80DC-CAE4ABCC6B43}" type="pres">
      <dgm:prSet presAssocID="{2628F477-2289-4CEE-9618-96DDAFCD4291}" presName="node" presStyleLbl="node1" presStyleIdx="6" presStyleCnt="10" custScaleX="253989" custScaleY="109229" custRadScaleRad="109677" custRadScaleInc="120656">
        <dgm:presLayoutVars>
          <dgm:bulletEnabled val="1"/>
        </dgm:presLayoutVars>
      </dgm:prSet>
      <dgm:spPr/>
      <dgm:t>
        <a:bodyPr/>
        <a:lstStyle/>
        <a:p>
          <a:endParaRPr lang="en-US"/>
        </a:p>
      </dgm:t>
    </dgm:pt>
    <dgm:pt modelId="{7B59CB2C-C82F-41EE-B3CF-ADD4878ADBA6}" type="pres">
      <dgm:prSet presAssocID="{2F72DDEE-62D3-48A5-836A-4C87596541F0}" presName="Name9" presStyleLbl="parChTrans1D2" presStyleIdx="7" presStyleCnt="10"/>
      <dgm:spPr/>
      <dgm:t>
        <a:bodyPr/>
        <a:lstStyle/>
        <a:p>
          <a:endParaRPr lang="en-US"/>
        </a:p>
      </dgm:t>
    </dgm:pt>
    <dgm:pt modelId="{280B3AB5-4999-4B99-8BE9-E09C9DF5D482}" type="pres">
      <dgm:prSet presAssocID="{2F72DDEE-62D3-48A5-836A-4C87596541F0}" presName="connTx" presStyleLbl="parChTrans1D2" presStyleIdx="7" presStyleCnt="10"/>
      <dgm:spPr/>
      <dgm:t>
        <a:bodyPr/>
        <a:lstStyle/>
        <a:p>
          <a:endParaRPr lang="en-US"/>
        </a:p>
      </dgm:t>
    </dgm:pt>
    <dgm:pt modelId="{402B25BB-F397-46B5-AAB7-C38C2276BF82}" type="pres">
      <dgm:prSet presAssocID="{44FBC2E2-D754-42C1-BEE4-690296442511}" presName="node" presStyleLbl="node1" presStyleIdx="7" presStyleCnt="10" custScaleX="285064" custScaleY="105604" custRadScaleRad="180961" custRadScaleInc="70653">
        <dgm:presLayoutVars>
          <dgm:bulletEnabled val="1"/>
        </dgm:presLayoutVars>
      </dgm:prSet>
      <dgm:spPr/>
      <dgm:t>
        <a:bodyPr/>
        <a:lstStyle/>
        <a:p>
          <a:endParaRPr lang="en-US"/>
        </a:p>
      </dgm:t>
    </dgm:pt>
    <dgm:pt modelId="{EFB9CB5A-411C-454B-96B1-9ED988829CBE}" type="pres">
      <dgm:prSet presAssocID="{B4A5C031-92B2-438E-80BC-EAA05F5C7CF7}" presName="Name9" presStyleLbl="parChTrans1D2" presStyleIdx="8" presStyleCnt="10"/>
      <dgm:spPr/>
      <dgm:t>
        <a:bodyPr/>
        <a:lstStyle/>
        <a:p>
          <a:endParaRPr lang="en-US"/>
        </a:p>
      </dgm:t>
    </dgm:pt>
    <dgm:pt modelId="{A140118B-14B1-45A7-9CF9-17E4D006F84D}" type="pres">
      <dgm:prSet presAssocID="{B4A5C031-92B2-438E-80BC-EAA05F5C7CF7}" presName="connTx" presStyleLbl="parChTrans1D2" presStyleIdx="8" presStyleCnt="10"/>
      <dgm:spPr/>
      <dgm:t>
        <a:bodyPr/>
        <a:lstStyle/>
        <a:p>
          <a:endParaRPr lang="en-US"/>
        </a:p>
      </dgm:t>
    </dgm:pt>
    <dgm:pt modelId="{5AF8D9AC-0C15-4D1B-BCD3-7FFCFF0A581D}" type="pres">
      <dgm:prSet presAssocID="{D460D018-736B-4CE5-A14B-061F8EFE829B}" presName="node" presStyleLbl="node1" presStyleIdx="8" presStyleCnt="10" custScaleX="224032" custScaleY="117447" custRadScaleRad="174147" custRadScaleInc="-23480">
        <dgm:presLayoutVars>
          <dgm:bulletEnabled val="1"/>
        </dgm:presLayoutVars>
      </dgm:prSet>
      <dgm:spPr/>
      <dgm:t>
        <a:bodyPr/>
        <a:lstStyle/>
        <a:p>
          <a:endParaRPr lang="en-US"/>
        </a:p>
      </dgm:t>
    </dgm:pt>
    <dgm:pt modelId="{5DC5D51E-945B-4CCC-B580-737CA66D42E3}" type="pres">
      <dgm:prSet presAssocID="{AD80D2A2-2CDC-439E-8A80-49FDDE50F566}" presName="Name9" presStyleLbl="parChTrans1D2" presStyleIdx="9" presStyleCnt="10"/>
      <dgm:spPr/>
      <dgm:t>
        <a:bodyPr/>
        <a:lstStyle/>
        <a:p>
          <a:endParaRPr lang="en-US"/>
        </a:p>
      </dgm:t>
    </dgm:pt>
    <dgm:pt modelId="{653D05C2-436A-4268-A4B1-DA090CACDDFB}" type="pres">
      <dgm:prSet presAssocID="{AD80D2A2-2CDC-439E-8A80-49FDDE50F566}" presName="connTx" presStyleLbl="parChTrans1D2" presStyleIdx="9" presStyleCnt="10"/>
      <dgm:spPr/>
      <dgm:t>
        <a:bodyPr/>
        <a:lstStyle/>
        <a:p>
          <a:endParaRPr lang="en-US"/>
        </a:p>
      </dgm:t>
    </dgm:pt>
    <dgm:pt modelId="{26661F75-1D9F-48E2-8FB0-82462D91AB89}" type="pres">
      <dgm:prSet presAssocID="{3869496C-0E19-4CE4-AC4D-8E2619BF9D68}" presName="node" presStyleLbl="node1" presStyleIdx="9" presStyleCnt="10" custScaleX="251960" custScaleY="91888" custRadScaleRad="132823" custRadScaleInc="-81638">
        <dgm:presLayoutVars>
          <dgm:bulletEnabled val="1"/>
        </dgm:presLayoutVars>
      </dgm:prSet>
      <dgm:spPr/>
      <dgm:t>
        <a:bodyPr/>
        <a:lstStyle/>
        <a:p>
          <a:endParaRPr lang="en-US"/>
        </a:p>
      </dgm:t>
    </dgm:pt>
  </dgm:ptLst>
  <dgm:cxnLst>
    <dgm:cxn modelId="{DC095B7F-4AA3-42D5-86AA-C1C6E353F63C}" type="presOf" srcId="{DB9FEC62-86A7-454A-89B3-F32F1907C71A}" destId="{A8CF68B1-7D91-429E-8C8D-53007288E1DC}" srcOrd="1" destOrd="0" presId="urn:microsoft.com/office/officeart/2005/8/layout/radial1"/>
    <dgm:cxn modelId="{345C13DF-1D3F-4982-AF23-DC2641540559}" srcId="{A7516A72-1FC0-46ED-AAC4-AF0F7063F737}" destId="{7C1FA040-4399-40F0-866F-845B7914F68D}" srcOrd="5" destOrd="0" parTransId="{98585C11-761C-43C4-979D-FB1B8BABF102}" sibTransId="{82A7CC90-6A4C-422A-B221-BA4CF5B4D442}"/>
    <dgm:cxn modelId="{6ACA084A-FC9C-4FD5-95D8-F34D6C7B0153}" type="presOf" srcId="{98585C11-761C-43C4-979D-FB1B8BABF102}" destId="{B930024E-8665-4782-9C41-36517A71FCD4}" srcOrd="1" destOrd="0" presId="urn:microsoft.com/office/officeart/2005/8/layout/radial1"/>
    <dgm:cxn modelId="{E627A0B8-8E3D-4C26-9309-C220E6496323}" type="presOf" srcId="{DB0D84B1-C440-4746-9EEF-F1ED71D64DD2}" destId="{66DADE40-99AE-41BE-B997-129EED231064}" srcOrd="0" destOrd="0" presId="urn:microsoft.com/office/officeart/2005/8/layout/radial1"/>
    <dgm:cxn modelId="{E33F73EC-2C22-4E74-8A9D-66208ED012F8}" type="presOf" srcId="{DB9FEC62-86A7-454A-89B3-F32F1907C71A}" destId="{34515D96-C834-4D67-AF5C-3B293601CBC3}" srcOrd="0" destOrd="0" presId="urn:microsoft.com/office/officeart/2005/8/layout/radial1"/>
    <dgm:cxn modelId="{BFB8D869-B49E-48ED-BF76-D79723C1D884}" type="presOf" srcId="{DEF73824-C893-4963-9504-7E97D2FF5253}" destId="{FCC14444-D5E7-4E9C-B980-A27CD799E442}" srcOrd="0" destOrd="0" presId="urn:microsoft.com/office/officeart/2005/8/layout/radial1"/>
    <dgm:cxn modelId="{29D444F7-14B7-4E1F-87D0-E47034DBB9BA}" type="presOf" srcId="{A7516A72-1FC0-46ED-AAC4-AF0F7063F737}" destId="{493DA7EC-5D69-41B7-92E4-ED7ED9F48883}" srcOrd="0" destOrd="0" presId="urn:microsoft.com/office/officeart/2005/8/layout/radial1"/>
    <dgm:cxn modelId="{0C8DB7FD-F486-4C15-BBC4-585ED2986CDA}" type="presOf" srcId="{D460D018-736B-4CE5-A14B-061F8EFE829B}" destId="{5AF8D9AC-0C15-4D1B-BCD3-7FFCFF0A581D}" srcOrd="0" destOrd="0" presId="urn:microsoft.com/office/officeart/2005/8/layout/radial1"/>
    <dgm:cxn modelId="{6F4FE874-0A21-4F31-AFF0-0EFC64449289}" type="presOf" srcId="{D981426F-5B7B-4AA5-957A-6E8C9E1A2487}" destId="{9D8B49BD-1DF7-4888-9A7E-2CFD4320CC2B}" srcOrd="0" destOrd="0" presId="urn:microsoft.com/office/officeart/2005/8/layout/radial1"/>
    <dgm:cxn modelId="{84826536-FF9D-47C5-902D-DB146A527C2A}" srcId="{A7516A72-1FC0-46ED-AAC4-AF0F7063F737}" destId="{68A5766F-115C-487E-B7CB-4ADE150678D1}" srcOrd="0" destOrd="0" parTransId="{BA28F4A6-AD16-499D-88C1-DBE004B28175}" sibTransId="{BA9B1909-6561-415A-8EF0-B53DE88FCEBA}"/>
    <dgm:cxn modelId="{305D8760-380A-4E88-A407-CCDFB9F0BAEE}" type="presOf" srcId="{B4A5C031-92B2-438E-80BC-EAA05F5C7CF7}" destId="{EFB9CB5A-411C-454B-96B1-9ED988829CBE}" srcOrd="0" destOrd="0" presId="urn:microsoft.com/office/officeart/2005/8/layout/radial1"/>
    <dgm:cxn modelId="{5D180C03-46C0-48FD-AAF3-D3A0923484F9}" type="presOf" srcId="{2628F477-2289-4CEE-9618-96DDAFCD4291}" destId="{49C45DFA-0A15-4DAA-80DC-CAE4ABCC6B43}" srcOrd="0" destOrd="0" presId="urn:microsoft.com/office/officeart/2005/8/layout/radial1"/>
    <dgm:cxn modelId="{333E8F20-31E9-4D6F-9F31-24FBF63076E9}" srcId="{A7516A72-1FC0-46ED-AAC4-AF0F7063F737}" destId="{D460D018-736B-4CE5-A14B-061F8EFE829B}" srcOrd="8" destOrd="0" parTransId="{B4A5C031-92B2-438E-80BC-EAA05F5C7CF7}" sibTransId="{13E4242D-C1FF-4F31-B2EF-0F857644C218}"/>
    <dgm:cxn modelId="{C7DD68AE-99B2-4937-A127-D654A2E99784}" srcId="{A7516A72-1FC0-46ED-AAC4-AF0F7063F737}" destId="{DB0D84B1-C440-4746-9EEF-F1ED71D64DD2}" srcOrd="3" destOrd="0" parTransId="{9E510621-404D-46D6-8EB3-39712C8626D4}" sibTransId="{99C4878C-8523-40E3-93C5-8DC55D31DB77}"/>
    <dgm:cxn modelId="{A1357B0A-C240-4A91-89D8-A39634308683}" srcId="{A7516A72-1FC0-46ED-AAC4-AF0F7063F737}" destId="{44FBC2E2-D754-42C1-BEE4-690296442511}" srcOrd="7" destOrd="0" parTransId="{2F72DDEE-62D3-48A5-836A-4C87596541F0}" sibTransId="{A8D506B7-E9B0-4378-B011-FCC599FE960D}"/>
    <dgm:cxn modelId="{9F7453A7-E38E-4686-92D2-3B052538A223}" type="presOf" srcId="{6DAE892F-3F2D-42A5-BB1C-58D0E6BD9A47}" destId="{7E7DDE23-6C04-407D-AAB6-669511EA704E}" srcOrd="0" destOrd="0" presId="urn:microsoft.com/office/officeart/2005/8/layout/radial1"/>
    <dgm:cxn modelId="{7BF3D4A1-D1BE-4847-8105-7BEED52D45D4}" type="presOf" srcId="{AD80D2A2-2CDC-439E-8A80-49FDDE50F566}" destId="{5DC5D51E-945B-4CCC-B580-737CA66D42E3}" srcOrd="0" destOrd="0" presId="urn:microsoft.com/office/officeart/2005/8/layout/radial1"/>
    <dgm:cxn modelId="{77CAE80B-51A2-4106-B8D3-2D7B7A1AC79C}" type="presOf" srcId="{44FBC2E2-D754-42C1-BEE4-690296442511}" destId="{402B25BB-F397-46B5-AAB7-C38C2276BF82}" srcOrd="0" destOrd="0" presId="urn:microsoft.com/office/officeart/2005/8/layout/radial1"/>
    <dgm:cxn modelId="{E4A1A0B0-6A84-4FF5-96F0-955961F775D0}" type="presOf" srcId="{BA28F4A6-AD16-499D-88C1-DBE004B28175}" destId="{B06AADB2-5D51-41DC-8677-C0CC2357518B}" srcOrd="1" destOrd="0" presId="urn:microsoft.com/office/officeart/2005/8/layout/radial1"/>
    <dgm:cxn modelId="{ABBB8C4B-AD0A-4FEE-B8D6-1510EB86A947}" type="presOf" srcId="{D22DE764-173E-47DF-9480-722F8D8EA62C}" destId="{48797E66-4F8B-4B79-BCA7-6F88E85CF835}" srcOrd="1" destOrd="0" presId="urn:microsoft.com/office/officeart/2005/8/layout/radial1"/>
    <dgm:cxn modelId="{3138FD81-FCE3-4020-9313-BAD8BCAF820B}" srcId="{A7516A72-1FC0-46ED-AAC4-AF0F7063F737}" destId="{14602118-D739-48CC-85E0-791974AFA995}" srcOrd="4" destOrd="0" parTransId="{3F89048A-3F9F-4897-8631-4599F4976029}" sibTransId="{85730AA2-ED16-41DB-9898-B2A63ECD874D}"/>
    <dgm:cxn modelId="{B76C292B-8FD2-474A-8B20-A1F2801693F3}" type="presOf" srcId="{9E510621-404D-46D6-8EB3-39712C8626D4}" destId="{DC281168-2DBC-4CFB-B21D-C54E9628B383}" srcOrd="0" destOrd="0" presId="urn:microsoft.com/office/officeart/2005/8/layout/radial1"/>
    <dgm:cxn modelId="{996B9653-906A-49F8-9E4B-3836F7905D4E}" srcId="{D981426F-5B7B-4AA5-957A-6E8C9E1A2487}" destId="{A7516A72-1FC0-46ED-AAC4-AF0F7063F737}" srcOrd="0" destOrd="0" parTransId="{D9E0AFEB-65B5-4280-ADD0-766B3ADA6CFD}" sibTransId="{6B1EB84D-437E-47A1-87CB-9027EE716AD0}"/>
    <dgm:cxn modelId="{A5794848-FA88-45E4-9420-D1C7392B5B45}" srcId="{A7516A72-1FC0-46ED-AAC4-AF0F7063F737}" destId="{3869496C-0E19-4CE4-AC4D-8E2619BF9D68}" srcOrd="9" destOrd="0" parTransId="{AD80D2A2-2CDC-439E-8A80-49FDDE50F566}" sibTransId="{3C80BB14-F31D-405F-A95F-B4434486AD2E}"/>
    <dgm:cxn modelId="{134A3D8B-256D-43C4-B24A-008337F02BA9}" type="presOf" srcId="{9E510621-404D-46D6-8EB3-39712C8626D4}" destId="{0D3BFC0A-5ED4-4CCF-A336-A529B3363890}" srcOrd="1" destOrd="0" presId="urn:microsoft.com/office/officeart/2005/8/layout/radial1"/>
    <dgm:cxn modelId="{81D1D01C-1753-4D14-8CBB-5A491F9F0F5F}" type="presOf" srcId="{D22DE764-173E-47DF-9480-722F8D8EA62C}" destId="{5CF8296B-0142-429D-A71A-20799D2EB74B}" srcOrd="0" destOrd="0" presId="urn:microsoft.com/office/officeart/2005/8/layout/radial1"/>
    <dgm:cxn modelId="{31AF9E22-3128-4559-B4C2-E19F49D0A20F}" type="presOf" srcId="{898446A3-EA8C-4C13-8A65-DF8A110D0838}" destId="{D9366F31-B7D7-4B43-830C-AD5E2193A794}" srcOrd="0" destOrd="0" presId="urn:microsoft.com/office/officeart/2005/8/layout/radial1"/>
    <dgm:cxn modelId="{FD4CCA1A-8699-40FD-BCF7-DFCF12077A1E}" type="presOf" srcId="{3869496C-0E19-4CE4-AC4D-8E2619BF9D68}" destId="{26661F75-1D9F-48E2-8FB0-82462D91AB89}" srcOrd="0" destOrd="0" presId="urn:microsoft.com/office/officeart/2005/8/layout/radial1"/>
    <dgm:cxn modelId="{C395F077-F6EA-4187-B1D6-4401723C9DD8}" type="presOf" srcId="{2F72DDEE-62D3-48A5-836A-4C87596541F0}" destId="{7B59CB2C-C82F-41EE-B3CF-ADD4878ADBA6}" srcOrd="0" destOrd="0" presId="urn:microsoft.com/office/officeart/2005/8/layout/radial1"/>
    <dgm:cxn modelId="{E5DD3C3F-F401-46C8-9D1F-CEE8478EFA81}" srcId="{A7516A72-1FC0-46ED-AAC4-AF0F7063F737}" destId="{2628F477-2289-4CEE-9618-96DDAFCD4291}" srcOrd="6" destOrd="0" parTransId="{DEF73824-C893-4963-9504-7E97D2FF5253}" sibTransId="{6D6ABE48-6FEB-4EAA-849C-585AC08FCF5B}"/>
    <dgm:cxn modelId="{4C176B7F-1838-489C-8A5D-5B6B40601E4B}" type="presOf" srcId="{68A5766F-115C-487E-B7CB-4ADE150678D1}" destId="{AFD0CC05-9AD4-4A51-8739-4FB4CA1E4ACE}" srcOrd="0" destOrd="0" presId="urn:microsoft.com/office/officeart/2005/8/layout/radial1"/>
    <dgm:cxn modelId="{F7956710-D140-41E2-94DE-723567E80934}" type="presOf" srcId="{7C1FA040-4399-40F0-866F-845B7914F68D}" destId="{69F18085-0AC3-4BAE-9B16-F8478FFBD61E}" srcOrd="0" destOrd="0" presId="urn:microsoft.com/office/officeart/2005/8/layout/radial1"/>
    <dgm:cxn modelId="{2770DE78-DD91-400A-9449-934A490772F9}" type="presOf" srcId="{DEF73824-C893-4963-9504-7E97D2FF5253}" destId="{3EA6B60F-F2E8-4D48-9EC1-CAAE09243949}" srcOrd="1" destOrd="0" presId="urn:microsoft.com/office/officeart/2005/8/layout/radial1"/>
    <dgm:cxn modelId="{1CC7799D-3A10-4752-B840-6378F44CE922}" type="presOf" srcId="{B4A5C031-92B2-438E-80BC-EAA05F5C7CF7}" destId="{A140118B-14B1-45A7-9CF9-17E4D006F84D}" srcOrd="1" destOrd="0" presId="urn:microsoft.com/office/officeart/2005/8/layout/radial1"/>
    <dgm:cxn modelId="{5779E350-DDEC-44B5-A706-A58713D87918}" type="presOf" srcId="{3F89048A-3F9F-4897-8631-4599F4976029}" destId="{32B4D7AF-BD29-4AC4-BA11-37F2AE9561F4}" srcOrd="1" destOrd="0" presId="urn:microsoft.com/office/officeart/2005/8/layout/radial1"/>
    <dgm:cxn modelId="{A8D90371-2D66-4BAA-B782-3AE3731153A4}" type="presOf" srcId="{BA28F4A6-AD16-499D-88C1-DBE004B28175}" destId="{E6ACA703-0949-41B3-BE6B-C702E5C7275F}" srcOrd="0" destOrd="0" presId="urn:microsoft.com/office/officeart/2005/8/layout/radial1"/>
    <dgm:cxn modelId="{8F53AE50-3D42-4676-BBFE-A170BF0B8FDC}" type="presOf" srcId="{AD80D2A2-2CDC-439E-8A80-49FDDE50F566}" destId="{653D05C2-436A-4268-A4B1-DA090CACDDFB}" srcOrd="1" destOrd="0" presId="urn:microsoft.com/office/officeart/2005/8/layout/radial1"/>
    <dgm:cxn modelId="{6B823231-A01F-4F3B-86EF-E253CAF16C4E}" type="presOf" srcId="{14602118-D739-48CC-85E0-791974AFA995}" destId="{DB594876-4070-4577-942D-67F5CD4D6A19}" srcOrd="0" destOrd="0" presId="urn:microsoft.com/office/officeart/2005/8/layout/radial1"/>
    <dgm:cxn modelId="{DDF3D8A3-BD60-464C-97F1-824CB4F3DD6B}" type="presOf" srcId="{98585C11-761C-43C4-979D-FB1B8BABF102}" destId="{E49C447F-3477-4311-B10B-FFFA7DE7209F}" srcOrd="0" destOrd="0" presId="urn:microsoft.com/office/officeart/2005/8/layout/radial1"/>
    <dgm:cxn modelId="{12E535F5-6A5F-462A-9453-CD8F9201EF1C}" type="presOf" srcId="{3F89048A-3F9F-4897-8631-4599F4976029}" destId="{4DF1B0BE-A63A-4BEA-9EE5-4168481CC99E}" srcOrd="0" destOrd="0" presId="urn:microsoft.com/office/officeart/2005/8/layout/radial1"/>
    <dgm:cxn modelId="{FE1169E0-24DF-4FBB-A1C9-8F332C85663A}" srcId="{A7516A72-1FC0-46ED-AAC4-AF0F7063F737}" destId="{6DAE892F-3F2D-42A5-BB1C-58D0E6BD9A47}" srcOrd="2" destOrd="0" parTransId="{D22DE764-173E-47DF-9480-722F8D8EA62C}" sibTransId="{28BD2EB6-8814-456D-B684-C7C0E2C0705F}"/>
    <dgm:cxn modelId="{EF1E8E21-B8D1-4BFF-A940-E1016D039E49}" type="presOf" srcId="{2F72DDEE-62D3-48A5-836A-4C87596541F0}" destId="{280B3AB5-4999-4B99-8BE9-E09C9DF5D482}" srcOrd="1" destOrd="0" presId="urn:microsoft.com/office/officeart/2005/8/layout/radial1"/>
    <dgm:cxn modelId="{A93C1B4A-74B5-4343-AF12-0C2C4D914189}" srcId="{A7516A72-1FC0-46ED-AAC4-AF0F7063F737}" destId="{898446A3-EA8C-4C13-8A65-DF8A110D0838}" srcOrd="1" destOrd="0" parTransId="{DB9FEC62-86A7-454A-89B3-F32F1907C71A}" sibTransId="{E56928EA-8406-4998-BE40-3F4796EA5932}"/>
    <dgm:cxn modelId="{B7139D36-A26D-4231-ACB9-11325FB5FDB6}" type="presParOf" srcId="{9D8B49BD-1DF7-4888-9A7E-2CFD4320CC2B}" destId="{493DA7EC-5D69-41B7-92E4-ED7ED9F48883}" srcOrd="0" destOrd="0" presId="urn:microsoft.com/office/officeart/2005/8/layout/radial1"/>
    <dgm:cxn modelId="{47E9C455-9F6C-43FA-8876-0A6821EA3699}" type="presParOf" srcId="{9D8B49BD-1DF7-4888-9A7E-2CFD4320CC2B}" destId="{E6ACA703-0949-41B3-BE6B-C702E5C7275F}" srcOrd="1" destOrd="0" presId="urn:microsoft.com/office/officeart/2005/8/layout/radial1"/>
    <dgm:cxn modelId="{BBCFB076-70CC-46E2-A7EB-938102E186FD}" type="presParOf" srcId="{E6ACA703-0949-41B3-BE6B-C702E5C7275F}" destId="{B06AADB2-5D51-41DC-8677-C0CC2357518B}" srcOrd="0" destOrd="0" presId="urn:microsoft.com/office/officeart/2005/8/layout/radial1"/>
    <dgm:cxn modelId="{39E6DEFE-5401-41C6-AF01-800C397BD996}" type="presParOf" srcId="{9D8B49BD-1DF7-4888-9A7E-2CFD4320CC2B}" destId="{AFD0CC05-9AD4-4A51-8739-4FB4CA1E4ACE}" srcOrd="2" destOrd="0" presId="urn:microsoft.com/office/officeart/2005/8/layout/radial1"/>
    <dgm:cxn modelId="{C67CA138-6DD1-48D7-BBE3-D9B583FD0905}" type="presParOf" srcId="{9D8B49BD-1DF7-4888-9A7E-2CFD4320CC2B}" destId="{34515D96-C834-4D67-AF5C-3B293601CBC3}" srcOrd="3" destOrd="0" presId="urn:microsoft.com/office/officeart/2005/8/layout/radial1"/>
    <dgm:cxn modelId="{9230DED4-6C11-441A-ABE4-0C1FDE59A7E2}" type="presParOf" srcId="{34515D96-C834-4D67-AF5C-3B293601CBC3}" destId="{A8CF68B1-7D91-429E-8C8D-53007288E1DC}" srcOrd="0" destOrd="0" presId="urn:microsoft.com/office/officeart/2005/8/layout/radial1"/>
    <dgm:cxn modelId="{10E334D9-8E89-4FA4-B67E-0921CC39AED3}" type="presParOf" srcId="{9D8B49BD-1DF7-4888-9A7E-2CFD4320CC2B}" destId="{D9366F31-B7D7-4B43-830C-AD5E2193A794}" srcOrd="4" destOrd="0" presId="urn:microsoft.com/office/officeart/2005/8/layout/radial1"/>
    <dgm:cxn modelId="{4AAFDD03-9EF9-4294-BD5D-8053E733F747}" type="presParOf" srcId="{9D8B49BD-1DF7-4888-9A7E-2CFD4320CC2B}" destId="{5CF8296B-0142-429D-A71A-20799D2EB74B}" srcOrd="5" destOrd="0" presId="urn:microsoft.com/office/officeart/2005/8/layout/radial1"/>
    <dgm:cxn modelId="{0E812DC6-4D52-4E7E-BB3E-5690B22CC0F7}" type="presParOf" srcId="{5CF8296B-0142-429D-A71A-20799D2EB74B}" destId="{48797E66-4F8B-4B79-BCA7-6F88E85CF835}" srcOrd="0" destOrd="0" presId="urn:microsoft.com/office/officeart/2005/8/layout/radial1"/>
    <dgm:cxn modelId="{5DF0F3B5-1B2D-4CC2-AB62-084EBB2F493C}" type="presParOf" srcId="{9D8B49BD-1DF7-4888-9A7E-2CFD4320CC2B}" destId="{7E7DDE23-6C04-407D-AAB6-669511EA704E}" srcOrd="6" destOrd="0" presId="urn:microsoft.com/office/officeart/2005/8/layout/radial1"/>
    <dgm:cxn modelId="{DD63BB85-19DE-43E4-94BC-4493B4A1AB79}" type="presParOf" srcId="{9D8B49BD-1DF7-4888-9A7E-2CFD4320CC2B}" destId="{DC281168-2DBC-4CFB-B21D-C54E9628B383}" srcOrd="7" destOrd="0" presId="urn:microsoft.com/office/officeart/2005/8/layout/radial1"/>
    <dgm:cxn modelId="{D38D7FDF-3711-435C-BA09-8678399E5229}" type="presParOf" srcId="{DC281168-2DBC-4CFB-B21D-C54E9628B383}" destId="{0D3BFC0A-5ED4-4CCF-A336-A529B3363890}" srcOrd="0" destOrd="0" presId="urn:microsoft.com/office/officeart/2005/8/layout/radial1"/>
    <dgm:cxn modelId="{9428E896-B9D8-4F33-9BCC-F304AE694179}" type="presParOf" srcId="{9D8B49BD-1DF7-4888-9A7E-2CFD4320CC2B}" destId="{66DADE40-99AE-41BE-B997-129EED231064}" srcOrd="8" destOrd="0" presId="urn:microsoft.com/office/officeart/2005/8/layout/radial1"/>
    <dgm:cxn modelId="{9630605F-87A3-4620-BA71-A88D74C237EB}" type="presParOf" srcId="{9D8B49BD-1DF7-4888-9A7E-2CFD4320CC2B}" destId="{4DF1B0BE-A63A-4BEA-9EE5-4168481CC99E}" srcOrd="9" destOrd="0" presId="urn:microsoft.com/office/officeart/2005/8/layout/radial1"/>
    <dgm:cxn modelId="{C600EA05-6255-4813-95A5-832618FFBF6F}" type="presParOf" srcId="{4DF1B0BE-A63A-4BEA-9EE5-4168481CC99E}" destId="{32B4D7AF-BD29-4AC4-BA11-37F2AE9561F4}" srcOrd="0" destOrd="0" presId="urn:microsoft.com/office/officeart/2005/8/layout/radial1"/>
    <dgm:cxn modelId="{32B0592B-EB79-44AF-BF3C-047106376D87}" type="presParOf" srcId="{9D8B49BD-1DF7-4888-9A7E-2CFD4320CC2B}" destId="{DB594876-4070-4577-942D-67F5CD4D6A19}" srcOrd="10" destOrd="0" presId="urn:microsoft.com/office/officeart/2005/8/layout/radial1"/>
    <dgm:cxn modelId="{F2FF380D-CF2A-4C9A-A604-F169DDF8E756}" type="presParOf" srcId="{9D8B49BD-1DF7-4888-9A7E-2CFD4320CC2B}" destId="{E49C447F-3477-4311-B10B-FFFA7DE7209F}" srcOrd="11" destOrd="0" presId="urn:microsoft.com/office/officeart/2005/8/layout/radial1"/>
    <dgm:cxn modelId="{DBDBBF50-956F-4A01-9670-98D0F15A17A6}" type="presParOf" srcId="{E49C447F-3477-4311-B10B-FFFA7DE7209F}" destId="{B930024E-8665-4782-9C41-36517A71FCD4}" srcOrd="0" destOrd="0" presId="urn:microsoft.com/office/officeart/2005/8/layout/radial1"/>
    <dgm:cxn modelId="{9A30F11C-9571-4F1F-BDEB-E97ED04AEC5F}" type="presParOf" srcId="{9D8B49BD-1DF7-4888-9A7E-2CFD4320CC2B}" destId="{69F18085-0AC3-4BAE-9B16-F8478FFBD61E}" srcOrd="12" destOrd="0" presId="urn:microsoft.com/office/officeart/2005/8/layout/radial1"/>
    <dgm:cxn modelId="{8A43913A-9DCF-48FB-AFAE-17B8F7052011}" type="presParOf" srcId="{9D8B49BD-1DF7-4888-9A7E-2CFD4320CC2B}" destId="{FCC14444-D5E7-4E9C-B980-A27CD799E442}" srcOrd="13" destOrd="0" presId="urn:microsoft.com/office/officeart/2005/8/layout/radial1"/>
    <dgm:cxn modelId="{D50A9FC4-F5E2-4DAF-8894-B985A29873A3}" type="presParOf" srcId="{FCC14444-D5E7-4E9C-B980-A27CD799E442}" destId="{3EA6B60F-F2E8-4D48-9EC1-CAAE09243949}" srcOrd="0" destOrd="0" presId="urn:microsoft.com/office/officeart/2005/8/layout/radial1"/>
    <dgm:cxn modelId="{D6019529-66BC-4CA1-9355-CBEDF085E8CC}" type="presParOf" srcId="{9D8B49BD-1DF7-4888-9A7E-2CFD4320CC2B}" destId="{49C45DFA-0A15-4DAA-80DC-CAE4ABCC6B43}" srcOrd="14" destOrd="0" presId="urn:microsoft.com/office/officeart/2005/8/layout/radial1"/>
    <dgm:cxn modelId="{DBB0F726-86D4-45AE-8DF4-3C127ECB0C9D}" type="presParOf" srcId="{9D8B49BD-1DF7-4888-9A7E-2CFD4320CC2B}" destId="{7B59CB2C-C82F-41EE-B3CF-ADD4878ADBA6}" srcOrd="15" destOrd="0" presId="urn:microsoft.com/office/officeart/2005/8/layout/radial1"/>
    <dgm:cxn modelId="{C0F90245-8AE3-43F8-BF4A-845C704EAECA}" type="presParOf" srcId="{7B59CB2C-C82F-41EE-B3CF-ADD4878ADBA6}" destId="{280B3AB5-4999-4B99-8BE9-E09C9DF5D482}" srcOrd="0" destOrd="0" presId="urn:microsoft.com/office/officeart/2005/8/layout/radial1"/>
    <dgm:cxn modelId="{0921D9FB-B0D1-4B24-B9CF-10995F2103B4}" type="presParOf" srcId="{9D8B49BD-1DF7-4888-9A7E-2CFD4320CC2B}" destId="{402B25BB-F397-46B5-AAB7-C38C2276BF82}" srcOrd="16" destOrd="0" presId="urn:microsoft.com/office/officeart/2005/8/layout/radial1"/>
    <dgm:cxn modelId="{52BD8504-A53C-4B0B-AC86-D3F023D43ADD}" type="presParOf" srcId="{9D8B49BD-1DF7-4888-9A7E-2CFD4320CC2B}" destId="{EFB9CB5A-411C-454B-96B1-9ED988829CBE}" srcOrd="17" destOrd="0" presId="urn:microsoft.com/office/officeart/2005/8/layout/radial1"/>
    <dgm:cxn modelId="{DDFB0B14-0A65-425D-AEF7-BA041D25594B}" type="presParOf" srcId="{EFB9CB5A-411C-454B-96B1-9ED988829CBE}" destId="{A140118B-14B1-45A7-9CF9-17E4D006F84D}" srcOrd="0" destOrd="0" presId="urn:microsoft.com/office/officeart/2005/8/layout/radial1"/>
    <dgm:cxn modelId="{6342A7FA-17BF-4674-958F-7358116BAA56}" type="presParOf" srcId="{9D8B49BD-1DF7-4888-9A7E-2CFD4320CC2B}" destId="{5AF8D9AC-0C15-4D1B-BCD3-7FFCFF0A581D}" srcOrd="18" destOrd="0" presId="urn:microsoft.com/office/officeart/2005/8/layout/radial1"/>
    <dgm:cxn modelId="{55BC9DC0-89DF-491C-B7F2-C9E475B1F1CB}" type="presParOf" srcId="{9D8B49BD-1DF7-4888-9A7E-2CFD4320CC2B}" destId="{5DC5D51E-945B-4CCC-B580-737CA66D42E3}" srcOrd="19" destOrd="0" presId="urn:microsoft.com/office/officeart/2005/8/layout/radial1"/>
    <dgm:cxn modelId="{C09FF987-C781-4A55-93EB-7F1AA896A6EF}" type="presParOf" srcId="{5DC5D51E-945B-4CCC-B580-737CA66D42E3}" destId="{653D05C2-436A-4268-A4B1-DA090CACDDFB}" srcOrd="0" destOrd="0" presId="urn:microsoft.com/office/officeart/2005/8/layout/radial1"/>
    <dgm:cxn modelId="{D5A75D20-BF28-414B-B259-CF7C2B7BCAA4}" type="presParOf" srcId="{9D8B49BD-1DF7-4888-9A7E-2CFD4320CC2B}" destId="{26661F75-1D9F-48E2-8FB0-82462D91AB89}" srcOrd="20" destOrd="0" presId="urn:microsoft.com/office/officeart/2005/8/layout/radial1"/>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2D173F-A40A-406A-BA41-067F590F5B00}">
      <dsp:nvSpPr>
        <dsp:cNvPr id="0" name=""/>
        <dsp:cNvSpPr/>
      </dsp:nvSpPr>
      <dsp:spPr>
        <a:xfrm>
          <a:off x="2395316" y="772684"/>
          <a:ext cx="1196446" cy="478712"/>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 </a:t>
          </a:r>
        </a:p>
      </dsp:txBody>
      <dsp:txXfrm>
        <a:off x="2570531" y="842790"/>
        <a:ext cx="846016" cy="338500"/>
      </dsp:txXfrm>
    </dsp:sp>
    <dsp:sp modelId="{2E00D982-49D5-455F-888E-68E4C81A2365}">
      <dsp:nvSpPr>
        <dsp:cNvPr id="0" name=""/>
        <dsp:cNvSpPr/>
      </dsp:nvSpPr>
      <dsp:spPr>
        <a:xfrm rot="16200000">
          <a:off x="2825814" y="597710"/>
          <a:ext cx="335451" cy="14497"/>
        </a:xfrm>
        <a:custGeom>
          <a:avLst/>
          <a:gdLst/>
          <a:ahLst/>
          <a:cxnLst/>
          <a:rect l="0" t="0" r="0" b="0"/>
          <a:pathLst>
            <a:path>
              <a:moveTo>
                <a:pt x="0" y="7259"/>
              </a:moveTo>
              <a:lnTo>
                <a:pt x="355250"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85153" y="596572"/>
        <a:ext cx="16772" cy="16772"/>
      </dsp:txXfrm>
    </dsp:sp>
    <dsp:sp modelId="{44473C27-A9A3-4167-AEAF-A01C156E33F0}">
      <dsp:nvSpPr>
        <dsp:cNvPr id="0" name=""/>
        <dsp:cNvSpPr/>
      </dsp:nvSpPr>
      <dsp:spPr>
        <a:xfrm>
          <a:off x="2493322" y="-41479"/>
          <a:ext cx="1000433" cy="47871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 </a:t>
          </a:r>
        </a:p>
      </dsp:txBody>
      <dsp:txXfrm>
        <a:off x="2639832" y="28627"/>
        <a:ext cx="707413" cy="338500"/>
      </dsp:txXfrm>
    </dsp:sp>
    <dsp:sp modelId="{3FE6E2C5-0D84-4EA6-8A7C-D44D396A169E}">
      <dsp:nvSpPr>
        <dsp:cNvPr id="0" name=""/>
        <dsp:cNvSpPr/>
      </dsp:nvSpPr>
      <dsp:spPr>
        <a:xfrm rot="19792485">
          <a:off x="3319500" y="757100"/>
          <a:ext cx="201792" cy="14497"/>
        </a:xfrm>
        <a:custGeom>
          <a:avLst/>
          <a:gdLst/>
          <a:ahLst/>
          <a:cxnLst/>
          <a:rect l="0" t="0" r="0" b="0"/>
          <a:pathLst>
            <a:path>
              <a:moveTo>
                <a:pt x="0" y="7259"/>
              </a:moveTo>
              <a:lnTo>
                <a:pt x="255651"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15352" y="759304"/>
        <a:ext cx="10089" cy="10089"/>
      </dsp:txXfrm>
    </dsp:sp>
    <dsp:sp modelId="{5F1C34CD-B8DF-45F7-A431-2126D61FFACC}">
      <dsp:nvSpPr>
        <dsp:cNvPr id="0" name=""/>
        <dsp:cNvSpPr/>
      </dsp:nvSpPr>
      <dsp:spPr>
        <a:xfrm>
          <a:off x="3331666" y="275685"/>
          <a:ext cx="1004124" cy="49764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8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C.A.D.</a:t>
          </a:r>
        </a:p>
      </dsp:txBody>
      <dsp:txXfrm>
        <a:off x="3478717" y="348563"/>
        <a:ext cx="710022" cy="351885"/>
      </dsp:txXfrm>
    </dsp:sp>
    <dsp:sp modelId="{93B3BE9E-D237-4DD9-937C-973455BC3658}">
      <dsp:nvSpPr>
        <dsp:cNvPr id="0" name=""/>
        <dsp:cNvSpPr/>
      </dsp:nvSpPr>
      <dsp:spPr>
        <a:xfrm rot="13">
          <a:off x="3591762" y="1004796"/>
          <a:ext cx="830893" cy="14497"/>
        </a:xfrm>
        <a:custGeom>
          <a:avLst/>
          <a:gdLst/>
          <a:ahLst/>
          <a:cxnLst/>
          <a:rect l="0" t="0" r="0" b="0"/>
          <a:pathLst>
            <a:path>
              <a:moveTo>
                <a:pt x="0" y="7259"/>
              </a:moveTo>
              <a:lnTo>
                <a:pt x="1061555"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86437" y="991272"/>
        <a:ext cx="41544" cy="41544"/>
      </dsp:txXfrm>
    </dsp:sp>
    <dsp:sp modelId="{3A26272E-8DBD-422F-ABA2-A3DA0C9B3C69}">
      <dsp:nvSpPr>
        <dsp:cNvPr id="0" name=""/>
        <dsp:cNvSpPr/>
      </dsp:nvSpPr>
      <dsp:spPr>
        <a:xfrm>
          <a:off x="4422656" y="754453"/>
          <a:ext cx="1302453" cy="51519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9</a:t>
          </a:r>
        </a:p>
        <a:p>
          <a:pPr lvl="0" algn="ctr" defTabSz="444500">
            <a:lnSpc>
              <a:spcPct val="90000"/>
            </a:lnSpc>
            <a:spcBef>
              <a:spcPct val="0"/>
            </a:spcBef>
            <a:spcAft>
              <a:spcPct val="35000"/>
            </a:spcAft>
          </a:pPr>
          <a:r>
            <a:rPr lang="en-US" sz="800" kern="1200">
              <a:solidFill>
                <a:sysClr val="windowText" lastClr="000000"/>
              </a:solidFill>
              <a:latin typeface="Arial" panose="020B0604020202020204" pitchFamily="34" charset="0"/>
              <a:ea typeface="+mn-ea"/>
              <a:cs typeface="Arial" panose="020B0604020202020204" pitchFamily="34" charset="0"/>
            </a:rPr>
            <a:t>Oficinas regionales en la sede</a:t>
          </a:r>
        </a:p>
      </dsp:txBody>
      <dsp:txXfrm>
        <a:off x="4613396" y="829901"/>
        <a:ext cx="920973" cy="364294"/>
      </dsp:txXfrm>
    </dsp:sp>
    <dsp:sp modelId="{7F30A5E4-3531-49F3-AC3C-8F1D2236451A}">
      <dsp:nvSpPr>
        <dsp:cNvPr id="0" name=""/>
        <dsp:cNvSpPr/>
      </dsp:nvSpPr>
      <dsp:spPr>
        <a:xfrm rot="1574343">
          <a:off x="3355225" y="1256429"/>
          <a:ext cx="297657" cy="14497"/>
        </a:xfrm>
        <a:custGeom>
          <a:avLst/>
          <a:gdLst/>
          <a:ahLst/>
          <a:cxnLst/>
          <a:rect l="0" t="0" r="0" b="0"/>
          <a:pathLst>
            <a:path>
              <a:moveTo>
                <a:pt x="0" y="7259"/>
              </a:moveTo>
              <a:lnTo>
                <a:pt x="339042"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96613" y="1256236"/>
        <a:ext cx="14882" cy="14882"/>
      </dsp:txXfrm>
    </dsp:sp>
    <dsp:sp modelId="{E01DCF12-19AC-4734-9210-5F881573D3F5}">
      <dsp:nvSpPr>
        <dsp:cNvPr id="0" name=""/>
        <dsp:cNvSpPr/>
      </dsp:nvSpPr>
      <dsp:spPr>
        <a:xfrm>
          <a:off x="3451344" y="1267298"/>
          <a:ext cx="1114117" cy="48995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pPr lvl="0" algn="ctr" defTabSz="444500">
            <a:lnSpc>
              <a:spcPct val="90000"/>
            </a:lnSpc>
            <a:spcBef>
              <a:spcPct val="0"/>
            </a:spcBef>
            <a:spcAft>
              <a:spcPct val="35000"/>
            </a:spcAft>
          </a:pPr>
          <a:r>
            <a:rPr lang="es-ES_tradnl" sz="900" kern="1200">
              <a:latin typeface="Arial" panose="020B0604020202020204" pitchFamily="34" charset="0"/>
              <a:cs typeface="Arial" panose="020B0604020202020204" pitchFamily="34" charset="0"/>
            </a:rPr>
            <a:t>Países T/D</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614503" y="1339050"/>
        <a:ext cx="787799" cy="346448"/>
      </dsp:txXfrm>
    </dsp:sp>
    <dsp:sp modelId="{9350C245-A165-4791-BD7A-BFCED0BB0361}">
      <dsp:nvSpPr>
        <dsp:cNvPr id="0" name=""/>
        <dsp:cNvSpPr/>
      </dsp:nvSpPr>
      <dsp:spPr>
        <a:xfrm rot="5400000">
          <a:off x="2876127" y="1361560"/>
          <a:ext cx="234823" cy="14497"/>
        </a:xfrm>
        <a:custGeom>
          <a:avLst/>
          <a:gdLst/>
          <a:ahLst/>
          <a:cxnLst/>
          <a:rect l="0" t="0" r="0" b="0"/>
          <a:pathLst>
            <a:path>
              <a:moveTo>
                <a:pt x="0" y="7259"/>
              </a:moveTo>
              <a:lnTo>
                <a:pt x="327479"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87668" y="1362938"/>
        <a:ext cx="11741" cy="11741"/>
      </dsp:txXfrm>
    </dsp:sp>
    <dsp:sp modelId="{C7416AF2-49A6-451C-80C3-A5143C86D045}">
      <dsp:nvSpPr>
        <dsp:cNvPr id="0" name=""/>
        <dsp:cNvSpPr/>
      </dsp:nvSpPr>
      <dsp:spPr>
        <a:xfrm>
          <a:off x="2422794" y="1486220"/>
          <a:ext cx="1141490" cy="67996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a:t>
          </a:r>
        </a:p>
      </dsp:txBody>
      <dsp:txXfrm>
        <a:off x="2589961" y="1585799"/>
        <a:ext cx="807156" cy="480810"/>
      </dsp:txXfrm>
    </dsp:sp>
    <dsp:sp modelId="{2A6DC4FF-B426-4171-A201-27B83DA94370}">
      <dsp:nvSpPr>
        <dsp:cNvPr id="0" name=""/>
        <dsp:cNvSpPr/>
      </dsp:nvSpPr>
      <dsp:spPr>
        <a:xfrm rot="9410013">
          <a:off x="2356208" y="1226512"/>
          <a:ext cx="238363" cy="14497"/>
        </a:xfrm>
        <a:custGeom>
          <a:avLst/>
          <a:gdLst/>
          <a:ahLst/>
          <a:cxnLst/>
          <a:rect l="0" t="0" r="0" b="0"/>
          <a:pathLst>
            <a:path>
              <a:moveTo>
                <a:pt x="0" y="7259"/>
              </a:moveTo>
              <a:lnTo>
                <a:pt x="328427"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69430" y="1227802"/>
        <a:ext cx="11918" cy="11918"/>
      </dsp:txXfrm>
    </dsp:sp>
    <dsp:sp modelId="{353BAFE4-0977-4589-9534-7471241857D7}">
      <dsp:nvSpPr>
        <dsp:cNvPr id="0" name=""/>
        <dsp:cNvSpPr/>
      </dsp:nvSpPr>
      <dsp:spPr>
        <a:xfrm>
          <a:off x="1360018" y="1176085"/>
          <a:ext cx="1138192" cy="58286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Economía y estadística </a:t>
          </a:r>
        </a:p>
      </dsp:txBody>
      <dsp:txXfrm>
        <a:off x="1526702" y="1261443"/>
        <a:ext cx="804824" cy="412145"/>
      </dsp:txXfrm>
    </dsp:sp>
    <dsp:sp modelId="{D3C62D02-BD66-40AA-8598-E6F03FA4330E}">
      <dsp:nvSpPr>
        <dsp:cNvPr id="0" name=""/>
        <dsp:cNvSpPr/>
      </dsp:nvSpPr>
      <dsp:spPr>
        <a:xfrm rot="10800000">
          <a:off x="1567047" y="1004792"/>
          <a:ext cx="828269" cy="14497"/>
        </a:xfrm>
        <a:custGeom>
          <a:avLst/>
          <a:gdLst/>
          <a:ahLst/>
          <a:cxnLst/>
          <a:rect l="0" t="0" r="0" b="0"/>
          <a:pathLst>
            <a:path>
              <a:moveTo>
                <a:pt x="0" y="7259"/>
              </a:moveTo>
              <a:lnTo>
                <a:pt x="1146536"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60474" y="991334"/>
        <a:ext cx="41413" cy="41413"/>
      </dsp:txXfrm>
    </dsp:sp>
    <dsp:sp modelId="{694C81C6-3E54-45BC-9ED9-5944CBD672A7}">
      <dsp:nvSpPr>
        <dsp:cNvPr id="0" name=""/>
        <dsp:cNvSpPr/>
      </dsp:nvSpPr>
      <dsp:spPr>
        <a:xfrm>
          <a:off x="177635" y="657992"/>
          <a:ext cx="1389411" cy="70809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18</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La P.I. y los desafíos mundiales</a:t>
          </a:r>
        </a:p>
      </dsp:txBody>
      <dsp:txXfrm>
        <a:off x="381110" y="761690"/>
        <a:ext cx="982461" cy="500701"/>
      </dsp:txXfrm>
    </dsp:sp>
    <dsp:sp modelId="{98E66AFE-BCED-48F2-B78A-230BF42B9FFC}">
      <dsp:nvSpPr>
        <dsp:cNvPr id="0" name=""/>
        <dsp:cNvSpPr/>
      </dsp:nvSpPr>
      <dsp:spPr>
        <a:xfrm rot="12476106">
          <a:off x="2476475" y="774741"/>
          <a:ext cx="166433" cy="14497"/>
        </a:xfrm>
        <a:custGeom>
          <a:avLst/>
          <a:gdLst/>
          <a:ahLst/>
          <a:cxnLst/>
          <a:rect l="0" t="0" r="0" b="0"/>
          <a:pathLst>
            <a:path>
              <a:moveTo>
                <a:pt x="0" y="7259"/>
              </a:moveTo>
              <a:lnTo>
                <a:pt x="219777"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555531" y="777829"/>
        <a:ext cx="8321" cy="8321"/>
      </dsp:txXfrm>
    </dsp:sp>
    <dsp:sp modelId="{A8CAB3F2-A4A1-434C-9CB4-641DE8526482}">
      <dsp:nvSpPr>
        <dsp:cNvPr id="0" name=""/>
        <dsp:cNvSpPr/>
      </dsp:nvSpPr>
      <dsp:spPr>
        <a:xfrm>
          <a:off x="1537470" y="229480"/>
          <a:ext cx="1103509" cy="60608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20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Relaciones exteriores</a:t>
          </a:r>
        </a:p>
      </dsp:txBody>
      <dsp:txXfrm>
        <a:off x="1699075" y="318239"/>
        <a:ext cx="780299" cy="428565"/>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401442" y="1150099"/>
          <a:ext cx="1211092" cy="35998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 </a:t>
          </a:r>
        </a:p>
      </dsp:txBody>
      <dsp:txXfrm>
        <a:off x="2578802" y="1202818"/>
        <a:ext cx="856372" cy="254551"/>
      </dsp:txXfrm>
    </dsp:sp>
    <dsp:sp modelId="{E6ACA703-0949-41B3-BE6B-C702E5C7275F}">
      <dsp:nvSpPr>
        <dsp:cNvPr id="0" name=""/>
        <dsp:cNvSpPr/>
      </dsp:nvSpPr>
      <dsp:spPr>
        <a:xfrm rot="16175284">
          <a:off x="2618964" y="759752"/>
          <a:ext cx="767939" cy="12775"/>
        </a:xfrm>
        <a:custGeom>
          <a:avLst/>
          <a:gdLst/>
          <a:ahLst/>
          <a:cxnLst/>
          <a:rect l="0" t="0" r="0" b="0"/>
          <a:pathLst>
            <a:path>
              <a:moveTo>
                <a:pt x="0" y="6387"/>
              </a:moveTo>
              <a:lnTo>
                <a:pt x="768373"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83736" y="746941"/>
        <a:ext cx="38396" cy="38396"/>
      </dsp:txXfrm>
    </dsp:sp>
    <dsp:sp modelId="{AFD0CC05-9AD4-4A51-8739-4FB4CA1E4ACE}">
      <dsp:nvSpPr>
        <dsp:cNvPr id="0" name=""/>
        <dsp:cNvSpPr/>
      </dsp:nvSpPr>
      <dsp:spPr>
        <a:xfrm>
          <a:off x="2465836" y="-15518"/>
          <a:ext cx="1065816" cy="39769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Der. patentes</a:t>
          </a:r>
        </a:p>
      </dsp:txBody>
      <dsp:txXfrm>
        <a:off x="2621921" y="42724"/>
        <a:ext cx="753646" cy="281215"/>
      </dsp:txXfrm>
    </dsp:sp>
    <dsp:sp modelId="{34515D96-C834-4D67-AF5C-3B293601CBC3}">
      <dsp:nvSpPr>
        <dsp:cNvPr id="0" name=""/>
        <dsp:cNvSpPr/>
      </dsp:nvSpPr>
      <dsp:spPr>
        <a:xfrm rot="18664139">
          <a:off x="3001746" y="804230"/>
          <a:ext cx="915832" cy="12775"/>
        </a:xfrm>
        <a:custGeom>
          <a:avLst/>
          <a:gdLst/>
          <a:ahLst/>
          <a:cxnLst/>
          <a:rect l="0" t="0" r="0" b="0"/>
          <a:pathLst>
            <a:path>
              <a:moveTo>
                <a:pt x="0" y="6387"/>
              </a:moveTo>
              <a:lnTo>
                <a:pt x="921958"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36766" y="787722"/>
        <a:ext cx="45791" cy="45791"/>
      </dsp:txXfrm>
    </dsp:sp>
    <dsp:sp modelId="{D9366F31-B7D7-4B43-830C-AD5E2193A794}">
      <dsp:nvSpPr>
        <dsp:cNvPr id="0" name=""/>
        <dsp:cNvSpPr/>
      </dsp:nvSpPr>
      <dsp:spPr>
        <a:xfrm>
          <a:off x="3422857" y="0"/>
          <a:ext cx="1066191" cy="48217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Marcas, dis. e indic. geo.</a:t>
          </a:r>
        </a:p>
      </dsp:txBody>
      <dsp:txXfrm>
        <a:off x="3578997" y="70613"/>
        <a:ext cx="753911" cy="340948"/>
      </dsp:txXfrm>
    </dsp:sp>
    <dsp:sp modelId="{3F0F15B6-4D5A-493B-B03E-AE8141DC3DCE}">
      <dsp:nvSpPr>
        <dsp:cNvPr id="0" name=""/>
        <dsp:cNvSpPr/>
      </dsp:nvSpPr>
      <dsp:spPr>
        <a:xfrm rot="19962579">
          <a:off x="3232197" y="850198"/>
          <a:ext cx="1385150" cy="12775"/>
        </a:xfrm>
        <a:custGeom>
          <a:avLst/>
          <a:gdLst/>
          <a:ahLst/>
          <a:cxnLst/>
          <a:rect l="0" t="0" r="0" b="0"/>
          <a:pathLst>
            <a:path>
              <a:moveTo>
                <a:pt x="0" y="6387"/>
              </a:moveTo>
              <a:lnTo>
                <a:pt x="1419030"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890144" y="821957"/>
        <a:ext cx="69257" cy="69257"/>
      </dsp:txXfrm>
    </dsp:sp>
    <dsp:sp modelId="{ECD2D13D-466C-468B-BD6C-1B646D8E5B8E}">
      <dsp:nvSpPr>
        <dsp:cNvPr id="0" name=""/>
        <dsp:cNvSpPr/>
      </dsp:nvSpPr>
      <dsp:spPr>
        <a:xfrm>
          <a:off x="4320359" y="154014"/>
          <a:ext cx="1102758" cy="42801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D.A.D.C.</a:t>
          </a:r>
        </a:p>
      </dsp:txBody>
      <dsp:txXfrm>
        <a:off x="4481854" y="216696"/>
        <a:ext cx="779768" cy="302653"/>
      </dsp:txXfrm>
    </dsp:sp>
    <dsp:sp modelId="{5CF8296B-0142-429D-A71A-20799D2EB74B}">
      <dsp:nvSpPr>
        <dsp:cNvPr id="0" name=""/>
        <dsp:cNvSpPr/>
      </dsp:nvSpPr>
      <dsp:spPr>
        <a:xfrm rot="20836922">
          <a:off x="3473601" y="1074255"/>
          <a:ext cx="1277343" cy="12775"/>
        </a:xfrm>
        <a:custGeom>
          <a:avLst/>
          <a:gdLst/>
          <a:ahLst/>
          <a:cxnLst/>
          <a:rect l="0" t="0" r="0" b="0"/>
          <a:pathLst>
            <a:path>
              <a:moveTo>
                <a:pt x="0" y="6387"/>
              </a:moveTo>
              <a:lnTo>
                <a:pt x="1299059"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080340" y="1048709"/>
        <a:ext cx="63867" cy="63867"/>
      </dsp:txXfrm>
    </dsp:sp>
    <dsp:sp modelId="{7E7DDE23-6C04-407D-AAB6-669511EA704E}">
      <dsp:nvSpPr>
        <dsp:cNvPr id="0" name=""/>
        <dsp:cNvSpPr/>
      </dsp:nvSpPr>
      <dsp:spPr>
        <a:xfrm>
          <a:off x="4646594" y="597634"/>
          <a:ext cx="1215570" cy="45049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4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CC.TT., ECT y RR.GG.</a:t>
          </a:r>
        </a:p>
      </dsp:txBody>
      <dsp:txXfrm>
        <a:off x="4824610" y="663607"/>
        <a:ext cx="859538" cy="318548"/>
      </dsp:txXfrm>
    </dsp:sp>
    <dsp:sp modelId="{DC281168-2DBC-4CFB-B21D-C54E9628B383}">
      <dsp:nvSpPr>
        <dsp:cNvPr id="0" name=""/>
        <dsp:cNvSpPr/>
      </dsp:nvSpPr>
      <dsp:spPr>
        <a:xfrm rot="78616">
          <a:off x="3610594" y="1351233"/>
          <a:ext cx="1199815" cy="12775"/>
        </a:xfrm>
        <a:custGeom>
          <a:avLst/>
          <a:gdLst/>
          <a:ahLst/>
          <a:cxnLst/>
          <a:rect l="0" t="0" r="0" b="0"/>
          <a:pathLst>
            <a:path>
              <a:moveTo>
                <a:pt x="0" y="6387"/>
              </a:moveTo>
              <a:lnTo>
                <a:pt x="1312010"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180506" y="1327626"/>
        <a:ext cx="59990" cy="59990"/>
      </dsp:txXfrm>
    </dsp:sp>
    <dsp:sp modelId="{66DADE40-99AE-41BE-B997-129EED231064}">
      <dsp:nvSpPr>
        <dsp:cNvPr id="0" name=""/>
        <dsp:cNvSpPr/>
      </dsp:nvSpPr>
      <dsp:spPr>
        <a:xfrm>
          <a:off x="4809346" y="1185472"/>
          <a:ext cx="1027617" cy="39519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PCT</a:t>
          </a:r>
        </a:p>
      </dsp:txBody>
      <dsp:txXfrm>
        <a:off x="4959837" y="1243347"/>
        <a:ext cx="726635" cy="279445"/>
      </dsp:txXfrm>
    </dsp:sp>
    <dsp:sp modelId="{4DF1B0BE-A63A-4BEA-9EE5-4168481CC99E}">
      <dsp:nvSpPr>
        <dsp:cNvPr id="0" name=""/>
        <dsp:cNvSpPr/>
      </dsp:nvSpPr>
      <dsp:spPr>
        <a:xfrm rot="960427">
          <a:off x="3421162" y="1601908"/>
          <a:ext cx="1111153" cy="12775"/>
        </a:xfrm>
        <a:custGeom>
          <a:avLst/>
          <a:gdLst/>
          <a:ahLst/>
          <a:cxnLst/>
          <a:rect l="0" t="0" r="0" b="0"/>
          <a:pathLst>
            <a:path>
              <a:moveTo>
                <a:pt x="0" y="6387"/>
              </a:moveTo>
              <a:lnTo>
                <a:pt x="1192460"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48960" y="1580517"/>
        <a:ext cx="55557" cy="55557"/>
      </dsp:txXfrm>
    </dsp:sp>
    <dsp:sp modelId="{DB594876-4070-4577-942D-67F5CD4D6A19}">
      <dsp:nvSpPr>
        <dsp:cNvPr id="0" name=""/>
        <dsp:cNvSpPr/>
      </dsp:nvSpPr>
      <dsp:spPr>
        <a:xfrm>
          <a:off x="4306607" y="1685776"/>
          <a:ext cx="1530354" cy="47333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Sistema de Madrid </a:t>
          </a:r>
        </a:p>
      </dsp:txBody>
      <dsp:txXfrm>
        <a:off x="4530722" y="1755094"/>
        <a:ext cx="1082124" cy="334697"/>
      </dsp:txXfrm>
    </dsp:sp>
    <dsp:sp modelId="{E49C447F-3477-4311-B10B-FFFA7DE7209F}">
      <dsp:nvSpPr>
        <dsp:cNvPr id="0" name=""/>
        <dsp:cNvSpPr/>
      </dsp:nvSpPr>
      <dsp:spPr>
        <a:xfrm rot="2375020">
          <a:off x="3113403" y="1766669"/>
          <a:ext cx="858693" cy="12775"/>
        </a:xfrm>
        <a:custGeom>
          <a:avLst/>
          <a:gdLst/>
          <a:ahLst/>
          <a:cxnLst/>
          <a:rect l="0" t="0" r="0" b="0"/>
          <a:pathLst>
            <a:path>
              <a:moveTo>
                <a:pt x="0" y="6387"/>
              </a:moveTo>
              <a:lnTo>
                <a:pt x="873734"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21283" y="1751589"/>
        <a:ext cx="42934" cy="42934"/>
      </dsp:txXfrm>
    </dsp:sp>
    <dsp:sp modelId="{69F18085-0AC3-4BAE-9B16-F8478FFBD61E}">
      <dsp:nvSpPr>
        <dsp:cNvPr id="0" name=""/>
        <dsp:cNvSpPr/>
      </dsp:nvSpPr>
      <dsp:spPr>
        <a:xfrm>
          <a:off x="3530276" y="2022646"/>
          <a:ext cx="1213791" cy="48374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 </a:t>
          </a:r>
        </a:p>
      </dsp:txBody>
      <dsp:txXfrm>
        <a:off x="3708032" y="2093489"/>
        <a:ext cx="858279" cy="342061"/>
      </dsp:txXfrm>
    </dsp:sp>
    <dsp:sp modelId="{FCC14444-D5E7-4E9C-B980-A27CD799E442}">
      <dsp:nvSpPr>
        <dsp:cNvPr id="0" name=""/>
        <dsp:cNvSpPr/>
      </dsp:nvSpPr>
      <dsp:spPr>
        <a:xfrm rot="5477262">
          <a:off x="2715883" y="1784377"/>
          <a:ext cx="561501" cy="12775"/>
        </a:xfrm>
        <a:custGeom>
          <a:avLst/>
          <a:gdLst/>
          <a:ahLst/>
          <a:cxnLst/>
          <a:rect l="0" t="0" r="0" b="0"/>
          <a:pathLst>
            <a:path>
              <a:moveTo>
                <a:pt x="0" y="6387"/>
              </a:moveTo>
              <a:lnTo>
                <a:pt x="561823"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82596" y="1776727"/>
        <a:ext cx="28075" cy="28075"/>
      </dsp:txXfrm>
    </dsp:sp>
    <dsp:sp modelId="{49C45DFA-0A15-4DAA-80DC-CAE4ABCC6B43}">
      <dsp:nvSpPr>
        <dsp:cNvPr id="0" name=""/>
        <dsp:cNvSpPr/>
      </dsp:nvSpPr>
      <dsp:spPr>
        <a:xfrm>
          <a:off x="2445832" y="2071426"/>
          <a:ext cx="1076537" cy="55381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14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Acceso info. y conocimientos </a:t>
          </a:r>
        </a:p>
      </dsp:txBody>
      <dsp:txXfrm>
        <a:off x="2603487" y="2152530"/>
        <a:ext cx="761227" cy="391608"/>
      </dsp:txXfrm>
    </dsp:sp>
    <dsp:sp modelId="{7B59CB2C-C82F-41EE-B3CF-ADD4878ADBA6}">
      <dsp:nvSpPr>
        <dsp:cNvPr id="0" name=""/>
        <dsp:cNvSpPr/>
      </dsp:nvSpPr>
      <dsp:spPr>
        <a:xfrm rot="8447303">
          <a:off x="1996627" y="1778885"/>
          <a:ext cx="904976" cy="12775"/>
        </a:xfrm>
        <a:custGeom>
          <a:avLst/>
          <a:gdLst/>
          <a:ahLst/>
          <a:cxnLst/>
          <a:rect l="0" t="0" r="0" b="0"/>
          <a:pathLst>
            <a:path>
              <a:moveTo>
                <a:pt x="0" y="6387"/>
              </a:moveTo>
              <a:lnTo>
                <a:pt x="907703"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26491" y="1762648"/>
        <a:ext cx="45248" cy="45248"/>
      </dsp:txXfrm>
    </dsp:sp>
    <dsp:sp modelId="{402B25BB-F397-46B5-AAB7-C38C2276BF82}">
      <dsp:nvSpPr>
        <dsp:cNvPr id="0" name=""/>
        <dsp:cNvSpPr/>
      </dsp:nvSpPr>
      <dsp:spPr>
        <a:xfrm>
          <a:off x="1222193" y="2031555"/>
          <a:ext cx="1159077" cy="56385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15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Soluciones operativas OPI </a:t>
          </a:r>
        </a:p>
      </dsp:txBody>
      <dsp:txXfrm>
        <a:off x="1391936" y="2114130"/>
        <a:ext cx="819591" cy="398709"/>
      </dsp:txXfrm>
    </dsp:sp>
    <dsp:sp modelId="{EFB9CB5A-411C-454B-96B1-9ED988829CBE}">
      <dsp:nvSpPr>
        <dsp:cNvPr id="0" name=""/>
        <dsp:cNvSpPr/>
      </dsp:nvSpPr>
      <dsp:spPr>
        <a:xfrm rot="9979233">
          <a:off x="1636455" y="1545933"/>
          <a:ext cx="914993" cy="12775"/>
        </a:xfrm>
        <a:custGeom>
          <a:avLst/>
          <a:gdLst/>
          <a:ahLst/>
          <a:cxnLst/>
          <a:rect l="0" t="0" r="0" b="0"/>
          <a:pathLst>
            <a:path>
              <a:moveTo>
                <a:pt x="0" y="6387"/>
              </a:moveTo>
              <a:lnTo>
                <a:pt x="934908"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71077" y="1529446"/>
        <a:ext cx="45749" cy="45749"/>
      </dsp:txXfrm>
    </dsp:sp>
    <dsp:sp modelId="{5AF8D9AC-0C15-4D1B-BCD3-7FFCFF0A581D}">
      <dsp:nvSpPr>
        <dsp:cNvPr id="0" name=""/>
        <dsp:cNvSpPr/>
      </dsp:nvSpPr>
      <dsp:spPr>
        <a:xfrm>
          <a:off x="289413" y="1549500"/>
          <a:ext cx="1494997" cy="52019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17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Fomentar respeto por la P.I.</a:t>
          </a:r>
        </a:p>
      </dsp:txBody>
      <dsp:txXfrm>
        <a:off x="508350" y="1625681"/>
        <a:ext cx="1057123" cy="367834"/>
      </dsp:txXfrm>
    </dsp:sp>
    <dsp:sp modelId="{701CC827-3AE5-4421-983B-6398C783C82F}">
      <dsp:nvSpPr>
        <dsp:cNvPr id="0" name=""/>
        <dsp:cNvSpPr/>
      </dsp:nvSpPr>
      <dsp:spPr>
        <a:xfrm rot="10895414">
          <a:off x="1524291" y="1294758"/>
          <a:ext cx="879944" cy="12775"/>
        </a:xfrm>
        <a:custGeom>
          <a:avLst/>
          <a:gdLst/>
          <a:ahLst/>
          <a:cxnLst/>
          <a:rect l="0" t="0" r="0" b="0"/>
          <a:pathLst>
            <a:path>
              <a:moveTo>
                <a:pt x="0" y="6736"/>
              </a:moveTo>
              <a:lnTo>
                <a:pt x="1187912"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42265" y="1279147"/>
        <a:ext cx="43997" cy="43997"/>
      </dsp:txXfrm>
    </dsp:sp>
    <dsp:sp modelId="{A86195D8-E78B-4F8B-B1C4-EFBBA8999B88}">
      <dsp:nvSpPr>
        <dsp:cNvPr id="0" name=""/>
        <dsp:cNvSpPr/>
      </dsp:nvSpPr>
      <dsp:spPr>
        <a:xfrm>
          <a:off x="179399" y="1024742"/>
          <a:ext cx="1347005" cy="49110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20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Relaciones exteriores</a:t>
          </a:r>
        </a:p>
      </dsp:txBody>
      <dsp:txXfrm>
        <a:off x="376663" y="1096662"/>
        <a:ext cx="952477" cy="347260"/>
      </dsp:txXfrm>
    </dsp:sp>
    <dsp:sp modelId="{48D8EFE9-A375-4136-B36E-91EB3A5F0349}">
      <dsp:nvSpPr>
        <dsp:cNvPr id="0" name=""/>
        <dsp:cNvSpPr/>
      </dsp:nvSpPr>
      <dsp:spPr>
        <a:xfrm rot="11889421">
          <a:off x="1508463" y="1015872"/>
          <a:ext cx="1119739" cy="12775"/>
        </a:xfrm>
        <a:custGeom>
          <a:avLst/>
          <a:gdLst/>
          <a:ahLst/>
          <a:cxnLst/>
          <a:rect l="0" t="0" r="0" b="0"/>
          <a:pathLst>
            <a:path>
              <a:moveTo>
                <a:pt x="0" y="6387"/>
              </a:moveTo>
              <a:lnTo>
                <a:pt x="1133536"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40340" y="994266"/>
        <a:ext cx="55986" cy="55986"/>
      </dsp:txXfrm>
    </dsp:sp>
    <dsp:sp modelId="{2CC81EFE-1B09-4239-A772-C0141AEBEE08}">
      <dsp:nvSpPr>
        <dsp:cNvPr id="0" name=""/>
        <dsp:cNvSpPr/>
      </dsp:nvSpPr>
      <dsp:spPr>
        <a:xfrm>
          <a:off x="281337" y="401449"/>
          <a:ext cx="1430953" cy="53880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Programa 30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Pymes y cap. empresarial</a:t>
          </a:r>
        </a:p>
      </dsp:txBody>
      <dsp:txXfrm>
        <a:off x="490895" y="480355"/>
        <a:ext cx="1011837" cy="380994"/>
      </dsp:txXfrm>
    </dsp:sp>
    <dsp:sp modelId="{78727A99-0CB1-4013-8BE2-594D8BE4FB83}">
      <dsp:nvSpPr>
        <dsp:cNvPr id="0" name=""/>
        <dsp:cNvSpPr/>
      </dsp:nvSpPr>
      <dsp:spPr>
        <a:xfrm rot="13513101">
          <a:off x="2032550" y="816613"/>
          <a:ext cx="942391" cy="12775"/>
        </a:xfrm>
        <a:custGeom>
          <a:avLst/>
          <a:gdLst/>
          <a:ahLst/>
          <a:cxnLst/>
          <a:rect l="0" t="0" r="0" b="0"/>
          <a:pathLst>
            <a:path>
              <a:moveTo>
                <a:pt x="0" y="6387"/>
              </a:moveTo>
              <a:lnTo>
                <a:pt x="943188"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80186" y="799441"/>
        <a:ext cx="47119" cy="47119"/>
      </dsp:txXfrm>
    </dsp:sp>
    <dsp:sp modelId="{098A803A-AAEA-485A-AF14-F5A0A7B3607E}">
      <dsp:nvSpPr>
        <dsp:cNvPr id="0" name=""/>
        <dsp:cNvSpPr/>
      </dsp:nvSpPr>
      <dsp:spPr>
        <a:xfrm>
          <a:off x="1440494" y="86202"/>
          <a:ext cx="1077073" cy="41613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32</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Lisboa </a:t>
          </a:r>
        </a:p>
      </dsp:txBody>
      <dsp:txXfrm>
        <a:off x="1598228" y="147144"/>
        <a:ext cx="761605" cy="29425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349722" y="1149866"/>
          <a:ext cx="1314545" cy="35998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 </a:t>
          </a:r>
        </a:p>
      </dsp:txBody>
      <dsp:txXfrm>
        <a:off x="2542233" y="1202585"/>
        <a:ext cx="929523" cy="254551"/>
      </dsp:txXfrm>
    </dsp:sp>
    <dsp:sp modelId="{E6ACA703-0949-41B3-BE6B-C702E5C7275F}">
      <dsp:nvSpPr>
        <dsp:cNvPr id="0" name=""/>
        <dsp:cNvSpPr/>
      </dsp:nvSpPr>
      <dsp:spPr>
        <a:xfrm rot="16175284">
          <a:off x="2619068" y="759617"/>
          <a:ext cx="767744" cy="12775"/>
        </a:xfrm>
        <a:custGeom>
          <a:avLst/>
          <a:gdLst/>
          <a:ahLst/>
          <a:cxnLst/>
          <a:rect l="0" t="0" r="0" b="0"/>
          <a:pathLst>
            <a:path>
              <a:moveTo>
                <a:pt x="0" y="6387"/>
              </a:moveTo>
              <a:lnTo>
                <a:pt x="768373"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83747" y="746811"/>
        <a:ext cx="38387" cy="38387"/>
      </dsp:txXfrm>
    </dsp:sp>
    <dsp:sp modelId="{AFD0CC05-9AD4-4A51-8739-4FB4CA1E4ACE}">
      <dsp:nvSpPr>
        <dsp:cNvPr id="0" name=""/>
        <dsp:cNvSpPr/>
      </dsp:nvSpPr>
      <dsp:spPr>
        <a:xfrm>
          <a:off x="2465843" y="-15556"/>
          <a:ext cx="1065816" cy="39769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Der. patentes</a:t>
          </a:r>
        </a:p>
      </dsp:txBody>
      <dsp:txXfrm>
        <a:off x="2621928" y="42686"/>
        <a:ext cx="753646" cy="281215"/>
      </dsp:txXfrm>
    </dsp:sp>
    <dsp:sp modelId="{34515D96-C834-4D67-AF5C-3B293601CBC3}">
      <dsp:nvSpPr>
        <dsp:cNvPr id="0" name=""/>
        <dsp:cNvSpPr/>
      </dsp:nvSpPr>
      <dsp:spPr>
        <a:xfrm rot="18664213">
          <a:off x="3002732" y="803696"/>
          <a:ext cx="914437" cy="12775"/>
        </a:xfrm>
        <a:custGeom>
          <a:avLst/>
          <a:gdLst/>
          <a:ahLst/>
          <a:cxnLst/>
          <a:rect l="0" t="0" r="0" b="0"/>
          <a:pathLst>
            <a:path>
              <a:moveTo>
                <a:pt x="0" y="6387"/>
              </a:moveTo>
              <a:lnTo>
                <a:pt x="921958"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37089" y="787223"/>
        <a:ext cx="45721" cy="45721"/>
      </dsp:txXfrm>
    </dsp:sp>
    <dsp:sp modelId="{D9366F31-B7D7-4B43-830C-AD5E2193A794}">
      <dsp:nvSpPr>
        <dsp:cNvPr id="0" name=""/>
        <dsp:cNvSpPr/>
      </dsp:nvSpPr>
      <dsp:spPr>
        <a:xfrm>
          <a:off x="3422701" y="0"/>
          <a:ext cx="1066191" cy="48217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Marcas, dis. e indic. geo.</a:t>
          </a:r>
        </a:p>
      </dsp:txBody>
      <dsp:txXfrm>
        <a:off x="3578841" y="70613"/>
        <a:ext cx="753911" cy="340948"/>
      </dsp:txXfrm>
    </dsp:sp>
    <dsp:sp modelId="{3F0F15B6-4D5A-493B-B03E-AE8141DC3DCE}">
      <dsp:nvSpPr>
        <dsp:cNvPr id="0" name=""/>
        <dsp:cNvSpPr/>
      </dsp:nvSpPr>
      <dsp:spPr>
        <a:xfrm rot="19962579">
          <a:off x="3238451" y="848536"/>
          <a:ext cx="1378198" cy="12775"/>
        </a:xfrm>
        <a:custGeom>
          <a:avLst/>
          <a:gdLst/>
          <a:ahLst/>
          <a:cxnLst/>
          <a:rect l="0" t="0" r="0" b="0"/>
          <a:pathLst>
            <a:path>
              <a:moveTo>
                <a:pt x="0" y="6387"/>
              </a:moveTo>
              <a:lnTo>
                <a:pt x="1419030"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893096" y="820468"/>
        <a:ext cx="68909" cy="68909"/>
      </dsp:txXfrm>
    </dsp:sp>
    <dsp:sp modelId="{ECD2D13D-466C-468B-BD6C-1B646D8E5B8E}">
      <dsp:nvSpPr>
        <dsp:cNvPr id="0" name=""/>
        <dsp:cNvSpPr/>
      </dsp:nvSpPr>
      <dsp:spPr>
        <a:xfrm>
          <a:off x="4320048" y="153945"/>
          <a:ext cx="1102758" cy="42801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D.A.D.C.</a:t>
          </a:r>
        </a:p>
      </dsp:txBody>
      <dsp:txXfrm>
        <a:off x="4481543" y="216627"/>
        <a:ext cx="779768" cy="302653"/>
      </dsp:txXfrm>
    </dsp:sp>
    <dsp:sp modelId="{5CF8296B-0142-429D-A71A-20799D2EB74B}">
      <dsp:nvSpPr>
        <dsp:cNvPr id="0" name=""/>
        <dsp:cNvSpPr/>
      </dsp:nvSpPr>
      <dsp:spPr>
        <a:xfrm rot="20836922">
          <a:off x="3498862" y="1071252"/>
          <a:ext cx="1251388" cy="12775"/>
        </a:xfrm>
        <a:custGeom>
          <a:avLst/>
          <a:gdLst/>
          <a:ahLst/>
          <a:cxnLst/>
          <a:rect l="0" t="0" r="0" b="0"/>
          <a:pathLst>
            <a:path>
              <a:moveTo>
                <a:pt x="0" y="6387"/>
              </a:moveTo>
              <a:lnTo>
                <a:pt x="1299059"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093272" y="1046355"/>
        <a:ext cx="62569" cy="62569"/>
      </dsp:txXfrm>
    </dsp:sp>
    <dsp:sp modelId="{7E7DDE23-6C04-407D-AAB6-669511EA704E}">
      <dsp:nvSpPr>
        <dsp:cNvPr id="0" name=""/>
        <dsp:cNvSpPr/>
      </dsp:nvSpPr>
      <dsp:spPr>
        <a:xfrm>
          <a:off x="4646219" y="597488"/>
          <a:ext cx="1215570" cy="45049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4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CC.TT., ECT y RR.GG.</a:t>
          </a:r>
        </a:p>
      </dsp:txBody>
      <dsp:txXfrm>
        <a:off x="4824235" y="663461"/>
        <a:ext cx="859538" cy="318548"/>
      </dsp:txXfrm>
    </dsp:sp>
    <dsp:sp modelId="{DC281168-2DBC-4CFB-B21D-C54E9628B383}">
      <dsp:nvSpPr>
        <dsp:cNvPr id="0" name=""/>
        <dsp:cNvSpPr/>
      </dsp:nvSpPr>
      <dsp:spPr>
        <a:xfrm rot="78616">
          <a:off x="3661836" y="1351582"/>
          <a:ext cx="1148178" cy="12775"/>
        </a:xfrm>
        <a:custGeom>
          <a:avLst/>
          <a:gdLst/>
          <a:ahLst/>
          <a:cxnLst/>
          <a:rect l="0" t="0" r="0" b="0"/>
          <a:pathLst>
            <a:path>
              <a:moveTo>
                <a:pt x="0" y="6387"/>
              </a:moveTo>
              <a:lnTo>
                <a:pt x="1312010"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207221" y="1329266"/>
        <a:ext cx="57408" cy="57408"/>
      </dsp:txXfrm>
    </dsp:sp>
    <dsp:sp modelId="{66DADE40-99AE-41BE-B997-129EED231064}">
      <dsp:nvSpPr>
        <dsp:cNvPr id="0" name=""/>
        <dsp:cNvSpPr/>
      </dsp:nvSpPr>
      <dsp:spPr>
        <a:xfrm>
          <a:off x="4808958" y="1185231"/>
          <a:ext cx="1027617" cy="39519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PCT</a:t>
          </a:r>
        </a:p>
      </dsp:txBody>
      <dsp:txXfrm>
        <a:off x="4959449" y="1243106"/>
        <a:ext cx="726635" cy="279445"/>
      </dsp:txXfrm>
    </dsp:sp>
    <dsp:sp modelId="{4DF1B0BE-A63A-4BEA-9EE5-4168481CC99E}">
      <dsp:nvSpPr>
        <dsp:cNvPr id="0" name=""/>
        <dsp:cNvSpPr/>
      </dsp:nvSpPr>
      <dsp:spPr>
        <a:xfrm rot="960427">
          <a:off x="3439667" y="1604225"/>
          <a:ext cx="1091931" cy="12775"/>
        </a:xfrm>
        <a:custGeom>
          <a:avLst/>
          <a:gdLst/>
          <a:ahLst/>
          <a:cxnLst/>
          <a:rect l="0" t="0" r="0" b="0"/>
          <a:pathLst>
            <a:path>
              <a:moveTo>
                <a:pt x="0" y="6387"/>
              </a:moveTo>
              <a:lnTo>
                <a:pt x="1192460"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58334" y="1583315"/>
        <a:ext cx="54596" cy="54596"/>
      </dsp:txXfrm>
    </dsp:sp>
    <dsp:sp modelId="{DB594876-4070-4577-942D-67F5CD4D6A19}">
      <dsp:nvSpPr>
        <dsp:cNvPr id="0" name=""/>
        <dsp:cNvSpPr/>
      </dsp:nvSpPr>
      <dsp:spPr>
        <a:xfrm>
          <a:off x="4306263" y="1685443"/>
          <a:ext cx="1530354" cy="47333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Sistema de Madrid </a:t>
          </a:r>
        </a:p>
      </dsp:txBody>
      <dsp:txXfrm>
        <a:off x="4530378" y="1754761"/>
        <a:ext cx="1082124" cy="334697"/>
      </dsp:txXfrm>
    </dsp:sp>
    <dsp:sp modelId="{E49C447F-3477-4311-B10B-FFFA7DE7209F}">
      <dsp:nvSpPr>
        <dsp:cNvPr id="0" name=""/>
        <dsp:cNvSpPr/>
      </dsp:nvSpPr>
      <dsp:spPr>
        <a:xfrm rot="2375020">
          <a:off x="3115501" y="1767100"/>
          <a:ext cx="856114" cy="12775"/>
        </a:xfrm>
        <a:custGeom>
          <a:avLst/>
          <a:gdLst/>
          <a:ahLst/>
          <a:cxnLst/>
          <a:rect l="0" t="0" r="0" b="0"/>
          <a:pathLst>
            <a:path>
              <a:moveTo>
                <a:pt x="0" y="6387"/>
              </a:moveTo>
              <a:lnTo>
                <a:pt x="873734"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22155" y="1752085"/>
        <a:ext cx="42805" cy="42805"/>
      </dsp:txXfrm>
    </dsp:sp>
    <dsp:sp modelId="{69F18085-0AC3-4BAE-9B16-F8478FFBD61E}">
      <dsp:nvSpPr>
        <dsp:cNvPr id="0" name=""/>
        <dsp:cNvSpPr/>
      </dsp:nvSpPr>
      <dsp:spPr>
        <a:xfrm>
          <a:off x="3530090" y="2022255"/>
          <a:ext cx="1213791" cy="48374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 </a:t>
          </a:r>
        </a:p>
      </dsp:txBody>
      <dsp:txXfrm>
        <a:off x="3707846" y="2093098"/>
        <a:ext cx="858279" cy="342061"/>
      </dsp:txXfrm>
    </dsp:sp>
    <dsp:sp modelId="{FCC14444-D5E7-4E9C-B980-A27CD799E442}">
      <dsp:nvSpPr>
        <dsp:cNvPr id="0" name=""/>
        <dsp:cNvSpPr/>
      </dsp:nvSpPr>
      <dsp:spPr>
        <a:xfrm rot="5477262">
          <a:off x="2715977" y="1784059"/>
          <a:ext cx="561328" cy="12775"/>
        </a:xfrm>
        <a:custGeom>
          <a:avLst/>
          <a:gdLst/>
          <a:ahLst/>
          <a:cxnLst/>
          <a:rect l="0" t="0" r="0" b="0"/>
          <a:pathLst>
            <a:path>
              <a:moveTo>
                <a:pt x="0" y="6387"/>
              </a:moveTo>
              <a:lnTo>
                <a:pt x="561823"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82608" y="1776413"/>
        <a:ext cx="28066" cy="28066"/>
      </dsp:txXfrm>
    </dsp:sp>
    <dsp:sp modelId="{49C45DFA-0A15-4DAA-80DC-CAE4ABCC6B43}">
      <dsp:nvSpPr>
        <dsp:cNvPr id="0" name=""/>
        <dsp:cNvSpPr/>
      </dsp:nvSpPr>
      <dsp:spPr>
        <a:xfrm>
          <a:off x="2445841" y="2071021"/>
          <a:ext cx="1076537" cy="55381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14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Acceso info. y conocimientos </a:t>
          </a:r>
        </a:p>
      </dsp:txBody>
      <dsp:txXfrm>
        <a:off x="2603496" y="2152125"/>
        <a:ext cx="761227" cy="391608"/>
      </dsp:txXfrm>
    </dsp:sp>
    <dsp:sp modelId="{7B59CB2C-C82F-41EE-B3CF-ADD4878ADBA6}">
      <dsp:nvSpPr>
        <dsp:cNvPr id="0" name=""/>
        <dsp:cNvSpPr/>
      </dsp:nvSpPr>
      <dsp:spPr>
        <a:xfrm rot="8447303">
          <a:off x="1997138" y="1779328"/>
          <a:ext cx="902310" cy="12775"/>
        </a:xfrm>
        <a:custGeom>
          <a:avLst/>
          <a:gdLst/>
          <a:ahLst/>
          <a:cxnLst/>
          <a:rect l="0" t="0" r="0" b="0"/>
          <a:pathLst>
            <a:path>
              <a:moveTo>
                <a:pt x="0" y="6387"/>
              </a:moveTo>
              <a:lnTo>
                <a:pt x="907703"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25735" y="1763158"/>
        <a:ext cx="45115" cy="45115"/>
      </dsp:txXfrm>
    </dsp:sp>
    <dsp:sp modelId="{402B25BB-F397-46B5-AAB7-C38C2276BF82}">
      <dsp:nvSpPr>
        <dsp:cNvPr id="0" name=""/>
        <dsp:cNvSpPr/>
      </dsp:nvSpPr>
      <dsp:spPr>
        <a:xfrm>
          <a:off x="1222403" y="2031155"/>
          <a:ext cx="1159077" cy="56385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15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Soluciones operativas OPI </a:t>
          </a:r>
        </a:p>
      </dsp:txBody>
      <dsp:txXfrm>
        <a:off x="1392146" y="2113730"/>
        <a:ext cx="819591" cy="398709"/>
      </dsp:txXfrm>
    </dsp:sp>
    <dsp:sp modelId="{EFB9CB5A-411C-454B-96B1-9ED988829CBE}">
      <dsp:nvSpPr>
        <dsp:cNvPr id="0" name=""/>
        <dsp:cNvSpPr/>
      </dsp:nvSpPr>
      <dsp:spPr>
        <a:xfrm rot="9979233">
          <a:off x="1637132" y="1548430"/>
          <a:ext cx="891224" cy="12775"/>
        </a:xfrm>
        <a:custGeom>
          <a:avLst/>
          <a:gdLst/>
          <a:ahLst/>
          <a:cxnLst/>
          <a:rect l="0" t="0" r="0" b="0"/>
          <a:pathLst>
            <a:path>
              <a:moveTo>
                <a:pt x="0" y="6387"/>
              </a:moveTo>
              <a:lnTo>
                <a:pt x="934908"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60464" y="1532537"/>
        <a:ext cx="44561" cy="44561"/>
      </dsp:txXfrm>
    </dsp:sp>
    <dsp:sp modelId="{5AF8D9AC-0C15-4D1B-BCD3-7FFCFF0A581D}">
      <dsp:nvSpPr>
        <dsp:cNvPr id="0" name=""/>
        <dsp:cNvSpPr/>
      </dsp:nvSpPr>
      <dsp:spPr>
        <a:xfrm>
          <a:off x="289753" y="1549186"/>
          <a:ext cx="1494997" cy="52019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17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Fomentar respeto por la P.I.</a:t>
          </a:r>
        </a:p>
      </dsp:txBody>
      <dsp:txXfrm>
        <a:off x="508690" y="1625367"/>
        <a:ext cx="1057123" cy="367834"/>
      </dsp:txXfrm>
    </dsp:sp>
    <dsp:sp modelId="{701CC827-3AE5-4421-983B-6398C783C82F}">
      <dsp:nvSpPr>
        <dsp:cNvPr id="0" name=""/>
        <dsp:cNvSpPr/>
      </dsp:nvSpPr>
      <dsp:spPr>
        <a:xfrm rot="10895414">
          <a:off x="1524672" y="1293823"/>
          <a:ext cx="828561" cy="12775"/>
        </a:xfrm>
        <a:custGeom>
          <a:avLst/>
          <a:gdLst/>
          <a:ahLst/>
          <a:cxnLst/>
          <a:rect l="0" t="0" r="0" b="0"/>
          <a:pathLst>
            <a:path>
              <a:moveTo>
                <a:pt x="0" y="6736"/>
              </a:moveTo>
              <a:lnTo>
                <a:pt x="1187912"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18238" y="1279497"/>
        <a:ext cx="41428" cy="41428"/>
      </dsp:txXfrm>
    </dsp:sp>
    <dsp:sp modelId="{A86195D8-E78B-4F8B-B1C4-EFBBA8999B88}">
      <dsp:nvSpPr>
        <dsp:cNvPr id="0" name=""/>
        <dsp:cNvSpPr/>
      </dsp:nvSpPr>
      <dsp:spPr>
        <a:xfrm>
          <a:off x="179770" y="1024520"/>
          <a:ext cx="1347005" cy="49110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20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Relaciones exteriores</a:t>
          </a:r>
        </a:p>
      </dsp:txBody>
      <dsp:txXfrm>
        <a:off x="377034" y="1096440"/>
        <a:ext cx="952477" cy="347260"/>
      </dsp:txXfrm>
    </dsp:sp>
    <dsp:sp modelId="{48D8EFE9-A375-4136-B36E-91EB3A5F0349}">
      <dsp:nvSpPr>
        <dsp:cNvPr id="0" name=""/>
        <dsp:cNvSpPr/>
      </dsp:nvSpPr>
      <dsp:spPr>
        <a:xfrm rot="11889421">
          <a:off x="1509202" y="1013299"/>
          <a:ext cx="1103996" cy="12775"/>
        </a:xfrm>
        <a:custGeom>
          <a:avLst/>
          <a:gdLst/>
          <a:ahLst/>
          <a:cxnLst/>
          <a:rect l="0" t="0" r="0" b="0"/>
          <a:pathLst>
            <a:path>
              <a:moveTo>
                <a:pt x="0" y="6387"/>
              </a:moveTo>
              <a:lnTo>
                <a:pt x="1133536"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33601" y="992086"/>
        <a:ext cx="55199" cy="55199"/>
      </dsp:txXfrm>
    </dsp:sp>
    <dsp:sp modelId="{2CC81EFE-1B09-4239-A772-C0141AEBEE08}">
      <dsp:nvSpPr>
        <dsp:cNvPr id="0" name=""/>
        <dsp:cNvSpPr/>
      </dsp:nvSpPr>
      <dsp:spPr>
        <a:xfrm>
          <a:off x="281684" y="401329"/>
          <a:ext cx="1430953" cy="53880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Programa 30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Pymes y cap. empresarial</a:t>
          </a:r>
        </a:p>
      </dsp:txBody>
      <dsp:txXfrm>
        <a:off x="491242" y="480235"/>
        <a:ext cx="1011837" cy="380994"/>
      </dsp:txXfrm>
    </dsp:sp>
    <dsp:sp modelId="{78727A99-0CB1-4013-8BE2-594D8BE4FB83}">
      <dsp:nvSpPr>
        <dsp:cNvPr id="0" name=""/>
        <dsp:cNvSpPr/>
      </dsp:nvSpPr>
      <dsp:spPr>
        <a:xfrm rot="13513101">
          <a:off x="2032986" y="815941"/>
          <a:ext cx="940658" cy="12775"/>
        </a:xfrm>
        <a:custGeom>
          <a:avLst/>
          <a:gdLst/>
          <a:ahLst/>
          <a:cxnLst/>
          <a:rect l="0" t="0" r="0" b="0"/>
          <a:pathLst>
            <a:path>
              <a:moveTo>
                <a:pt x="0" y="6387"/>
              </a:moveTo>
              <a:lnTo>
                <a:pt x="943188"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79799" y="798812"/>
        <a:ext cx="47032" cy="47032"/>
      </dsp:txXfrm>
    </dsp:sp>
    <dsp:sp modelId="{098A803A-AAEA-485A-AF14-F5A0A7B3607E}">
      <dsp:nvSpPr>
        <dsp:cNvPr id="0" name=""/>
        <dsp:cNvSpPr/>
      </dsp:nvSpPr>
      <dsp:spPr>
        <a:xfrm>
          <a:off x="1440674" y="86145"/>
          <a:ext cx="1077073" cy="41613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32</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Lisboa </a:t>
          </a:r>
        </a:p>
      </dsp:txBody>
      <dsp:txXfrm>
        <a:off x="1598408" y="147087"/>
        <a:ext cx="761605" cy="294252"/>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166606" y="666821"/>
          <a:ext cx="1741969" cy="659930"/>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a:t>
          </a:r>
        </a:p>
      </dsp:txBody>
      <dsp:txXfrm>
        <a:off x="2421711" y="763466"/>
        <a:ext cx="1231759" cy="466640"/>
      </dsp:txXfrm>
    </dsp:sp>
    <dsp:sp modelId="{4344ACFB-6B44-4AAF-B1DB-49AB3ED02AF7}">
      <dsp:nvSpPr>
        <dsp:cNvPr id="0" name=""/>
        <dsp:cNvSpPr/>
      </dsp:nvSpPr>
      <dsp:spPr>
        <a:xfrm rot="16264180">
          <a:off x="2974966" y="588671"/>
          <a:ext cx="140186" cy="16154"/>
        </a:xfrm>
        <a:custGeom>
          <a:avLst/>
          <a:gdLst/>
          <a:ahLst/>
          <a:cxnLst/>
          <a:rect l="0" t="0" r="0" b="0"/>
          <a:pathLst>
            <a:path>
              <a:moveTo>
                <a:pt x="0" y="8077"/>
              </a:moveTo>
              <a:lnTo>
                <a:pt x="140186" y="807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041555" y="593244"/>
        <a:ext cx="7009" cy="7009"/>
      </dsp:txXfrm>
    </dsp:sp>
    <dsp:sp modelId="{19ACA16F-4F02-4741-A973-0858AA9E727D}">
      <dsp:nvSpPr>
        <dsp:cNvPr id="0" name=""/>
        <dsp:cNvSpPr/>
      </dsp:nvSpPr>
      <dsp:spPr>
        <a:xfrm>
          <a:off x="2063086" y="0"/>
          <a:ext cx="1976398" cy="52667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Derecho de autor y derechos conexos</a:t>
          </a:r>
        </a:p>
      </dsp:txBody>
      <dsp:txXfrm>
        <a:off x="2352523" y="77129"/>
        <a:ext cx="1397524" cy="372413"/>
      </dsp:txXfrm>
    </dsp:sp>
    <dsp:sp modelId="{5337AE63-3722-42CC-AF72-36670EB7C5E1}">
      <dsp:nvSpPr>
        <dsp:cNvPr id="0" name=""/>
        <dsp:cNvSpPr/>
      </dsp:nvSpPr>
      <dsp:spPr>
        <a:xfrm rot="21595165">
          <a:off x="3908569" y="987200"/>
          <a:ext cx="404498" cy="16154"/>
        </a:xfrm>
        <a:custGeom>
          <a:avLst/>
          <a:gdLst/>
          <a:ahLst/>
          <a:cxnLst/>
          <a:rect l="0" t="0" r="0" b="0"/>
          <a:pathLst>
            <a:path>
              <a:moveTo>
                <a:pt x="0" y="8077"/>
              </a:moveTo>
              <a:lnTo>
                <a:pt x="404498" y="807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100705" y="985165"/>
        <a:ext cx="20224" cy="20224"/>
      </dsp:txXfrm>
    </dsp:sp>
    <dsp:sp modelId="{CED9197C-8322-406B-917C-172FA36E7B76}">
      <dsp:nvSpPr>
        <dsp:cNvPr id="0" name=""/>
        <dsp:cNvSpPr/>
      </dsp:nvSpPr>
      <dsp:spPr>
        <a:xfrm>
          <a:off x="4313062" y="655604"/>
          <a:ext cx="1624600" cy="67649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a:t>
          </a: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 regionales en la sede</a:t>
          </a:r>
        </a:p>
      </dsp:txBody>
      <dsp:txXfrm>
        <a:off x="4550979" y="754674"/>
        <a:ext cx="1148766" cy="478353"/>
      </dsp:txXfrm>
    </dsp:sp>
    <dsp:sp modelId="{4AC11394-3179-4EC5-A97F-D1A1B521CE2F}">
      <dsp:nvSpPr>
        <dsp:cNvPr id="0" name=""/>
        <dsp:cNvSpPr/>
      </dsp:nvSpPr>
      <dsp:spPr>
        <a:xfrm rot="5406477">
          <a:off x="2963176" y="1392329"/>
          <a:ext cx="147307" cy="16154"/>
        </a:xfrm>
        <a:custGeom>
          <a:avLst/>
          <a:gdLst/>
          <a:ahLst/>
          <a:cxnLst/>
          <a:rect l="0" t="0" r="0" b="0"/>
          <a:pathLst>
            <a:path>
              <a:moveTo>
                <a:pt x="0" y="8077"/>
              </a:moveTo>
              <a:lnTo>
                <a:pt x="147307" y="807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3033147" y="1396723"/>
        <a:ext cx="7365" cy="7365"/>
      </dsp:txXfrm>
    </dsp:sp>
    <dsp:sp modelId="{035B4C9A-0916-4FCC-A1CF-85DB358A289A}">
      <dsp:nvSpPr>
        <dsp:cNvPr id="0" name=""/>
        <dsp:cNvSpPr/>
      </dsp:nvSpPr>
      <dsp:spPr>
        <a:xfrm>
          <a:off x="2254009" y="1474060"/>
          <a:ext cx="1564634" cy="38691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a:t>
          </a:r>
        </a:p>
      </dsp:txBody>
      <dsp:txXfrm>
        <a:off x="2483144" y="1530722"/>
        <a:ext cx="1106364" cy="273586"/>
      </dsp:txXfrm>
    </dsp:sp>
    <dsp:sp modelId="{ADF94B70-0D7F-4A27-8DF9-17BCD27F4A7A}">
      <dsp:nvSpPr>
        <dsp:cNvPr id="0" name=""/>
        <dsp:cNvSpPr/>
      </dsp:nvSpPr>
      <dsp:spPr>
        <a:xfrm rot="10791925">
          <a:off x="1648404" y="991364"/>
          <a:ext cx="518219" cy="16154"/>
        </a:xfrm>
        <a:custGeom>
          <a:avLst/>
          <a:gdLst/>
          <a:ahLst/>
          <a:cxnLst/>
          <a:rect l="0" t="0" r="0" b="0"/>
          <a:pathLst>
            <a:path>
              <a:moveTo>
                <a:pt x="0" y="8077"/>
              </a:moveTo>
              <a:lnTo>
                <a:pt x="518219" y="807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894558" y="986486"/>
        <a:ext cx="25910" cy="25910"/>
      </dsp:txXfrm>
    </dsp:sp>
    <dsp:sp modelId="{0FAF3FA1-8E6C-455E-B189-A468B3F4D8BC}">
      <dsp:nvSpPr>
        <dsp:cNvPr id="0" name=""/>
        <dsp:cNvSpPr/>
      </dsp:nvSpPr>
      <dsp:spPr>
        <a:xfrm>
          <a:off x="0" y="687000"/>
          <a:ext cx="1648420" cy="62997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8895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20 </a:t>
          </a:r>
        </a:p>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Relaciones exteriores</a:t>
          </a:r>
        </a:p>
        <a:p>
          <a:pPr lvl="0" algn="ctr" defTabSz="48895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41406" y="779257"/>
        <a:ext cx="1165608" cy="445457"/>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068005" y="732827"/>
          <a:ext cx="1356160" cy="556846"/>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30</a:t>
          </a:r>
        </a:p>
      </dsp:txBody>
      <dsp:txXfrm>
        <a:off x="2266610" y="814375"/>
        <a:ext cx="958950" cy="393750"/>
      </dsp:txXfrm>
    </dsp:sp>
    <dsp:sp modelId="{4AC11394-3179-4EC5-A97F-D1A1B521CE2F}">
      <dsp:nvSpPr>
        <dsp:cNvPr id="0" name=""/>
        <dsp:cNvSpPr/>
      </dsp:nvSpPr>
      <dsp:spPr>
        <a:xfrm rot="16193288">
          <a:off x="2663623" y="641934"/>
          <a:ext cx="163517" cy="18269"/>
        </a:xfrm>
        <a:custGeom>
          <a:avLst/>
          <a:gdLst/>
          <a:ahLst/>
          <a:cxnLst/>
          <a:rect l="0" t="0" r="0" b="0"/>
          <a:pathLst>
            <a:path>
              <a:moveTo>
                <a:pt x="0" y="9134"/>
              </a:moveTo>
              <a:lnTo>
                <a:pt x="163517" y="913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741294" y="646980"/>
        <a:ext cx="8175" cy="8175"/>
      </dsp:txXfrm>
    </dsp:sp>
    <dsp:sp modelId="{035B4C9A-0916-4FCC-A1CF-85DB358A289A}">
      <dsp:nvSpPr>
        <dsp:cNvPr id="0" name=""/>
        <dsp:cNvSpPr/>
      </dsp:nvSpPr>
      <dsp:spPr>
        <a:xfrm>
          <a:off x="1988334" y="-7521"/>
          <a:ext cx="1512650" cy="57683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sp:txBody>
      <dsp:txXfrm>
        <a:off x="2209856" y="76954"/>
        <a:ext cx="1069606" cy="407881"/>
      </dsp:txXfrm>
    </dsp:sp>
    <dsp:sp modelId="{64248C57-3CE0-4657-BC67-6279BA0257B1}">
      <dsp:nvSpPr>
        <dsp:cNvPr id="0" name=""/>
        <dsp:cNvSpPr/>
      </dsp:nvSpPr>
      <dsp:spPr>
        <a:xfrm rot="2869">
          <a:off x="3424164" y="1002875"/>
          <a:ext cx="463565" cy="18269"/>
        </a:xfrm>
        <a:custGeom>
          <a:avLst/>
          <a:gdLst/>
          <a:ahLst/>
          <a:cxnLst/>
          <a:rect l="0" t="0" r="0" b="0"/>
          <a:pathLst>
            <a:path>
              <a:moveTo>
                <a:pt x="0" y="9134"/>
              </a:moveTo>
              <a:lnTo>
                <a:pt x="463565" y="913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644357" y="1000420"/>
        <a:ext cx="23178" cy="23178"/>
      </dsp:txXfrm>
    </dsp:sp>
    <dsp:sp modelId="{976BA53C-17D4-4F7C-9078-1272C469C9E5}">
      <dsp:nvSpPr>
        <dsp:cNvPr id="0" name=""/>
        <dsp:cNvSpPr/>
      </dsp:nvSpPr>
      <dsp:spPr>
        <a:xfrm>
          <a:off x="3887727" y="722494"/>
          <a:ext cx="1423332" cy="58060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pPr lvl="0" algn="ctr" defTabSz="444500">
            <a:lnSpc>
              <a:spcPct val="90000"/>
            </a:lnSpc>
            <a:spcBef>
              <a:spcPct val="0"/>
            </a:spcBef>
            <a:spcAft>
              <a:spcPct val="35000"/>
            </a:spcAft>
          </a:pPr>
          <a:r>
            <a:rPr lang="es-ES_tradnl" sz="900" kern="1200">
              <a:latin typeface="Arial" panose="020B0604020202020204" pitchFamily="34" charset="0"/>
              <a:cs typeface="Arial" panose="020B0604020202020204" pitchFamily="34" charset="0"/>
            </a:rPr>
            <a:t>Países T/D</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096169" y="807522"/>
        <a:ext cx="1006448" cy="410550"/>
      </dsp:txXfrm>
    </dsp:sp>
    <dsp:sp modelId="{ADF94B70-0D7F-4A27-8DF9-17BCD27F4A7A}">
      <dsp:nvSpPr>
        <dsp:cNvPr id="0" name=""/>
        <dsp:cNvSpPr/>
      </dsp:nvSpPr>
      <dsp:spPr>
        <a:xfrm rot="10791658">
          <a:off x="1610158" y="1004316"/>
          <a:ext cx="457860" cy="18269"/>
        </a:xfrm>
        <a:custGeom>
          <a:avLst/>
          <a:gdLst/>
          <a:ahLst/>
          <a:cxnLst/>
          <a:rect l="0" t="0" r="0" b="0"/>
          <a:pathLst>
            <a:path>
              <a:moveTo>
                <a:pt x="0" y="9134"/>
              </a:moveTo>
              <a:lnTo>
                <a:pt x="457860" y="913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827641" y="1002004"/>
        <a:ext cx="22893" cy="22893"/>
      </dsp:txXfrm>
    </dsp:sp>
    <dsp:sp modelId="{0FAF3FA1-8E6C-455E-B189-A468B3F4D8BC}">
      <dsp:nvSpPr>
        <dsp:cNvPr id="0" name=""/>
        <dsp:cNvSpPr/>
      </dsp:nvSpPr>
      <dsp:spPr>
        <a:xfrm>
          <a:off x="175295" y="718912"/>
          <a:ext cx="1434875" cy="59367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8895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a:t>
          </a:r>
        </a:p>
        <a:p>
          <a:pPr lvl="0" algn="ctr" defTabSz="4889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a:t>
          </a:r>
        </a:p>
        <a:p>
          <a:pPr lvl="0" algn="ctr" defTabSz="48895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85428" y="805853"/>
        <a:ext cx="1014609" cy="419788"/>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1984304" y="691030"/>
          <a:ext cx="1477301" cy="434321"/>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12</a:t>
          </a:r>
        </a:p>
      </dsp:txBody>
      <dsp:txXfrm>
        <a:off x="2200650" y="754635"/>
        <a:ext cx="1044609" cy="307111"/>
      </dsp:txXfrm>
    </dsp:sp>
    <dsp:sp modelId="{5337AE63-3722-42CC-AF72-36670EB7C5E1}">
      <dsp:nvSpPr>
        <dsp:cNvPr id="0" name=""/>
        <dsp:cNvSpPr/>
      </dsp:nvSpPr>
      <dsp:spPr>
        <a:xfrm rot="16216882">
          <a:off x="2633700" y="592655"/>
          <a:ext cx="181534" cy="15217"/>
        </a:xfrm>
        <a:custGeom>
          <a:avLst/>
          <a:gdLst/>
          <a:ahLst/>
          <a:cxnLst/>
          <a:rect l="0" t="0" r="0" b="0"/>
          <a:pathLst>
            <a:path>
              <a:moveTo>
                <a:pt x="0" y="6998"/>
              </a:moveTo>
              <a:lnTo>
                <a:pt x="158573"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719929" y="595726"/>
        <a:ext cx="9076" cy="9076"/>
      </dsp:txXfrm>
    </dsp:sp>
    <dsp:sp modelId="{CED9197C-8322-406B-917C-172FA36E7B76}">
      <dsp:nvSpPr>
        <dsp:cNvPr id="0" name=""/>
        <dsp:cNvSpPr/>
      </dsp:nvSpPr>
      <dsp:spPr>
        <a:xfrm>
          <a:off x="2077434" y="10399"/>
          <a:ext cx="1297408" cy="49909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a:t>
          </a: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267435" y="83490"/>
        <a:ext cx="917406" cy="352917"/>
      </dsp:txXfrm>
    </dsp:sp>
    <dsp:sp modelId="{4AC11394-3179-4EC5-A97F-D1A1B521CE2F}">
      <dsp:nvSpPr>
        <dsp:cNvPr id="0" name=""/>
        <dsp:cNvSpPr/>
      </dsp:nvSpPr>
      <dsp:spPr>
        <a:xfrm rot="21559251">
          <a:off x="3460978" y="887002"/>
          <a:ext cx="815226" cy="15217"/>
        </a:xfrm>
        <a:custGeom>
          <a:avLst/>
          <a:gdLst/>
          <a:ahLst/>
          <a:cxnLst/>
          <a:rect l="0" t="0" r="0" b="0"/>
          <a:pathLst>
            <a:path>
              <a:moveTo>
                <a:pt x="0" y="6998"/>
              </a:moveTo>
              <a:lnTo>
                <a:pt x="1011830"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848210" y="874229"/>
        <a:ext cx="40761" cy="40761"/>
      </dsp:txXfrm>
    </dsp:sp>
    <dsp:sp modelId="{035B4C9A-0916-4FCC-A1CF-85DB358A289A}">
      <dsp:nvSpPr>
        <dsp:cNvPr id="0" name=""/>
        <dsp:cNvSpPr/>
      </dsp:nvSpPr>
      <dsp:spPr>
        <a:xfrm>
          <a:off x="4275896" y="560744"/>
          <a:ext cx="1483636" cy="64048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Madrid  </a:t>
          </a:r>
        </a:p>
      </dsp:txBody>
      <dsp:txXfrm>
        <a:off x="4493169" y="654541"/>
        <a:ext cx="1049090" cy="452893"/>
      </dsp:txXfrm>
    </dsp:sp>
    <dsp:sp modelId="{1281FAF2-438A-4E06-A630-42C5CD6DB1D1}">
      <dsp:nvSpPr>
        <dsp:cNvPr id="0" name=""/>
        <dsp:cNvSpPr/>
      </dsp:nvSpPr>
      <dsp:spPr>
        <a:xfrm rot="5377226">
          <a:off x="2640960" y="1201730"/>
          <a:ext cx="167979" cy="15217"/>
        </a:xfrm>
        <a:custGeom>
          <a:avLst/>
          <a:gdLst/>
          <a:ahLst/>
          <a:cxnLst/>
          <a:rect l="0" t="0" r="0" b="0"/>
          <a:pathLst>
            <a:path>
              <a:moveTo>
                <a:pt x="0" y="6998"/>
              </a:moveTo>
              <a:lnTo>
                <a:pt x="149401"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720751" y="1205139"/>
        <a:ext cx="8398" cy="8398"/>
      </dsp:txXfrm>
    </dsp:sp>
    <dsp:sp modelId="{9D8804DD-C1C3-4668-9E8F-40BB54189D15}">
      <dsp:nvSpPr>
        <dsp:cNvPr id="0" name=""/>
        <dsp:cNvSpPr/>
      </dsp:nvSpPr>
      <dsp:spPr>
        <a:xfrm>
          <a:off x="1927632" y="1293327"/>
          <a:ext cx="1598833" cy="46569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sp:txBody>
      <dsp:txXfrm>
        <a:off x="2161776" y="1361527"/>
        <a:ext cx="1130545" cy="329297"/>
      </dsp:txXfrm>
    </dsp:sp>
    <dsp:sp modelId="{D0E3F8D6-DE9C-4394-8B02-9C131280903E}">
      <dsp:nvSpPr>
        <dsp:cNvPr id="0" name=""/>
        <dsp:cNvSpPr/>
      </dsp:nvSpPr>
      <dsp:spPr>
        <a:xfrm rot="10767707">
          <a:off x="1300636" y="910730"/>
          <a:ext cx="684060" cy="15217"/>
        </a:xfrm>
        <a:custGeom>
          <a:avLst/>
          <a:gdLst/>
          <a:ahLst/>
          <a:cxnLst/>
          <a:rect l="0" t="0" r="0" b="0"/>
          <a:pathLst>
            <a:path>
              <a:moveTo>
                <a:pt x="0" y="6998"/>
              </a:moveTo>
              <a:lnTo>
                <a:pt x="887737"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625565" y="901237"/>
        <a:ext cx="34203" cy="34203"/>
      </dsp:txXfrm>
    </dsp:sp>
    <dsp:sp modelId="{F1CADBCB-761B-4EBD-8811-73EECDD73DC5}">
      <dsp:nvSpPr>
        <dsp:cNvPr id="0" name=""/>
        <dsp:cNvSpPr/>
      </dsp:nvSpPr>
      <dsp:spPr>
        <a:xfrm>
          <a:off x="0" y="629587"/>
          <a:ext cx="1300788" cy="59614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 </a:t>
          </a:r>
        </a:p>
      </dsp:txBody>
      <dsp:txXfrm>
        <a:off x="190496" y="716890"/>
        <a:ext cx="919796" cy="421539"/>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220490" y="664777"/>
          <a:ext cx="1434939" cy="349131"/>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13</a:t>
          </a:r>
        </a:p>
      </dsp:txBody>
      <dsp:txXfrm>
        <a:off x="2430632" y="715906"/>
        <a:ext cx="1014655" cy="246873"/>
      </dsp:txXfrm>
    </dsp:sp>
    <dsp:sp modelId="{743B4520-8441-42A0-AFCB-45C212516FFF}">
      <dsp:nvSpPr>
        <dsp:cNvPr id="0" name=""/>
        <dsp:cNvSpPr/>
      </dsp:nvSpPr>
      <dsp:spPr>
        <a:xfrm rot="16200000">
          <a:off x="2814272" y="534494"/>
          <a:ext cx="247375" cy="13189"/>
        </a:xfrm>
        <a:custGeom>
          <a:avLst/>
          <a:gdLst/>
          <a:ahLst/>
          <a:cxnLst/>
          <a:rect l="0" t="0" r="0" b="0"/>
          <a:pathLst>
            <a:path>
              <a:moveTo>
                <a:pt x="0" y="6594"/>
              </a:moveTo>
              <a:lnTo>
                <a:pt x="247560" y="65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31776" y="534905"/>
        <a:ext cx="12368" cy="12368"/>
      </dsp:txXfrm>
    </dsp:sp>
    <dsp:sp modelId="{825B4589-2D50-4097-AF2B-6D3BD9DDE0B2}">
      <dsp:nvSpPr>
        <dsp:cNvPr id="0" name=""/>
        <dsp:cNvSpPr/>
      </dsp:nvSpPr>
      <dsp:spPr>
        <a:xfrm>
          <a:off x="2438637" y="-26204"/>
          <a:ext cx="998646" cy="44360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a:t>
          </a: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2584885" y="38761"/>
        <a:ext cx="706150" cy="313676"/>
      </dsp:txXfrm>
    </dsp:sp>
    <dsp:sp modelId="{7A96B68C-E15D-4E1B-A46C-7E5DE405A90C}">
      <dsp:nvSpPr>
        <dsp:cNvPr id="0" name=""/>
        <dsp:cNvSpPr/>
      </dsp:nvSpPr>
      <dsp:spPr>
        <a:xfrm rot="20283379">
          <a:off x="3285635" y="563510"/>
          <a:ext cx="641204" cy="13189"/>
        </a:xfrm>
        <a:custGeom>
          <a:avLst/>
          <a:gdLst/>
          <a:ahLst/>
          <a:cxnLst/>
          <a:rect l="0" t="0" r="0" b="0"/>
          <a:pathLst>
            <a:path>
              <a:moveTo>
                <a:pt x="0" y="6594"/>
              </a:moveTo>
              <a:lnTo>
                <a:pt x="712131" y="65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90207" y="554075"/>
        <a:ext cx="32060" cy="32060"/>
      </dsp:txXfrm>
    </dsp:sp>
    <dsp:sp modelId="{9DCD972B-1513-465A-AD2B-AD5E9EEB7291}">
      <dsp:nvSpPr>
        <dsp:cNvPr id="0" name=""/>
        <dsp:cNvSpPr/>
      </dsp:nvSpPr>
      <dsp:spPr>
        <a:xfrm>
          <a:off x="3606586" y="47573"/>
          <a:ext cx="1482873" cy="4473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Madrid</a:t>
          </a:r>
        </a:p>
      </dsp:txBody>
      <dsp:txXfrm>
        <a:off x="3823748" y="113087"/>
        <a:ext cx="1048549" cy="316330"/>
      </dsp:txXfrm>
    </dsp:sp>
    <dsp:sp modelId="{5337AE63-3722-42CC-AF72-36670EB7C5E1}">
      <dsp:nvSpPr>
        <dsp:cNvPr id="0" name=""/>
        <dsp:cNvSpPr/>
      </dsp:nvSpPr>
      <dsp:spPr>
        <a:xfrm rot="21589143">
          <a:off x="3655369" y="829597"/>
          <a:ext cx="560401" cy="13189"/>
        </a:xfrm>
        <a:custGeom>
          <a:avLst/>
          <a:gdLst/>
          <a:ahLst/>
          <a:cxnLst/>
          <a:rect l="0" t="0" r="0" b="0"/>
          <a:pathLst>
            <a:path>
              <a:moveTo>
                <a:pt x="0" y="6594"/>
              </a:moveTo>
              <a:lnTo>
                <a:pt x="768157" y="65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21559" y="822182"/>
        <a:ext cx="28020" cy="28020"/>
      </dsp:txXfrm>
    </dsp:sp>
    <dsp:sp modelId="{CED9197C-8322-406B-917C-172FA36E7B76}">
      <dsp:nvSpPr>
        <dsp:cNvPr id="0" name=""/>
        <dsp:cNvSpPr/>
      </dsp:nvSpPr>
      <dsp:spPr>
        <a:xfrm>
          <a:off x="4215742" y="581037"/>
          <a:ext cx="1386218" cy="50416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12</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Clasificaciones y normas técnicas</a:t>
          </a:r>
        </a:p>
      </dsp:txBody>
      <dsp:txXfrm>
        <a:off x="4418749" y="654870"/>
        <a:ext cx="980204" cy="356497"/>
      </dsp:txXfrm>
    </dsp:sp>
    <dsp:sp modelId="{4AC11394-3179-4EC5-A97F-D1A1B521CE2F}">
      <dsp:nvSpPr>
        <dsp:cNvPr id="0" name=""/>
        <dsp:cNvSpPr/>
      </dsp:nvSpPr>
      <dsp:spPr>
        <a:xfrm rot="1500735">
          <a:off x="3251660" y="1068905"/>
          <a:ext cx="384917" cy="13189"/>
        </a:xfrm>
        <a:custGeom>
          <a:avLst/>
          <a:gdLst/>
          <a:ahLst/>
          <a:cxnLst/>
          <a:rect l="0" t="0" r="0" b="0"/>
          <a:pathLst>
            <a:path>
              <a:moveTo>
                <a:pt x="0" y="6594"/>
              </a:moveTo>
              <a:lnTo>
                <a:pt x="399900" y="65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34496" y="1065877"/>
        <a:ext cx="19245" cy="19245"/>
      </dsp:txXfrm>
    </dsp:sp>
    <dsp:sp modelId="{035B4C9A-0916-4FCC-A1CF-85DB358A289A}">
      <dsp:nvSpPr>
        <dsp:cNvPr id="0" name=""/>
        <dsp:cNvSpPr/>
      </dsp:nvSpPr>
      <dsp:spPr>
        <a:xfrm>
          <a:off x="3384586" y="1097991"/>
          <a:ext cx="1302333" cy="50709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14</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Acceso a info. y conocimientos</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575308" y="1172253"/>
        <a:ext cx="920889" cy="358569"/>
      </dsp:txXfrm>
    </dsp:sp>
    <dsp:sp modelId="{ADF94B70-0D7F-4A27-8DF9-17BCD27F4A7A}">
      <dsp:nvSpPr>
        <dsp:cNvPr id="0" name=""/>
        <dsp:cNvSpPr/>
      </dsp:nvSpPr>
      <dsp:spPr>
        <a:xfrm rot="9393212">
          <a:off x="2258071" y="1053234"/>
          <a:ext cx="343015" cy="13189"/>
        </a:xfrm>
        <a:custGeom>
          <a:avLst/>
          <a:gdLst/>
          <a:ahLst/>
          <a:cxnLst/>
          <a:rect l="0" t="0" r="0" b="0"/>
          <a:pathLst>
            <a:path>
              <a:moveTo>
                <a:pt x="0" y="6594"/>
              </a:moveTo>
              <a:lnTo>
                <a:pt x="360356" y="65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21003" y="1051253"/>
        <a:ext cx="17150" cy="17150"/>
      </dsp:txXfrm>
    </dsp:sp>
    <dsp:sp modelId="{0FAF3FA1-8E6C-455E-B189-A468B3F4D8BC}">
      <dsp:nvSpPr>
        <dsp:cNvPr id="0" name=""/>
        <dsp:cNvSpPr/>
      </dsp:nvSpPr>
      <dsp:spPr>
        <a:xfrm>
          <a:off x="1115794" y="1051878"/>
          <a:ext cx="1372206" cy="56035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15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Soluciones operativas OPI</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316749" y="1133940"/>
        <a:ext cx="970296" cy="396230"/>
      </dsp:txXfrm>
    </dsp:sp>
    <dsp:sp modelId="{4C755D63-E57A-4826-AD35-228CF0B8702F}">
      <dsp:nvSpPr>
        <dsp:cNvPr id="0" name=""/>
        <dsp:cNvSpPr/>
      </dsp:nvSpPr>
      <dsp:spPr>
        <a:xfrm rot="10808569">
          <a:off x="1347937" y="829872"/>
          <a:ext cx="872592" cy="13189"/>
        </a:xfrm>
        <a:custGeom>
          <a:avLst/>
          <a:gdLst/>
          <a:ahLst/>
          <a:cxnLst/>
          <a:rect l="0" t="0" r="0" b="0"/>
          <a:pathLst>
            <a:path>
              <a:moveTo>
                <a:pt x="0" y="6594"/>
              </a:moveTo>
              <a:lnTo>
                <a:pt x="984098" y="65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762419" y="814652"/>
        <a:ext cx="43629" cy="43629"/>
      </dsp:txXfrm>
    </dsp:sp>
    <dsp:sp modelId="{24E3E7DC-0BA5-48AF-955A-AA52F4F430B1}">
      <dsp:nvSpPr>
        <dsp:cNvPr id="0" name=""/>
        <dsp:cNvSpPr/>
      </dsp:nvSpPr>
      <dsp:spPr>
        <a:xfrm>
          <a:off x="90737" y="561605"/>
          <a:ext cx="1257211" cy="54441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La Haya</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74851" y="641333"/>
        <a:ext cx="888983" cy="384958"/>
      </dsp:txXfrm>
    </dsp:sp>
    <dsp:sp modelId="{E3CB5DB8-2282-45FB-9E5F-A0F7C1267DC9}">
      <dsp:nvSpPr>
        <dsp:cNvPr id="0" name=""/>
        <dsp:cNvSpPr/>
      </dsp:nvSpPr>
      <dsp:spPr>
        <a:xfrm rot="12193039">
          <a:off x="2022401" y="565542"/>
          <a:ext cx="585282" cy="13189"/>
        </a:xfrm>
        <a:custGeom>
          <a:avLst/>
          <a:gdLst/>
          <a:ahLst/>
          <a:cxnLst/>
          <a:rect l="0" t="0" r="0" b="0"/>
          <a:pathLst>
            <a:path>
              <a:moveTo>
                <a:pt x="0" y="6594"/>
              </a:moveTo>
              <a:lnTo>
                <a:pt x="603152" y="65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00410" y="557505"/>
        <a:ext cx="29264" cy="29264"/>
      </dsp:txXfrm>
    </dsp:sp>
    <dsp:sp modelId="{2EA04359-081B-43A3-861D-095126BB9402}">
      <dsp:nvSpPr>
        <dsp:cNvPr id="0" name=""/>
        <dsp:cNvSpPr/>
      </dsp:nvSpPr>
      <dsp:spPr>
        <a:xfrm>
          <a:off x="986712" y="40700"/>
          <a:ext cx="1282345" cy="47334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32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Lisboa</a:t>
          </a:r>
        </a:p>
      </dsp:txBody>
      <dsp:txXfrm>
        <a:off x="1174507" y="110020"/>
        <a:ext cx="906755" cy="334709"/>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377494" y="921179"/>
          <a:ext cx="1332883" cy="486144"/>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14</a:t>
          </a:r>
        </a:p>
      </dsp:txBody>
      <dsp:txXfrm>
        <a:off x="2572690" y="992373"/>
        <a:ext cx="942491" cy="343756"/>
      </dsp:txXfrm>
    </dsp:sp>
    <dsp:sp modelId="{650854B0-9FE7-4FFD-96B2-18F6452E0859}">
      <dsp:nvSpPr>
        <dsp:cNvPr id="0" name=""/>
        <dsp:cNvSpPr/>
      </dsp:nvSpPr>
      <dsp:spPr>
        <a:xfrm rot="16222721">
          <a:off x="2866505" y="732453"/>
          <a:ext cx="360456" cy="17004"/>
        </a:xfrm>
        <a:custGeom>
          <a:avLst/>
          <a:gdLst/>
          <a:ahLst/>
          <a:cxnLst/>
          <a:rect l="0" t="0" r="0" b="0"/>
          <a:pathLst>
            <a:path>
              <a:moveTo>
                <a:pt x="0" y="8502"/>
              </a:moveTo>
              <a:lnTo>
                <a:pt x="401655"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37722" y="731944"/>
        <a:ext cx="18022" cy="18022"/>
      </dsp:txXfrm>
    </dsp:sp>
    <dsp:sp modelId="{6394B413-6D12-4C4F-9A8D-E0508CAE8617}">
      <dsp:nvSpPr>
        <dsp:cNvPr id="0" name=""/>
        <dsp:cNvSpPr/>
      </dsp:nvSpPr>
      <dsp:spPr>
        <a:xfrm>
          <a:off x="2390023" y="-21012"/>
          <a:ext cx="1319648" cy="58174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sp:txBody>
      <dsp:txXfrm>
        <a:off x="2583281" y="64183"/>
        <a:ext cx="933132" cy="411355"/>
      </dsp:txXfrm>
    </dsp:sp>
    <dsp:sp modelId="{DEF09AAB-E09E-4486-8914-E37D47E60824}">
      <dsp:nvSpPr>
        <dsp:cNvPr id="0" name=""/>
        <dsp:cNvSpPr/>
      </dsp:nvSpPr>
      <dsp:spPr>
        <a:xfrm rot="20327628">
          <a:off x="3482111" y="880961"/>
          <a:ext cx="540089" cy="17004"/>
        </a:xfrm>
        <a:custGeom>
          <a:avLst/>
          <a:gdLst/>
          <a:ahLst/>
          <a:cxnLst/>
          <a:rect l="0" t="0" r="0" b="0"/>
          <a:pathLst>
            <a:path>
              <a:moveTo>
                <a:pt x="0" y="8502"/>
              </a:moveTo>
              <a:lnTo>
                <a:pt x="611519"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738653" y="875961"/>
        <a:ext cx="27004" cy="27004"/>
      </dsp:txXfrm>
    </dsp:sp>
    <dsp:sp modelId="{2ED32773-10C9-4671-A0BF-4C0DAB40AE25}">
      <dsp:nvSpPr>
        <dsp:cNvPr id="0" name=""/>
        <dsp:cNvSpPr/>
      </dsp:nvSpPr>
      <dsp:spPr>
        <a:xfrm>
          <a:off x="3867760" y="390223"/>
          <a:ext cx="1095195" cy="48383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pPr lvl="0" algn="ctr" defTabSz="444500">
            <a:lnSpc>
              <a:spcPct val="90000"/>
            </a:lnSpc>
            <a:spcBef>
              <a:spcPct val="0"/>
            </a:spcBef>
            <a:spcAft>
              <a:spcPct val="35000"/>
            </a:spcAft>
          </a:pPr>
          <a:r>
            <a:rPr lang="es-ES_tradnl" sz="900" kern="1200">
              <a:latin typeface="Arial" panose="020B0604020202020204" pitchFamily="34" charset="0"/>
              <a:cs typeface="Arial" panose="020B0604020202020204" pitchFamily="34" charset="0"/>
            </a:rPr>
            <a:t>Países T/D</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028148" y="461079"/>
        <a:ext cx="774419" cy="342124"/>
      </dsp:txXfrm>
    </dsp:sp>
    <dsp:sp modelId="{6A5F15CA-77E2-4C48-8498-A7C7D3C4428C}">
      <dsp:nvSpPr>
        <dsp:cNvPr id="0" name=""/>
        <dsp:cNvSpPr/>
      </dsp:nvSpPr>
      <dsp:spPr>
        <a:xfrm rot="21592342">
          <a:off x="3710364" y="1153163"/>
          <a:ext cx="988753" cy="17004"/>
        </a:xfrm>
        <a:custGeom>
          <a:avLst/>
          <a:gdLst/>
          <a:ahLst/>
          <a:cxnLst/>
          <a:rect l="0" t="0" r="0" b="0"/>
          <a:pathLst>
            <a:path>
              <a:moveTo>
                <a:pt x="0" y="8502"/>
              </a:moveTo>
              <a:lnTo>
                <a:pt x="1178174"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180022" y="1136947"/>
        <a:ext cx="49437" cy="49437"/>
      </dsp:txXfrm>
    </dsp:sp>
    <dsp:sp modelId="{638FE4E5-2063-40D0-A44F-91C88716CF8C}">
      <dsp:nvSpPr>
        <dsp:cNvPr id="0" name=""/>
        <dsp:cNvSpPr/>
      </dsp:nvSpPr>
      <dsp:spPr>
        <a:xfrm>
          <a:off x="4699107" y="904216"/>
          <a:ext cx="1244492" cy="50992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a:t>
          </a:r>
        </a:p>
      </dsp:txBody>
      <dsp:txXfrm>
        <a:off x="4881359" y="978893"/>
        <a:ext cx="879988" cy="360570"/>
      </dsp:txXfrm>
    </dsp:sp>
    <dsp:sp modelId="{EAF47FDD-7D57-4FF6-9F6B-6E604D2CC0DE}">
      <dsp:nvSpPr>
        <dsp:cNvPr id="0" name=""/>
        <dsp:cNvSpPr/>
      </dsp:nvSpPr>
      <dsp:spPr>
        <a:xfrm rot="10786818">
          <a:off x="1305321" y="1160360"/>
          <a:ext cx="1072214" cy="17004"/>
        </a:xfrm>
        <a:custGeom>
          <a:avLst/>
          <a:gdLst/>
          <a:ahLst/>
          <a:cxnLst/>
          <a:rect l="0" t="0" r="0" b="0"/>
          <a:pathLst>
            <a:path>
              <a:moveTo>
                <a:pt x="0" y="8502"/>
              </a:moveTo>
              <a:lnTo>
                <a:pt x="1276148"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14623" y="1142057"/>
        <a:ext cx="53610" cy="53610"/>
      </dsp:txXfrm>
    </dsp:sp>
    <dsp:sp modelId="{F74F2681-A109-4B75-8C08-B2B26769CF03}">
      <dsp:nvSpPr>
        <dsp:cNvPr id="0" name=""/>
        <dsp:cNvSpPr/>
      </dsp:nvSpPr>
      <dsp:spPr>
        <a:xfrm>
          <a:off x="77272" y="842407"/>
          <a:ext cx="1228068" cy="66173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13</a:t>
          </a:r>
        </a:p>
        <a:p>
          <a:pPr lvl="0" algn="ctr"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Bases mundiales de datos</a:t>
          </a:r>
        </a:p>
      </dsp:txBody>
      <dsp:txXfrm>
        <a:off x="257118" y="939315"/>
        <a:ext cx="868376" cy="467914"/>
      </dsp:txXfrm>
    </dsp:sp>
    <dsp:sp modelId="{AC7E3352-64BC-4978-9AB6-2DD833483239}">
      <dsp:nvSpPr>
        <dsp:cNvPr id="0" name=""/>
        <dsp:cNvSpPr/>
      </dsp:nvSpPr>
      <dsp:spPr>
        <a:xfrm rot="12167746">
          <a:off x="2125932" y="875162"/>
          <a:ext cx="500749" cy="17004"/>
        </a:xfrm>
        <a:custGeom>
          <a:avLst/>
          <a:gdLst/>
          <a:ahLst/>
          <a:cxnLst/>
          <a:rect l="0" t="0" r="0" b="0"/>
          <a:pathLst>
            <a:path>
              <a:moveTo>
                <a:pt x="0" y="8502"/>
              </a:moveTo>
              <a:lnTo>
                <a:pt x="766822"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63788" y="871145"/>
        <a:ext cx="25037" cy="25037"/>
      </dsp:txXfrm>
    </dsp:sp>
    <dsp:sp modelId="{05C48364-E63B-4056-87CF-0BE50D74190B}">
      <dsp:nvSpPr>
        <dsp:cNvPr id="0" name=""/>
        <dsp:cNvSpPr/>
      </dsp:nvSpPr>
      <dsp:spPr>
        <a:xfrm>
          <a:off x="946259" y="278310"/>
          <a:ext cx="1400751" cy="59738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15 </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Soluciones operativas para las oficinas de P.I</a:t>
          </a:r>
        </a:p>
      </dsp:txBody>
      <dsp:txXfrm>
        <a:off x="1151394" y="365795"/>
        <a:ext cx="990481" cy="422413"/>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286678" y="677686"/>
          <a:ext cx="1405858" cy="445713"/>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Arial" panose="020B0604020202020204" pitchFamily="34" charset="0"/>
              <a:ea typeface="+mn-ea"/>
              <a:cs typeface="Arial" panose="020B0604020202020204" pitchFamily="34" charset="0"/>
            </a:rPr>
            <a:t>Programa 15</a:t>
          </a:r>
        </a:p>
      </dsp:txBody>
      <dsp:txXfrm>
        <a:off x="2492561" y="742959"/>
        <a:ext cx="994092" cy="315167"/>
      </dsp:txXfrm>
    </dsp:sp>
    <dsp:sp modelId="{72463A3F-A956-4917-8722-9FD79FB3E09A}">
      <dsp:nvSpPr>
        <dsp:cNvPr id="0" name=""/>
        <dsp:cNvSpPr/>
      </dsp:nvSpPr>
      <dsp:spPr>
        <a:xfrm rot="16214742">
          <a:off x="2934645" y="613811"/>
          <a:ext cx="112316" cy="15435"/>
        </a:xfrm>
        <a:custGeom>
          <a:avLst/>
          <a:gdLst/>
          <a:ahLst/>
          <a:cxnLst/>
          <a:rect l="0" t="0" r="0" b="0"/>
          <a:pathLst>
            <a:path>
              <a:moveTo>
                <a:pt x="0" y="7778"/>
              </a:moveTo>
              <a:lnTo>
                <a:pt x="126270"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solidFill>
            <a:latin typeface="Calibri"/>
            <a:ea typeface="+mn-ea"/>
            <a:cs typeface="+mn-cs"/>
          </a:endParaRPr>
        </a:p>
      </dsp:txBody>
      <dsp:txXfrm>
        <a:off x="2987996" y="618721"/>
        <a:ext cx="5615" cy="5615"/>
      </dsp:txXfrm>
    </dsp:sp>
    <dsp:sp modelId="{A030EF9D-9337-4706-B87A-64BDE162520A}">
      <dsp:nvSpPr>
        <dsp:cNvPr id="0" name=""/>
        <dsp:cNvSpPr/>
      </dsp:nvSpPr>
      <dsp:spPr>
        <a:xfrm>
          <a:off x="2492091" y="64561"/>
          <a:ext cx="1000054" cy="50081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3</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  D.A.D.C.</a:t>
          </a:r>
        </a:p>
      </dsp:txBody>
      <dsp:txXfrm>
        <a:off x="2638546" y="137903"/>
        <a:ext cx="707144" cy="354126"/>
      </dsp:txXfrm>
    </dsp:sp>
    <dsp:sp modelId="{00112A8F-12E8-45AC-B551-DFB66BE45059}">
      <dsp:nvSpPr>
        <dsp:cNvPr id="0" name=""/>
        <dsp:cNvSpPr/>
      </dsp:nvSpPr>
      <dsp:spPr>
        <a:xfrm rot="20627748">
          <a:off x="3497646" y="671014"/>
          <a:ext cx="510460" cy="15435"/>
        </a:xfrm>
        <a:custGeom>
          <a:avLst/>
          <a:gdLst/>
          <a:ahLst/>
          <a:cxnLst/>
          <a:rect l="0" t="0" r="0" b="0"/>
          <a:pathLst>
            <a:path>
              <a:moveTo>
                <a:pt x="0" y="7778"/>
              </a:moveTo>
              <a:lnTo>
                <a:pt x="403209"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solidFill>
            <a:latin typeface="Calibri"/>
            <a:ea typeface="+mn-ea"/>
            <a:cs typeface="+mn-cs"/>
          </a:endParaRPr>
        </a:p>
      </dsp:txBody>
      <dsp:txXfrm>
        <a:off x="3740115" y="665970"/>
        <a:ext cx="25523" cy="25523"/>
      </dsp:txXfrm>
    </dsp:sp>
    <dsp:sp modelId="{423B6D89-2000-40C7-8429-BD38C7402395}">
      <dsp:nvSpPr>
        <dsp:cNvPr id="0" name=""/>
        <dsp:cNvSpPr/>
      </dsp:nvSpPr>
      <dsp:spPr>
        <a:xfrm>
          <a:off x="3891747" y="258831"/>
          <a:ext cx="1102904" cy="43857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5</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PCT</a:t>
          </a:r>
        </a:p>
      </dsp:txBody>
      <dsp:txXfrm>
        <a:off x="4053264" y="323059"/>
        <a:ext cx="779870" cy="310120"/>
      </dsp:txXfrm>
    </dsp:sp>
    <dsp:sp modelId="{650854B0-9FE7-4FFD-96B2-18F6452E0859}">
      <dsp:nvSpPr>
        <dsp:cNvPr id="0" name=""/>
        <dsp:cNvSpPr/>
      </dsp:nvSpPr>
      <dsp:spPr>
        <a:xfrm rot="761562">
          <a:off x="3557278" y="1070233"/>
          <a:ext cx="440039" cy="15435"/>
        </a:xfrm>
        <a:custGeom>
          <a:avLst/>
          <a:gdLst/>
          <a:ahLst/>
          <a:cxnLst/>
          <a:rect l="0" t="0" r="0" b="0"/>
          <a:pathLst>
            <a:path>
              <a:moveTo>
                <a:pt x="0" y="7778"/>
              </a:moveTo>
              <a:lnTo>
                <a:pt x="1060081"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solidFill>
            <a:latin typeface="Calibri"/>
            <a:ea typeface="+mn-ea"/>
            <a:cs typeface="+mn-cs"/>
          </a:endParaRPr>
        </a:p>
      </dsp:txBody>
      <dsp:txXfrm>
        <a:off x="3766297" y="1066950"/>
        <a:ext cx="22001" cy="22001"/>
      </dsp:txXfrm>
    </dsp:sp>
    <dsp:sp modelId="{6394B413-6D12-4C4F-9A8D-E0508CAE8617}">
      <dsp:nvSpPr>
        <dsp:cNvPr id="0" name=""/>
        <dsp:cNvSpPr/>
      </dsp:nvSpPr>
      <dsp:spPr>
        <a:xfrm>
          <a:off x="3872097" y="1010337"/>
          <a:ext cx="1477835" cy="51077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6</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Sistema de Madrid</a:t>
          </a:r>
        </a:p>
      </dsp:txBody>
      <dsp:txXfrm>
        <a:off x="4088521" y="1085138"/>
        <a:ext cx="1044987" cy="361174"/>
      </dsp:txXfrm>
    </dsp:sp>
    <dsp:sp modelId="{6A5F15CA-77E2-4C48-8498-A7C7D3C4428C}">
      <dsp:nvSpPr>
        <dsp:cNvPr id="0" name=""/>
        <dsp:cNvSpPr/>
      </dsp:nvSpPr>
      <dsp:spPr>
        <a:xfrm rot="5325552">
          <a:off x="2931533" y="1179954"/>
          <a:ext cx="128586" cy="15435"/>
        </a:xfrm>
        <a:custGeom>
          <a:avLst/>
          <a:gdLst/>
          <a:ahLst/>
          <a:cxnLst/>
          <a:rect l="0" t="0" r="0" b="0"/>
          <a:pathLst>
            <a:path>
              <a:moveTo>
                <a:pt x="0" y="7778"/>
              </a:moveTo>
              <a:lnTo>
                <a:pt x="141173"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solidFill>
            <a:latin typeface="Calibri"/>
            <a:ea typeface="+mn-ea"/>
            <a:cs typeface="+mn-cs"/>
          </a:endParaRPr>
        </a:p>
      </dsp:txBody>
      <dsp:txXfrm>
        <a:off x="2992611" y="1184457"/>
        <a:ext cx="6429" cy="6429"/>
      </dsp:txXfrm>
    </dsp:sp>
    <dsp:sp modelId="{638FE4E5-2063-40D0-A44F-91C88716CF8C}">
      <dsp:nvSpPr>
        <dsp:cNvPr id="0" name=""/>
        <dsp:cNvSpPr/>
      </dsp:nvSpPr>
      <dsp:spPr>
        <a:xfrm>
          <a:off x="2268518" y="1251943"/>
          <a:ext cx="1467962" cy="4876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9</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Oficinas regionales en la sede</a:t>
          </a:r>
        </a:p>
      </dsp:txBody>
      <dsp:txXfrm>
        <a:off x="2483496" y="1323359"/>
        <a:ext cx="1038006" cy="344826"/>
      </dsp:txXfrm>
    </dsp:sp>
    <dsp:sp modelId="{EAF47FDD-7D57-4FF6-9F6B-6E604D2CC0DE}">
      <dsp:nvSpPr>
        <dsp:cNvPr id="0" name=""/>
        <dsp:cNvSpPr/>
      </dsp:nvSpPr>
      <dsp:spPr>
        <a:xfrm rot="10059138">
          <a:off x="1762606" y="1089606"/>
          <a:ext cx="656150" cy="15435"/>
        </a:xfrm>
        <a:custGeom>
          <a:avLst/>
          <a:gdLst/>
          <a:ahLst/>
          <a:cxnLst/>
          <a:rect l="0" t="0" r="0" b="0"/>
          <a:pathLst>
            <a:path>
              <a:moveTo>
                <a:pt x="0" y="7778"/>
              </a:moveTo>
              <a:lnTo>
                <a:pt x="942251"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solidFill>
            <a:latin typeface="Calibri"/>
            <a:ea typeface="+mn-ea"/>
            <a:cs typeface="+mn-cs"/>
          </a:endParaRPr>
        </a:p>
      </dsp:txBody>
      <dsp:txXfrm rot="10800000">
        <a:off x="2074278" y="1080920"/>
        <a:ext cx="32807" cy="32807"/>
      </dsp:txXfrm>
    </dsp:sp>
    <dsp:sp modelId="{F74F2681-A109-4B75-8C08-B2B26769CF03}">
      <dsp:nvSpPr>
        <dsp:cNvPr id="0" name=""/>
        <dsp:cNvSpPr/>
      </dsp:nvSpPr>
      <dsp:spPr>
        <a:xfrm>
          <a:off x="680123" y="1016663"/>
          <a:ext cx="1145417" cy="52814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10</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Países T/D</a:t>
          </a:r>
        </a:p>
      </dsp:txBody>
      <dsp:txXfrm>
        <a:off x="847865" y="1094008"/>
        <a:ext cx="809933" cy="373456"/>
      </dsp:txXfrm>
    </dsp:sp>
    <dsp:sp modelId="{AC7E3352-64BC-4978-9AB6-2DD833483239}">
      <dsp:nvSpPr>
        <dsp:cNvPr id="0" name=""/>
        <dsp:cNvSpPr/>
      </dsp:nvSpPr>
      <dsp:spPr>
        <a:xfrm rot="11610990">
          <a:off x="2250477" y="736967"/>
          <a:ext cx="181515" cy="15435"/>
        </a:xfrm>
        <a:custGeom>
          <a:avLst/>
          <a:gdLst/>
          <a:ahLst/>
          <a:cxnLst/>
          <a:rect l="0" t="0" r="0" b="0"/>
          <a:pathLst>
            <a:path>
              <a:moveTo>
                <a:pt x="0" y="7778"/>
              </a:moveTo>
              <a:lnTo>
                <a:pt x="386761"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solidFill>
            <a:latin typeface="Calibri"/>
            <a:ea typeface="+mn-ea"/>
            <a:cs typeface="+mn-cs"/>
          </a:endParaRPr>
        </a:p>
      </dsp:txBody>
      <dsp:txXfrm rot="10800000">
        <a:off x="2336697" y="740147"/>
        <a:ext cx="9075" cy="9075"/>
      </dsp:txXfrm>
    </dsp:sp>
    <dsp:sp modelId="{05C48364-E63B-4056-87CF-0BE50D74190B}">
      <dsp:nvSpPr>
        <dsp:cNvPr id="0" name=""/>
        <dsp:cNvSpPr/>
      </dsp:nvSpPr>
      <dsp:spPr>
        <a:xfrm>
          <a:off x="571427" y="285149"/>
          <a:ext cx="1917365" cy="52910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14 </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Acceso a la información y los conocimientos</a:t>
          </a:r>
        </a:p>
      </dsp:txBody>
      <dsp:txXfrm>
        <a:off x="852219" y="362635"/>
        <a:ext cx="1355781" cy="374137"/>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385339" y="1091931"/>
          <a:ext cx="1272000" cy="379555"/>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16</a:t>
          </a:r>
        </a:p>
      </dsp:txBody>
      <dsp:txXfrm>
        <a:off x="2571619" y="1147516"/>
        <a:ext cx="899440" cy="268385"/>
      </dsp:txXfrm>
    </dsp:sp>
    <dsp:sp modelId="{E887F142-3B93-49E1-A09D-1DCD207D21D1}">
      <dsp:nvSpPr>
        <dsp:cNvPr id="0" name=""/>
        <dsp:cNvSpPr/>
      </dsp:nvSpPr>
      <dsp:spPr>
        <a:xfrm rot="16201461">
          <a:off x="2781830" y="844260"/>
          <a:ext cx="479382" cy="15958"/>
        </a:xfrm>
        <a:custGeom>
          <a:avLst/>
          <a:gdLst/>
          <a:ahLst/>
          <a:cxnLst/>
          <a:rect l="0" t="0" r="0" b="0"/>
          <a:pathLst>
            <a:path>
              <a:moveTo>
                <a:pt x="0" y="7514"/>
              </a:moveTo>
              <a:lnTo>
                <a:pt x="469641"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09537" y="840255"/>
        <a:ext cx="23969" cy="23969"/>
      </dsp:txXfrm>
    </dsp:sp>
    <dsp:sp modelId="{3EA08C86-6A87-4381-A9A9-F10D993E2D53}">
      <dsp:nvSpPr>
        <dsp:cNvPr id="0" name=""/>
        <dsp:cNvSpPr/>
      </dsp:nvSpPr>
      <dsp:spPr>
        <a:xfrm>
          <a:off x="2457114" y="103423"/>
          <a:ext cx="1129234" cy="50912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Sistema del PCT</a:t>
          </a:r>
        </a:p>
      </dsp:txBody>
      <dsp:txXfrm>
        <a:off x="2622486" y="177982"/>
        <a:ext cx="798490" cy="360006"/>
      </dsp:txXfrm>
    </dsp:sp>
    <dsp:sp modelId="{72463A3F-A956-4917-8722-9FD79FB3E09A}">
      <dsp:nvSpPr>
        <dsp:cNvPr id="0" name=""/>
        <dsp:cNvSpPr/>
      </dsp:nvSpPr>
      <dsp:spPr>
        <a:xfrm rot="19711978">
          <a:off x="3240945" y="893296"/>
          <a:ext cx="804012" cy="15958"/>
        </a:xfrm>
        <a:custGeom>
          <a:avLst/>
          <a:gdLst/>
          <a:ahLst/>
          <a:cxnLst/>
          <a:rect l="0" t="0" r="0" b="0"/>
          <a:pathLst>
            <a:path>
              <a:moveTo>
                <a:pt x="0" y="7514"/>
              </a:moveTo>
              <a:lnTo>
                <a:pt x="741432"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22851" y="881175"/>
        <a:ext cx="40200" cy="40200"/>
      </dsp:txXfrm>
    </dsp:sp>
    <dsp:sp modelId="{A030EF9D-9337-4706-B87A-64BDE162520A}">
      <dsp:nvSpPr>
        <dsp:cNvPr id="0" name=""/>
        <dsp:cNvSpPr/>
      </dsp:nvSpPr>
      <dsp:spPr>
        <a:xfrm>
          <a:off x="3696839" y="189065"/>
          <a:ext cx="1321025" cy="54998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Madrid</a:t>
          </a:r>
        </a:p>
      </dsp:txBody>
      <dsp:txXfrm>
        <a:off x="3890299" y="269608"/>
        <a:ext cx="934105" cy="388896"/>
      </dsp:txXfrm>
    </dsp:sp>
    <dsp:sp modelId="{00112A8F-12E8-45AC-B551-DFB66BE45059}">
      <dsp:nvSpPr>
        <dsp:cNvPr id="0" name=""/>
        <dsp:cNvSpPr/>
      </dsp:nvSpPr>
      <dsp:spPr>
        <a:xfrm rot="21030864">
          <a:off x="3568531" y="1087793"/>
          <a:ext cx="1131278" cy="15958"/>
        </a:xfrm>
        <a:custGeom>
          <a:avLst/>
          <a:gdLst/>
          <a:ahLst/>
          <a:cxnLst/>
          <a:rect l="0" t="0" r="0" b="0"/>
          <a:pathLst>
            <a:path>
              <a:moveTo>
                <a:pt x="0" y="7514"/>
              </a:moveTo>
              <a:lnTo>
                <a:pt x="1073498"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105888" y="1067490"/>
        <a:ext cx="56563" cy="56563"/>
      </dsp:txXfrm>
    </dsp:sp>
    <dsp:sp modelId="{423B6D89-2000-40C7-8429-BD38C7402395}">
      <dsp:nvSpPr>
        <dsp:cNvPr id="0" name=""/>
        <dsp:cNvSpPr/>
      </dsp:nvSpPr>
      <dsp:spPr>
        <a:xfrm>
          <a:off x="4663697" y="691041"/>
          <a:ext cx="989836" cy="46712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8</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C.A.D</a:t>
          </a:r>
        </a:p>
      </dsp:txBody>
      <dsp:txXfrm>
        <a:off x="4808655" y="759450"/>
        <a:ext cx="699920" cy="330305"/>
      </dsp:txXfrm>
    </dsp:sp>
    <dsp:sp modelId="{650854B0-9FE7-4FFD-96B2-18F6452E0859}">
      <dsp:nvSpPr>
        <dsp:cNvPr id="0" name=""/>
        <dsp:cNvSpPr/>
      </dsp:nvSpPr>
      <dsp:spPr>
        <a:xfrm rot="512584">
          <a:off x="3584597" y="1423554"/>
          <a:ext cx="868221" cy="15958"/>
        </a:xfrm>
        <a:custGeom>
          <a:avLst/>
          <a:gdLst/>
          <a:ahLst/>
          <a:cxnLst/>
          <a:rect l="0" t="0" r="0" b="0"/>
          <a:pathLst>
            <a:path>
              <a:moveTo>
                <a:pt x="0" y="7514"/>
              </a:moveTo>
              <a:lnTo>
                <a:pt x="823554"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97002" y="1409827"/>
        <a:ext cx="43411" cy="43411"/>
      </dsp:txXfrm>
    </dsp:sp>
    <dsp:sp modelId="{6394B413-6D12-4C4F-9A8D-E0508CAE8617}">
      <dsp:nvSpPr>
        <dsp:cNvPr id="0" name=""/>
        <dsp:cNvSpPr/>
      </dsp:nvSpPr>
      <dsp:spPr>
        <a:xfrm>
          <a:off x="4399194" y="1325765"/>
          <a:ext cx="1406458" cy="53712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pPr lvl="0" algn="ctr"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sp:txBody>
      <dsp:txXfrm>
        <a:off x="4605165" y="1404425"/>
        <a:ext cx="994516" cy="379805"/>
      </dsp:txXfrm>
    </dsp:sp>
    <dsp:sp modelId="{DEF09AAB-E09E-4486-8914-E37D47E60824}">
      <dsp:nvSpPr>
        <dsp:cNvPr id="0" name=""/>
        <dsp:cNvSpPr/>
      </dsp:nvSpPr>
      <dsp:spPr>
        <a:xfrm rot="1927179">
          <a:off x="3220930" y="1700228"/>
          <a:ext cx="959574" cy="15958"/>
        </a:xfrm>
        <a:custGeom>
          <a:avLst/>
          <a:gdLst/>
          <a:ahLst/>
          <a:cxnLst/>
          <a:rect l="0" t="0" r="0" b="0"/>
          <a:pathLst>
            <a:path>
              <a:moveTo>
                <a:pt x="0" y="7514"/>
              </a:moveTo>
              <a:lnTo>
                <a:pt x="910711"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76728" y="1684218"/>
        <a:ext cx="47978" cy="47978"/>
      </dsp:txXfrm>
    </dsp:sp>
    <dsp:sp modelId="{2ED32773-10C9-4671-A0BF-4C0DAB40AE25}">
      <dsp:nvSpPr>
        <dsp:cNvPr id="0" name=""/>
        <dsp:cNvSpPr/>
      </dsp:nvSpPr>
      <dsp:spPr>
        <a:xfrm>
          <a:off x="3866654" y="1924674"/>
          <a:ext cx="1084705" cy="45636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a:t>
          </a:r>
        </a:p>
      </dsp:txBody>
      <dsp:txXfrm>
        <a:off x="4025505" y="1991507"/>
        <a:ext cx="767003" cy="322695"/>
      </dsp:txXfrm>
    </dsp:sp>
    <dsp:sp modelId="{EAF47FDD-7D57-4FF6-9F6B-6E604D2CC0DE}">
      <dsp:nvSpPr>
        <dsp:cNvPr id="0" name=""/>
        <dsp:cNvSpPr/>
      </dsp:nvSpPr>
      <dsp:spPr>
        <a:xfrm rot="5416133">
          <a:off x="2700630" y="1781828"/>
          <a:ext cx="636648" cy="15958"/>
        </a:xfrm>
        <a:custGeom>
          <a:avLst/>
          <a:gdLst/>
          <a:ahLst/>
          <a:cxnLst/>
          <a:rect l="0" t="0" r="0" b="0"/>
          <a:pathLst>
            <a:path>
              <a:moveTo>
                <a:pt x="0" y="7514"/>
              </a:moveTo>
              <a:lnTo>
                <a:pt x="615710"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3003038" y="1773891"/>
        <a:ext cx="31832" cy="31832"/>
      </dsp:txXfrm>
    </dsp:sp>
    <dsp:sp modelId="{F74F2681-A109-4B75-8C08-B2B26769CF03}">
      <dsp:nvSpPr>
        <dsp:cNvPr id="0" name=""/>
        <dsp:cNvSpPr/>
      </dsp:nvSpPr>
      <dsp:spPr>
        <a:xfrm>
          <a:off x="2279867" y="2108127"/>
          <a:ext cx="1472736" cy="52215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a:t>
          </a:r>
        </a:p>
        <a:p>
          <a:pPr lvl="0" algn="ctr"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495544" y="2184595"/>
        <a:ext cx="1041382" cy="369218"/>
      </dsp:txXfrm>
    </dsp:sp>
    <dsp:sp modelId="{AC7E3352-64BC-4978-9AB6-2DD833483239}">
      <dsp:nvSpPr>
        <dsp:cNvPr id="0" name=""/>
        <dsp:cNvSpPr/>
      </dsp:nvSpPr>
      <dsp:spPr>
        <a:xfrm rot="8969968">
          <a:off x="1800532" y="1697505"/>
          <a:ext cx="1002786" cy="15958"/>
        </a:xfrm>
        <a:custGeom>
          <a:avLst/>
          <a:gdLst/>
          <a:ahLst/>
          <a:cxnLst/>
          <a:rect l="0" t="0" r="0" b="0"/>
          <a:pathLst>
            <a:path>
              <a:moveTo>
                <a:pt x="0" y="7514"/>
              </a:moveTo>
              <a:lnTo>
                <a:pt x="951698"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276855" y="1680415"/>
        <a:ext cx="50139" cy="50139"/>
      </dsp:txXfrm>
    </dsp:sp>
    <dsp:sp modelId="{05C48364-E63B-4056-87CF-0BE50D74190B}">
      <dsp:nvSpPr>
        <dsp:cNvPr id="0" name=""/>
        <dsp:cNvSpPr/>
      </dsp:nvSpPr>
      <dsp:spPr>
        <a:xfrm>
          <a:off x="853867" y="1923006"/>
          <a:ext cx="1328952" cy="48810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19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Comunicaciones</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048488" y="1994487"/>
        <a:ext cx="939710" cy="345144"/>
      </dsp:txXfrm>
    </dsp:sp>
    <dsp:sp modelId="{06FD983D-3F71-4BCE-AD7F-6DD1041A2F23}">
      <dsp:nvSpPr>
        <dsp:cNvPr id="0" name=""/>
        <dsp:cNvSpPr/>
      </dsp:nvSpPr>
      <dsp:spPr>
        <a:xfrm rot="10274898">
          <a:off x="1292216" y="1449805"/>
          <a:ext cx="1170726" cy="15958"/>
        </a:xfrm>
        <a:custGeom>
          <a:avLst/>
          <a:gdLst/>
          <a:ahLst/>
          <a:cxnLst/>
          <a:rect l="0" t="0" r="0" b="0"/>
          <a:pathLst>
            <a:path>
              <a:moveTo>
                <a:pt x="0" y="7514"/>
              </a:moveTo>
              <a:lnTo>
                <a:pt x="1110861"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48311" y="1428516"/>
        <a:ext cx="58536" cy="58536"/>
      </dsp:txXfrm>
    </dsp:sp>
    <dsp:sp modelId="{CFBB929F-8BEB-442D-8D00-28EE1C02C39C}">
      <dsp:nvSpPr>
        <dsp:cNvPr id="0" name=""/>
        <dsp:cNvSpPr/>
      </dsp:nvSpPr>
      <dsp:spPr>
        <a:xfrm>
          <a:off x="78629" y="1380387"/>
          <a:ext cx="1260987" cy="51455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Gestión ejecutiva</a:t>
          </a:r>
        </a:p>
      </dsp:txBody>
      <dsp:txXfrm>
        <a:off x="263296" y="1455741"/>
        <a:ext cx="891653" cy="363842"/>
      </dsp:txXfrm>
    </dsp:sp>
    <dsp:sp modelId="{C494819C-C98E-47AA-9AF0-D23BA2FEB24F}">
      <dsp:nvSpPr>
        <dsp:cNvPr id="0" name=""/>
        <dsp:cNvSpPr/>
      </dsp:nvSpPr>
      <dsp:spPr>
        <a:xfrm rot="11316053">
          <a:off x="1640324" y="1126736"/>
          <a:ext cx="818332" cy="15958"/>
        </a:xfrm>
        <a:custGeom>
          <a:avLst/>
          <a:gdLst/>
          <a:ahLst/>
          <a:cxnLst/>
          <a:rect l="0" t="0" r="0" b="0"/>
          <a:pathLst>
            <a:path>
              <a:moveTo>
                <a:pt x="0" y="7514"/>
              </a:moveTo>
              <a:lnTo>
                <a:pt x="940004"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29032" y="1114257"/>
        <a:ext cx="40916" cy="40916"/>
      </dsp:txXfrm>
    </dsp:sp>
    <dsp:sp modelId="{77FEFA40-E907-476F-8675-3DC698720930}">
      <dsp:nvSpPr>
        <dsp:cNvPr id="0" name=""/>
        <dsp:cNvSpPr/>
      </dsp:nvSpPr>
      <dsp:spPr>
        <a:xfrm>
          <a:off x="5531" y="623543"/>
          <a:ext cx="1696977" cy="66071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22</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Gestión de programas y recursos</a:t>
          </a: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254048" y="720302"/>
        <a:ext cx="1199943" cy="467192"/>
      </dsp:txXfrm>
    </dsp:sp>
    <dsp:sp modelId="{EF98737B-1136-4CD3-A0AC-E4FF8E58DD83}">
      <dsp:nvSpPr>
        <dsp:cNvPr id="0" name=""/>
        <dsp:cNvSpPr/>
      </dsp:nvSpPr>
      <dsp:spPr>
        <a:xfrm rot="12897517">
          <a:off x="2083998" y="882632"/>
          <a:ext cx="755874" cy="15958"/>
        </a:xfrm>
        <a:custGeom>
          <a:avLst/>
          <a:gdLst/>
          <a:ahLst/>
          <a:cxnLst/>
          <a:rect l="0" t="0" r="0" b="0"/>
          <a:pathLst>
            <a:path>
              <a:moveTo>
                <a:pt x="0" y="7514"/>
              </a:moveTo>
              <a:lnTo>
                <a:pt x="717268"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43038" y="871715"/>
        <a:ext cx="37793" cy="37793"/>
      </dsp:txXfrm>
    </dsp:sp>
    <dsp:sp modelId="{C8187693-0532-46C7-A6F3-C4A32348C87B}">
      <dsp:nvSpPr>
        <dsp:cNvPr id="0" name=""/>
        <dsp:cNvSpPr/>
      </dsp:nvSpPr>
      <dsp:spPr>
        <a:xfrm>
          <a:off x="1236184" y="189915"/>
          <a:ext cx="1196703" cy="52412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La Haya</a:t>
          </a:r>
        </a:p>
      </dsp:txBody>
      <dsp:txXfrm>
        <a:off x="1411437" y="266671"/>
        <a:ext cx="846197" cy="370610"/>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264317" y="699137"/>
          <a:ext cx="1367366" cy="431510"/>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Arial" panose="020B0604020202020204" pitchFamily="34" charset="0"/>
              <a:ea typeface="+mn-ea"/>
              <a:cs typeface="Arial" panose="020B0604020202020204" pitchFamily="34" charset="0"/>
            </a:rPr>
            <a:t>Programa 17</a:t>
          </a:r>
        </a:p>
      </dsp:txBody>
      <dsp:txXfrm>
        <a:off x="2464563" y="762330"/>
        <a:ext cx="966874" cy="305124"/>
      </dsp:txXfrm>
    </dsp:sp>
    <dsp:sp modelId="{DB73B42A-BE4F-46BC-B512-015EB15734E7}">
      <dsp:nvSpPr>
        <dsp:cNvPr id="0" name=""/>
        <dsp:cNvSpPr/>
      </dsp:nvSpPr>
      <dsp:spPr>
        <a:xfrm rot="16275001">
          <a:off x="2854895" y="593046"/>
          <a:ext cx="199987" cy="12252"/>
        </a:xfrm>
        <a:custGeom>
          <a:avLst/>
          <a:gdLst/>
          <a:ahLst/>
          <a:cxnLst/>
          <a:rect l="0" t="0" r="0" b="0"/>
          <a:pathLst>
            <a:path>
              <a:moveTo>
                <a:pt x="0" y="6126"/>
              </a:moveTo>
              <a:lnTo>
                <a:pt x="257054"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49890" y="594173"/>
        <a:ext cx="9999" cy="9999"/>
      </dsp:txXfrm>
    </dsp:sp>
    <dsp:sp modelId="{8C16842D-5717-4E53-9353-18DF877708CF}">
      <dsp:nvSpPr>
        <dsp:cNvPr id="0" name=""/>
        <dsp:cNvSpPr/>
      </dsp:nvSpPr>
      <dsp:spPr>
        <a:xfrm>
          <a:off x="2348233" y="-10409"/>
          <a:ext cx="1228795" cy="50962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2</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Marcas, DD.II. e II.GG. </a:t>
          </a:r>
        </a:p>
      </dsp:txBody>
      <dsp:txXfrm>
        <a:off x="2528186" y="64223"/>
        <a:ext cx="868889" cy="360358"/>
      </dsp:txXfrm>
    </dsp:sp>
    <dsp:sp modelId="{F32845D8-3F89-45CE-82D0-5F6D6B81E25D}">
      <dsp:nvSpPr>
        <dsp:cNvPr id="0" name=""/>
        <dsp:cNvSpPr/>
      </dsp:nvSpPr>
      <dsp:spPr>
        <a:xfrm rot="20606743">
          <a:off x="3437978" y="707910"/>
          <a:ext cx="371500" cy="12252"/>
        </a:xfrm>
        <a:custGeom>
          <a:avLst/>
          <a:gdLst/>
          <a:ahLst/>
          <a:cxnLst/>
          <a:rect l="0" t="0" r="0" b="0"/>
          <a:pathLst>
            <a:path>
              <a:moveTo>
                <a:pt x="0" y="6126"/>
              </a:moveTo>
              <a:lnTo>
                <a:pt x="422238"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14440" y="704749"/>
        <a:ext cx="18575" cy="18575"/>
      </dsp:txXfrm>
    </dsp:sp>
    <dsp:sp modelId="{56946440-4960-4194-9471-9ABCF62950BA}">
      <dsp:nvSpPr>
        <dsp:cNvPr id="0" name=""/>
        <dsp:cNvSpPr/>
      </dsp:nvSpPr>
      <dsp:spPr>
        <a:xfrm>
          <a:off x="3688766" y="293470"/>
          <a:ext cx="1149312" cy="46084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3 </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D.A.D.C</a:t>
          </a:r>
        </a:p>
      </dsp:txBody>
      <dsp:txXfrm>
        <a:off x="3857079" y="360959"/>
        <a:ext cx="812686" cy="325863"/>
      </dsp:txXfrm>
    </dsp:sp>
    <dsp:sp modelId="{5337AE63-3722-42CC-AF72-36670EB7C5E1}">
      <dsp:nvSpPr>
        <dsp:cNvPr id="0" name=""/>
        <dsp:cNvSpPr/>
      </dsp:nvSpPr>
      <dsp:spPr>
        <a:xfrm rot="1080">
          <a:off x="3631683" y="909135"/>
          <a:ext cx="982468" cy="12252"/>
        </a:xfrm>
        <a:custGeom>
          <a:avLst/>
          <a:gdLst/>
          <a:ahLst/>
          <a:cxnLst/>
          <a:rect l="0" t="0" r="0" b="0"/>
          <a:pathLst>
            <a:path>
              <a:moveTo>
                <a:pt x="0" y="6126"/>
              </a:moveTo>
              <a:lnTo>
                <a:pt x="1068037"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098356" y="890700"/>
        <a:ext cx="49123" cy="49123"/>
      </dsp:txXfrm>
    </dsp:sp>
    <dsp:sp modelId="{CED9197C-8322-406B-917C-172FA36E7B76}">
      <dsp:nvSpPr>
        <dsp:cNvPr id="0" name=""/>
        <dsp:cNvSpPr/>
      </dsp:nvSpPr>
      <dsp:spPr>
        <a:xfrm>
          <a:off x="4614152" y="562353"/>
          <a:ext cx="1326272" cy="70654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9</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Oficinas regionales en la sede</a:t>
          </a:r>
        </a:p>
      </dsp:txBody>
      <dsp:txXfrm>
        <a:off x="4808380" y="665824"/>
        <a:ext cx="937816" cy="499599"/>
      </dsp:txXfrm>
    </dsp:sp>
    <dsp:sp modelId="{4AC11394-3179-4EC5-A97F-D1A1B521CE2F}">
      <dsp:nvSpPr>
        <dsp:cNvPr id="0" name=""/>
        <dsp:cNvSpPr/>
      </dsp:nvSpPr>
      <dsp:spPr>
        <a:xfrm rot="1039915">
          <a:off x="3426335" y="1111595"/>
          <a:ext cx="343191" cy="12252"/>
        </a:xfrm>
        <a:custGeom>
          <a:avLst/>
          <a:gdLst/>
          <a:ahLst/>
          <a:cxnLst/>
          <a:rect l="0" t="0" r="0" b="0"/>
          <a:pathLst>
            <a:path>
              <a:moveTo>
                <a:pt x="0" y="6126"/>
              </a:moveTo>
              <a:lnTo>
                <a:pt x="392192"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89351" y="1109141"/>
        <a:ext cx="17159" cy="17159"/>
      </dsp:txXfrm>
    </dsp:sp>
    <dsp:sp modelId="{035B4C9A-0916-4FCC-A1CF-85DB358A289A}">
      <dsp:nvSpPr>
        <dsp:cNvPr id="0" name=""/>
        <dsp:cNvSpPr/>
      </dsp:nvSpPr>
      <dsp:spPr>
        <a:xfrm>
          <a:off x="3664957" y="1051526"/>
          <a:ext cx="1140307" cy="53008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10</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Países T/D</a:t>
          </a:r>
        </a:p>
      </dsp:txBody>
      <dsp:txXfrm>
        <a:off x="3831951" y="1129155"/>
        <a:ext cx="806319" cy="374828"/>
      </dsp:txXfrm>
    </dsp:sp>
    <dsp:sp modelId="{64248C57-3CE0-4657-BC67-6279BA0257B1}">
      <dsp:nvSpPr>
        <dsp:cNvPr id="0" name=""/>
        <dsp:cNvSpPr/>
      </dsp:nvSpPr>
      <dsp:spPr>
        <a:xfrm rot="5388050">
          <a:off x="2886174" y="1187315"/>
          <a:ext cx="125587" cy="12252"/>
        </a:xfrm>
        <a:custGeom>
          <a:avLst/>
          <a:gdLst/>
          <a:ahLst/>
          <a:cxnLst/>
          <a:rect l="0" t="0" r="0" b="0"/>
          <a:pathLst>
            <a:path>
              <a:moveTo>
                <a:pt x="0" y="6126"/>
              </a:moveTo>
              <a:lnTo>
                <a:pt x="139216"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45829" y="1190301"/>
        <a:ext cx="6279" cy="6279"/>
      </dsp:txXfrm>
    </dsp:sp>
    <dsp:sp modelId="{976BA53C-17D4-4F7C-9078-1272C469C9E5}">
      <dsp:nvSpPr>
        <dsp:cNvPr id="0" name=""/>
        <dsp:cNvSpPr/>
      </dsp:nvSpPr>
      <dsp:spPr>
        <a:xfrm>
          <a:off x="2354231" y="1256234"/>
          <a:ext cx="1191506" cy="45904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11</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Academia de la OMPI</a:t>
          </a:r>
        </a:p>
      </dsp:txBody>
      <dsp:txXfrm>
        <a:off x="2528723" y="1323459"/>
        <a:ext cx="842522" cy="324592"/>
      </dsp:txXfrm>
    </dsp:sp>
    <dsp:sp modelId="{73944B9B-8143-474E-A2B5-719E57EA1FE0}">
      <dsp:nvSpPr>
        <dsp:cNvPr id="0" name=""/>
        <dsp:cNvSpPr/>
      </dsp:nvSpPr>
      <dsp:spPr>
        <a:xfrm rot="9635897">
          <a:off x="2202110" y="1118966"/>
          <a:ext cx="298108" cy="12252"/>
        </a:xfrm>
        <a:custGeom>
          <a:avLst/>
          <a:gdLst/>
          <a:ahLst/>
          <a:cxnLst/>
          <a:rect l="0" t="0" r="0" b="0"/>
          <a:pathLst>
            <a:path>
              <a:moveTo>
                <a:pt x="0" y="6126"/>
              </a:moveTo>
              <a:lnTo>
                <a:pt x="384499"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43711" y="1117639"/>
        <a:ext cx="14905" cy="14905"/>
      </dsp:txXfrm>
    </dsp:sp>
    <dsp:sp modelId="{2BDBEDDB-6DE8-44DC-8FC2-1ED793273BD1}">
      <dsp:nvSpPr>
        <dsp:cNvPr id="0" name=""/>
        <dsp:cNvSpPr/>
      </dsp:nvSpPr>
      <dsp:spPr>
        <a:xfrm>
          <a:off x="1074287" y="1015032"/>
          <a:ext cx="1231674" cy="68574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16</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Economía y estadística </a:t>
          </a:r>
        </a:p>
      </dsp:txBody>
      <dsp:txXfrm>
        <a:off x="1254661" y="1115456"/>
        <a:ext cx="870926" cy="484893"/>
      </dsp:txXfrm>
    </dsp:sp>
    <dsp:sp modelId="{ADF94B70-0D7F-4A27-8DF9-17BCD27F4A7A}">
      <dsp:nvSpPr>
        <dsp:cNvPr id="0" name=""/>
        <dsp:cNvSpPr/>
      </dsp:nvSpPr>
      <dsp:spPr>
        <a:xfrm rot="10802850">
          <a:off x="1259515" y="907783"/>
          <a:ext cx="1004803" cy="12252"/>
        </a:xfrm>
        <a:custGeom>
          <a:avLst/>
          <a:gdLst/>
          <a:ahLst/>
          <a:cxnLst/>
          <a:rect l="0" t="0" r="0" b="0"/>
          <a:pathLst>
            <a:path>
              <a:moveTo>
                <a:pt x="0" y="6126"/>
              </a:moveTo>
              <a:lnTo>
                <a:pt x="1090567"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736797" y="888789"/>
        <a:ext cx="50240" cy="50240"/>
      </dsp:txXfrm>
    </dsp:sp>
    <dsp:sp modelId="{0FAF3FA1-8E6C-455E-B189-A468B3F4D8BC}">
      <dsp:nvSpPr>
        <dsp:cNvPr id="0" name=""/>
        <dsp:cNvSpPr/>
      </dsp:nvSpPr>
      <dsp:spPr>
        <a:xfrm>
          <a:off x="22092" y="635314"/>
          <a:ext cx="1237424" cy="55533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19</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Comunicaciones</a:t>
          </a:r>
          <a:endParaRPr lang="en-US" sz="1000" kern="1200">
            <a:solidFill>
              <a:sysClr val="windowText" lastClr="000000"/>
            </a:solidFill>
            <a:latin typeface="Arial" panose="020B0604020202020204" pitchFamily="34" charset="0"/>
            <a:ea typeface="+mn-ea"/>
            <a:cs typeface="Arial" panose="020B0604020202020204" pitchFamily="34" charset="0"/>
          </a:endParaRPr>
        </a:p>
      </dsp:txBody>
      <dsp:txXfrm>
        <a:off x="203309" y="716640"/>
        <a:ext cx="874990" cy="392678"/>
      </dsp:txXfrm>
    </dsp:sp>
    <dsp:sp modelId="{7DF391B8-9498-4F55-ACE3-A6D0DB9A80F6}">
      <dsp:nvSpPr>
        <dsp:cNvPr id="0" name=""/>
        <dsp:cNvSpPr/>
      </dsp:nvSpPr>
      <dsp:spPr>
        <a:xfrm rot="12018079">
          <a:off x="2201807" y="690465"/>
          <a:ext cx="312179" cy="12252"/>
        </a:xfrm>
        <a:custGeom>
          <a:avLst/>
          <a:gdLst/>
          <a:ahLst/>
          <a:cxnLst/>
          <a:rect l="0" t="0" r="0" b="0"/>
          <a:pathLst>
            <a:path>
              <a:moveTo>
                <a:pt x="0" y="6126"/>
              </a:moveTo>
              <a:lnTo>
                <a:pt x="355209"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50093" y="688787"/>
        <a:ext cx="15608" cy="15608"/>
      </dsp:txXfrm>
    </dsp:sp>
    <dsp:sp modelId="{E3F75BBA-60EC-4D9A-B0CC-E18ADA53928C}">
      <dsp:nvSpPr>
        <dsp:cNvPr id="0" name=""/>
        <dsp:cNvSpPr/>
      </dsp:nvSpPr>
      <dsp:spPr>
        <a:xfrm>
          <a:off x="1065332" y="236260"/>
          <a:ext cx="1363893" cy="46888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20 </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Relaciones exteriores</a:t>
          </a:r>
        </a:p>
      </dsp:txBody>
      <dsp:txXfrm>
        <a:off x="1265070" y="304926"/>
        <a:ext cx="964417" cy="3315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246962" y="538314"/>
          <a:ext cx="1259174" cy="40901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a:t>
          </a:r>
        </a:p>
      </dsp:txBody>
      <dsp:txXfrm>
        <a:off x="2431364" y="598213"/>
        <a:ext cx="890370" cy="289221"/>
      </dsp:txXfrm>
    </dsp:sp>
    <dsp:sp modelId="{4AC11394-3179-4EC5-A97F-D1A1B521CE2F}">
      <dsp:nvSpPr>
        <dsp:cNvPr id="0" name=""/>
        <dsp:cNvSpPr/>
      </dsp:nvSpPr>
      <dsp:spPr>
        <a:xfrm rot="1134">
          <a:off x="3506136" y="736735"/>
          <a:ext cx="622177" cy="12797"/>
        </a:xfrm>
        <a:custGeom>
          <a:avLst/>
          <a:gdLst/>
          <a:ahLst/>
          <a:cxnLst/>
          <a:rect l="0" t="0" r="0" b="0"/>
          <a:pathLst>
            <a:path>
              <a:moveTo>
                <a:pt x="0" y="6398"/>
              </a:moveTo>
              <a:lnTo>
                <a:pt x="769072" y="63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801670" y="727580"/>
        <a:ext cx="31108" cy="31108"/>
      </dsp:txXfrm>
    </dsp:sp>
    <dsp:sp modelId="{035B4C9A-0916-4FCC-A1CF-85DB358A289A}">
      <dsp:nvSpPr>
        <dsp:cNvPr id="0" name=""/>
        <dsp:cNvSpPr/>
      </dsp:nvSpPr>
      <dsp:spPr>
        <a:xfrm>
          <a:off x="4128313" y="516645"/>
          <a:ext cx="1580246" cy="45370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pPr lvl="0" algn="ctr" defTabSz="4889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sp:txBody>
      <dsp:txXfrm>
        <a:off x="4359735" y="583088"/>
        <a:ext cx="1117402" cy="320818"/>
      </dsp:txXfrm>
    </dsp:sp>
    <dsp:sp modelId="{ADF94B70-0D7F-4A27-8DF9-17BCD27F4A7A}">
      <dsp:nvSpPr>
        <dsp:cNvPr id="0" name=""/>
        <dsp:cNvSpPr/>
      </dsp:nvSpPr>
      <dsp:spPr>
        <a:xfrm rot="10801296">
          <a:off x="1728239" y="736090"/>
          <a:ext cx="518724" cy="12797"/>
        </a:xfrm>
        <a:custGeom>
          <a:avLst/>
          <a:gdLst/>
          <a:ahLst/>
          <a:cxnLst/>
          <a:rect l="0" t="0" r="0" b="0"/>
          <a:pathLst>
            <a:path>
              <a:moveTo>
                <a:pt x="0" y="6398"/>
              </a:moveTo>
              <a:lnTo>
                <a:pt x="605386" y="63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74633" y="729520"/>
        <a:ext cx="25936" cy="25936"/>
      </dsp:txXfrm>
    </dsp:sp>
    <dsp:sp modelId="{0FAF3FA1-8E6C-455E-B189-A468B3F4D8BC}">
      <dsp:nvSpPr>
        <dsp:cNvPr id="0" name=""/>
        <dsp:cNvSpPr/>
      </dsp:nvSpPr>
      <dsp:spPr>
        <a:xfrm>
          <a:off x="466725" y="515049"/>
          <a:ext cx="1261513" cy="45420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  </a:t>
          </a:r>
        </a:p>
        <a:p>
          <a:pPr lvl="0" algn="ctr" defTabSz="4889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  </a:t>
          </a:r>
        </a:p>
      </dsp:txBody>
      <dsp:txXfrm>
        <a:off x="651469" y="581566"/>
        <a:ext cx="892025" cy="321173"/>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311157" y="773797"/>
          <a:ext cx="1348606" cy="40731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Arial" panose="020B0604020202020204" pitchFamily="34" charset="0"/>
              <a:ea typeface="+mn-ea"/>
              <a:cs typeface="Arial" panose="020B0604020202020204" pitchFamily="34" charset="0"/>
            </a:rPr>
            <a:t>Programa 18</a:t>
          </a:r>
        </a:p>
      </dsp:txBody>
      <dsp:txXfrm>
        <a:off x="2508656" y="833447"/>
        <a:ext cx="953608" cy="288019"/>
      </dsp:txXfrm>
    </dsp:sp>
    <dsp:sp modelId="{E887F142-3B93-49E1-A09D-1DCD207D21D1}">
      <dsp:nvSpPr>
        <dsp:cNvPr id="0" name=""/>
        <dsp:cNvSpPr/>
      </dsp:nvSpPr>
      <dsp:spPr>
        <a:xfrm rot="16514051">
          <a:off x="2935065" y="691893"/>
          <a:ext cx="151952" cy="12644"/>
        </a:xfrm>
        <a:custGeom>
          <a:avLst/>
          <a:gdLst/>
          <a:ahLst/>
          <a:cxnLst/>
          <a:rect l="0" t="0" r="0" b="0"/>
          <a:pathLst>
            <a:path>
              <a:moveTo>
                <a:pt x="0" y="6322"/>
              </a:moveTo>
              <a:lnTo>
                <a:pt x="283126"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07242" y="694416"/>
        <a:ext cx="7597" cy="7597"/>
      </dsp:txXfrm>
    </dsp:sp>
    <dsp:sp modelId="{3EA08C86-6A87-4381-A9A9-F10D993E2D53}">
      <dsp:nvSpPr>
        <dsp:cNvPr id="0" name=""/>
        <dsp:cNvSpPr/>
      </dsp:nvSpPr>
      <dsp:spPr>
        <a:xfrm>
          <a:off x="2427655" y="38501"/>
          <a:ext cx="1234113" cy="58432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1</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Derecho de patentes</a:t>
          </a:r>
          <a:endParaRPr lang="en-US" sz="1100" kern="1200">
            <a:solidFill>
              <a:sysClr val="windowText" lastClr="000000"/>
            </a:solidFill>
            <a:latin typeface="Arial" panose="020B0604020202020204" pitchFamily="34" charset="0"/>
            <a:ea typeface="+mn-ea"/>
            <a:cs typeface="Arial" panose="020B0604020202020204" pitchFamily="34" charset="0"/>
          </a:endParaRPr>
        </a:p>
      </dsp:txBody>
      <dsp:txXfrm>
        <a:off x="2608387" y="124074"/>
        <a:ext cx="872649" cy="413182"/>
      </dsp:txXfrm>
    </dsp:sp>
    <dsp:sp modelId="{00112A8F-12E8-45AC-B551-DFB66BE45059}">
      <dsp:nvSpPr>
        <dsp:cNvPr id="0" name=""/>
        <dsp:cNvSpPr/>
      </dsp:nvSpPr>
      <dsp:spPr>
        <a:xfrm rot="20325438">
          <a:off x="3382445" y="721116"/>
          <a:ext cx="492357" cy="12644"/>
        </a:xfrm>
        <a:custGeom>
          <a:avLst/>
          <a:gdLst/>
          <a:ahLst/>
          <a:cxnLst/>
          <a:rect l="0" t="0" r="0" b="0"/>
          <a:pathLst>
            <a:path>
              <a:moveTo>
                <a:pt x="0" y="6322"/>
              </a:moveTo>
              <a:lnTo>
                <a:pt x="717773"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16315" y="715129"/>
        <a:ext cx="24617" cy="24617"/>
      </dsp:txXfrm>
    </dsp:sp>
    <dsp:sp modelId="{423B6D89-2000-40C7-8429-BD38C7402395}">
      <dsp:nvSpPr>
        <dsp:cNvPr id="0" name=""/>
        <dsp:cNvSpPr/>
      </dsp:nvSpPr>
      <dsp:spPr>
        <a:xfrm>
          <a:off x="3700596" y="95693"/>
          <a:ext cx="1396567" cy="66464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9</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Oficinas regionales en la sede</a:t>
          </a:r>
        </a:p>
      </dsp:txBody>
      <dsp:txXfrm>
        <a:off x="3905119" y="193028"/>
        <a:ext cx="987521" cy="469973"/>
      </dsp:txXfrm>
    </dsp:sp>
    <dsp:sp modelId="{650854B0-9FE7-4FFD-96B2-18F6452E0859}">
      <dsp:nvSpPr>
        <dsp:cNvPr id="0" name=""/>
        <dsp:cNvSpPr/>
      </dsp:nvSpPr>
      <dsp:spPr>
        <a:xfrm rot="1232">
          <a:off x="3659763" y="971563"/>
          <a:ext cx="1043795" cy="12644"/>
        </a:xfrm>
        <a:custGeom>
          <a:avLst/>
          <a:gdLst/>
          <a:ahLst/>
          <a:cxnLst/>
          <a:rect l="0" t="0" r="0" b="0"/>
          <a:pathLst>
            <a:path>
              <a:moveTo>
                <a:pt x="0" y="6322"/>
              </a:moveTo>
              <a:lnTo>
                <a:pt x="1343028"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155566" y="951790"/>
        <a:ext cx="52189" cy="52189"/>
      </dsp:txXfrm>
    </dsp:sp>
    <dsp:sp modelId="{6394B413-6D12-4C4F-9A8D-E0508CAE8617}">
      <dsp:nvSpPr>
        <dsp:cNvPr id="0" name=""/>
        <dsp:cNvSpPr/>
      </dsp:nvSpPr>
      <dsp:spPr>
        <a:xfrm>
          <a:off x="4703558" y="742307"/>
          <a:ext cx="1202155" cy="47196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10</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Países T/D</a:t>
          </a:r>
        </a:p>
      </dsp:txBody>
      <dsp:txXfrm>
        <a:off x="4879610" y="811424"/>
        <a:ext cx="850051" cy="333726"/>
      </dsp:txXfrm>
    </dsp:sp>
    <dsp:sp modelId="{DEF09AAB-E09E-4486-8914-E37D47E60824}">
      <dsp:nvSpPr>
        <dsp:cNvPr id="0" name=""/>
        <dsp:cNvSpPr/>
      </dsp:nvSpPr>
      <dsp:spPr>
        <a:xfrm rot="10804604">
          <a:off x="1425056" y="969638"/>
          <a:ext cx="886107" cy="12644"/>
        </a:xfrm>
        <a:custGeom>
          <a:avLst/>
          <a:gdLst/>
          <a:ahLst/>
          <a:cxnLst/>
          <a:rect l="0" t="0" r="0" b="0"/>
          <a:pathLst>
            <a:path>
              <a:moveTo>
                <a:pt x="0" y="6322"/>
              </a:moveTo>
              <a:lnTo>
                <a:pt x="1114107"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45957" y="953807"/>
        <a:ext cx="44305" cy="44305"/>
      </dsp:txXfrm>
    </dsp:sp>
    <dsp:sp modelId="{2ED32773-10C9-4671-A0BF-4C0DAB40AE25}">
      <dsp:nvSpPr>
        <dsp:cNvPr id="0" name=""/>
        <dsp:cNvSpPr/>
      </dsp:nvSpPr>
      <dsp:spPr>
        <a:xfrm>
          <a:off x="227454" y="696523"/>
          <a:ext cx="1197604" cy="55608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11</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Academia de la OMPI</a:t>
          </a:r>
        </a:p>
      </dsp:txBody>
      <dsp:txXfrm>
        <a:off x="402839" y="777959"/>
        <a:ext cx="846834" cy="393211"/>
      </dsp:txXfrm>
    </dsp:sp>
    <dsp:sp modelId="{06FD983D-3F71-4BCE-AD7F-6DD1041A2F23}">
      <dsp:nvSpPr>
        <dsp:cNvPr id="0" name=""/>
        <dsp:cNvSpPr/>
      </dsp:nvSpPr>
      <dsp:spPr>
        <a:xfrm rot="12160169">
          <a:off x="2173974" y="722639"/>
          <a:ext cx="433100" cy="12644"/>
        </a:xfrm>
        <a:custGeom>
          <a:avLst/>
          <a:gdLst/>
          <a:ahLst/>
          <a:cxnLst/>
          <a:rect l="0" t="0" r="0" b="0"/>
          <a:pathLst>
            <a:path>
              <a:moveTo>
                <a:pt x="0" y="6322"/>
              </a:moveTo>
              <a:lnTo>
                <a:pt x="586918"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79696" y="718134"/>
        <a:ext cx="21655" cy="21655"/>
      </dsp:txXfrm>
    </dsp:sp>
    <dsp:sp modelId="{CFBB929F-8BEB-442D-8D00-28EE1C02C39C}">
      <dsp:nvSpPr>
        <dsp:cNvPr id="0" name=""/>
        <dsp:cNvSpPr/>
      </dsp:nvSpPr>
      <dsp:spPr>
        <a:xfrm>
          <a:off x="980614" y="138225"/>
          <a:ext cx="1415890" cy="59507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ea typeface="+mn-ea"/>
              <a:cs typeface="Arial" panose="020B0604020202020204" pitchFamily="34" charset="0"/>
            </a:rPr>
            <a:t>Programa 20</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Relaciones exteriores</a:t>
          </a:r>
        </a:p>
      </dsp:txBody>
      <dsp:txXfrm>
        <a:off x="1187966" y="225372"/>
        <a:ext cx="1001186" cy="420781"/>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232751" y="1105744"/>
          <a:ext cx="1318639" cy="461288"/>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20 </a:t>
          </a:r>
        </a:p>
      </dsp:txBody>
      <dsp:txXfrm>
        <a:off x="2425861" y="1173298"/>
        <a:ext cx="932419" cy="326180"/>
      </dsp:txXfrm>
    </dsp:sp>
    <dsp:sp modelId="{E6ACA703-0949-41B3-BE6B-C702E5C7275F}">
      <dsp:nvSpPr>
        <dsp:cNvPr id="0" name=""/>
        <dsp:cNvSpPr/>
      </dsp:nvSpPr>
      <dsp:spPr>
        <a:xfrm rot="16200000">
          <a:off x="2601588" y="807904"/>
          <a:ext cx="580965" cy="14715"/>
        </a:xfrm>
        <a:custGeom>
          <a:avLst/>
          <a:gdLst/>
          <a:ahLst/>
          <a:cxnLst/>
          <a:rect l="0" t="0" r="0" b="0"/>
          <a:pathLst>
            <a:path>
              <a:moveTo>
                <a:pt x="0" y="7357"/>
              </a:moveTo>
              <a:lnTo>
                <a:pt x="580965" y="735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877547" y="800737"/>
        <a:ext cx="29048" cy="29048"/>
      </dsp:txXfrm>
    </dsp:sp>
    <dsp:sp modelId="{AFD0CC05-9AD4-4A51-8739-4FB4CA1E4ACE}">
      <dsp:nvSpPr>
        <dsp:cNvPr id="0" name=""/>
        <dsp:cNvSpPr/>
      </dsp:nvSpPr>
      <dsp:spPr>
        <a:xfrm>
          <a:off x="2412805" y="-29008"/>
          <a:ext cx="958532" cy="55378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 </a:t>
          </a:r>
        </a:p>
        <a:p>
          <a:pPr lvl="0" algn="ctr"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Derecho de patentes</a:t>
          </a:r>
        </a:p>
      </dsp:txBody>
      <dsp:txXfrm>
        <a:off x="2553179" y="52092"/>
        <a:ext cx="677784" cy="391587"/>
      </dsp:txXfrm>
    </dsp:sp>
    <dsp:sp modelId="{34515D96-C834-4D67-AF5C-3B293601CBC3}">
      <dsp:nvSpPr>
        <dsp:cNvPr id="0" name=""/>
        <dsp:cNvSpPr/>
      </dsp:nvSpPr>
      <dsp:spPr>
        <a:xfrm rot="18912243">
          <a:off x="3003667" y="850661"/>
          <a:ext cx="740387" cy="14715"/>
        </a:xfrm>
        <a:custGeom>
          <a:avLst/>
          <a:gdLst/>
          <a:ahLst/>
          <a:cxnLst/>
          <a:rect l="0" t="0" r="0" b="0"/>
          <a:pathLst>
            <a:path>
              <a:moveTo>
                <a:pt x="0" y="7357"/>
              </a:moveTo>
              <a:lnTo>
                <a:pt x="740387" y="735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55351" y="839509"/>
        <a:ext cx="37019" cy="37019"/>
      </dsp:txXfrm>
    </dsp:sp>
    <dsp:sp modelId="{D9366F31-B7D7-4B43-830C-AD5E2193A794}">
      <dsp:nvSpPr>
        <dsp:cNvPr id="0" name=""/>
        <dsp:cNvSpPr/>
      </dsp:nvSpPr>
      <dsp:spPr>
        <a:xfrm>
          <a:off x="3365568" y="82943"/>
          <a:ext cx="1027245" cy="54666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 </a:t>
          </a:r>
        </a:p>
        <a:p>
          <a:pPr lvl="0" algn="ctr"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Marcas, DD.II e II.GG</a:t>
          </a:r>
        </a:p>
      </dsp:txBody>
      <dsp:txXfrm>
        <a:off x="3516005" y="163000"/>
        <a:ext cx="726371" cy="386550"/>
      </dsp:txXfrm>
    </dsp:sp>
    <dsp:sp modelId="{3F0F15B6-4D5A-493B-B03E-AE8141DC3DCE}">
      <dsp:nvSpPr>
        <dsp:cNvPr id="0" name=""/>
        <dsp:cNvSpPr/>
      </dsp:nvSpPr>
      <dsp:spPr>
        <a:xfrm rot="20410331">
          <a:off x="3321358" y="992900"/>
          <a:ext cx="1005865" cy="14715"/>
        </a:xfrm>
        <a:custGeom>
          <a:avLst/>
          <a:gdLst/>
          <a:ahLst/>
          <a:cxnLst/>
          <a:rect l="0" t="0" r="0" b="0"/>
          <a:pathLst>
            <a:path>
              <a:moveTo>
                <a:pt x="0" y="7357"/>
              </a:moveTo>
              <a:lnTo>
                <a:pt x="1005865" y="735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99144" y="975111"/>
        <a:ext cx="50293" cy="50293"/>
      </dsp:txXfrm>
    </dsp:sp>
    <dsp:sp modelId="{ECD2D13D-466C-468B-BD6C-1B646D8E5B8E}">
      <dsp:nvSpPr>
        <dsp:cNvPr id="0" name=""/>
        <dsp:cNvSpPr/>
      </dsp:nvSpPr>
      <dsp:spPr>
        <a:xfrm>
          <a:off x="4185017" y="392489"/>
          <a:ext cx="1132256" cy="54714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s-ES_tradnl" sz="800" kern="1200">
              <a:latin typeface="Arial" panose="020B0604020202020204" pitchFamily="34" charset="0"/>
              <a:cs typeface="Arial" panose="020B0604020202020204" pitchFamily="34" charset="0"/>
            </a:rPr>
            <a:t>D.A.D.C. </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350832" y="472616"/>
        <a:ext cx="800626" cy="386890"/>
      </dsp:txXfrm>
    </dsp:sp>
    <dsp:sp modelId="{5CF8296B-0142-429D-A71A-20799D2EB74B}">
      <dsp:nvSpPr>
        <dsp:cNvPr id="0" name=""/>
        <dsp:cNvSpPr/>
      </dsp:nvSpPr>
      <dsp:spPr>
        <a:xfrm rot="21475584">
          <a:off x="3547567" y="1287587"/>
          <a:ext cx="978281" cy="14715"/>
        </a:xfrm>
        <a:custGeom>
          <a:avLst/>
          <a:gdLst/>
          <a:ahLst/>
          <a:cxnLst/>
          <a:rect l="0" t="0" r="0" b="0"/>
          <a:pathLst>
            <a:path>
              <a:moveTo>
                <a:pt x="0" y="7357"/>
              </a:moveTo>
              <a:lnTo>
                <a:pt x="978281" y="735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012251" y="1270488"/>
        <a:ext cx="48914" cy="48914"/>
      </dsp:txXfrm>
    </dsp:sp>
    <dsp:sp modelId="{7E7DDE23-6C04-407D-AAB6-669511EA704E}">
      <dsp:nvSpPr>
        <dsp:cNvPr id="0" name=""/>
        <dsp:cNvSpPr/>
      </dsp:nvSpPr>
      <dsp:spPr>
        <a:xfrm>
          <a:off x="4523990" y="979301"/>
          <a:ext cx="1132468" cy="55499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4 </a:t>
          </a:r>
        </a:p>
        <a:p>
          <a:pPr lvl="0" algn="ctr"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CC.TT., ECT y RR.GG.</a:t>
          </a:r>
        </a:p>
      </dsp:txBody>
      <dsp:txXfrm>
        <a:off x="4689836" y="1060579"/>
        <a:ext cx="800776" cy="392442"/>
      </dsp:txXfrm>
    </dsp:sp>
    <dsp:sp modelId="{DC281168-2DBC-4CFB-B21D-C54E9628B383}">
      <dsp:nvSpPr>
        <dsp:cNvPr id="0" name=""/>
        <dsp:cNvSpPr/>
      </dsp:nvSpPr>
      <dsp:spPr>
        <a:xfrm rot="844639">
          <a:off x="3414745" y="1570251"/>
          <a:ext cx="878551" cy="14715"/>
        </a:xfrm>
        <a:custGeom>
          <a:avLst/>
          <a:gdLst/>
          <a:ahLst/>
          <a:cxnLst/>
          <a:rect l="0" t="0" r="0" b="0"/>
          <a:pathLst>
            <a:path>
              <a:moveTo>
                <a:pt x="0" y="7357"/>
              </a:moveTo>
              <a:lnTo>
                <a:pt x="878551" y="735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32057" y="1555645"/>
        <a:ext cx="43927" cy="43927"/>
      </dsp:txXfrm>
    </dsp:sp>
    <dsp:sp modelId="{66DADE40-99AE-41BE-B997-129EED231064}">
      <dsp:nvSpPr>
        <dsp:cNvPr id="0" name=""/>
        <dsp:cNvSpPr/>
      </dsp:nvSpPr>
      <dsp:spPr>
        <a:xfrm>
          <a:off x="4229056" y="1549992"/>
          <a:ext cx="968567" cy="48620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a:t>
          </a:r>
        </a:p>
      </dsp:txBody>
      <dsp:txXfrm>
        <a:off x="4370899" y="1621194"/>
        <a:ext cx="684881" cy="343797"/>
      </dsp:txXfrm>
    </dsp:sp>
    <dsp:sp modelId="{4DF1B0BE-A63A-4BEA-9EE5-4168481CC99E}">
      <dsp:nvSpPr>
        <dsp:cNvPr id="0" name=""/>
        <dsp:cNvSpPr/>
      </dsp:nvSpPr>
      <dsp:spPr>
        <a:xfrm rot="2563085">
          <a:off x="3055281" y="1724673"/>
          <a:ext cx="530542" cy="14715"/>
        </a:xfrm>
        <a:custGeom>
          <a:avLst/>
          <a:gdLst/>
          <a:ahLst/>
          <a:cxnLst/>
          <a:rect l="0" t="0" r="0" b="0"/>
          <a:pathLst>
            <a:path>
              <a:moveTo>
                <a:pt x="0" y="7357"/>
              </a:moveTo>
              <a:lnTo>
                <a:pt x="530542" y="735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07289" y="1718767"/>
        <a:ext cx="26527" cy="26527"/>
      </dsp:txXfrm>
    </dsp:sp>
    <dsp:sp modelId="{DB594876-4070-4577-942D-67F5CD4D6A19}">
      <dsp:nvSpPr>
        <dsp:cNvPr id="0" name=""/>
        <dsp:cNvSpPr/>
      </dsp:nvSpPr>
      <dsp:spPr>
        <a:xfrm>
          <a:off x="3190381" y="1882802"/>
          <a:ext cx="1180254" cy="54786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Madrid </a:t>
          </a:r>
        </a:p>
      </dsp:txBody>
      <dsp:txXfrm>
        <a:off x="3363225" y="1963035"/>
        <a:ext cx="834566" cy="387399"/>
      </dsp:txXfrm>
    </dsp:sp>
    <dsp:sp modelId="{E49C447F-3477-4311-B10B-FFFA7DE7209F}">
      <dsp:nvSpPr>
        <dsp:cNvPr id="0" name=""/>
        <dsp:cNvSpPr/>
      </dsp:nvSpPr>
      <dsp:spPr>
        <a:xfrm rot="7089375">
          <a:off x="2412643" y="1770236"/>
          <a:ext cx="486579" cy="14715"/>
        </a:xfrm>
        <a:custGeom>
          <a:avLst/>
          <a:gdLst/>
          <a:ahLst/>
          <a:cxnLst/>
          <a:rect l="0" t="0" r="0" b="0"/>
          <a:pathLst>
            <a:path>
              <a:moveTo>
                <a:pt x="0" y="7357"/>
              </a:moveTo>
              <a:lnTo>
                <a:pt x="486579" y="735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643768" y="1765429"/>
        <a:ext cx="24328" cy="24328"/>
      </dsp:txXfrm>
    </dsp:sp>
    <dsp:sp modelId="{69F18085-0AC3-4BAE-9B16-F8478FFBD61E}">
      <dsp:nvSpPr>
        <dsp:cNvPr id="0" name=""/>
        <dsp:cNvSpPr/>
      </dsp:nvSpPr>
      <dsp:spPr>
        <a:xfrm>
          <a:off x="1824846" y="1985897"/>
          <a:ext cx="1172617" cy="49808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 </a:t>
          </a:r>
        </a:p>
        <a:p>
          <a:pPr lvl="0" algn="ctr"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 </a:t>
          </a:r>
        </a:p>
      </dsp:txBody>
      <dsp:txXfrm>
        <a:off x="1996572" y="2058840"/>
        <a:ext cx="829165" cy="352201"/>
      </dsp:txXfrm>
    </dsp:sp>
    <dsp:sp modelId="{FCC14444-D5E7-4E9C-B980-A27CD799E442}">
      <dsp:nvSpPr>
        <dsp:cNvPr id="0" name=""/>
        <dsp:cNvSpPr/>
      </dsp:nvSpPr>
      <dsp:spPr>
        <a:xfrm rot="9571853">
          <a:off x="1701715" y="1630839"/>
          <a:ext cx="763608" cy="14715"/>
        </a:xfrm>
        <a:custGeom>
          <a:avLst/>
          <a:gdLst/>
          <a:ahLst/>
          <a:cxnLst/>
          <a:rect l="0" t="0" r="0" b="0"/>
          <a:pathLst>
            <a:path>
              <a:moveTo>
                <a:pt x="0" y="7357"/>
              </a:moveTo>
              <a:lnTo>
                <a:pt x="763608" y="735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64429" y="1619107"/>
        <a:ext cx="38180" cy="38180"/>
      </dsp:txXfrm>
    </dsp:sp>
    <dsp:sp modelId="{49C45DFA-0A15-4DAA-80DC-CAE4ABCC6B43}">
      <dsp:nvSpPr>
        <dsp:cNvPr id="0" name=""/>
        <dsp:cNvSpPr/>
      </dsp:nvSpPr>
      <dsp:spPr>
        <a:xfrm>
          <a:off x="574135" y="1671445"/>
          <a:ext cx="1308383" cy="57193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14 </a:t>
          </a:r>
        </a:p>
        <a:p>
          <a:pPr lvl="0" algn="ctr"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Acceso a la info. y conocimientos </a:t>
          </a:r>
        </a:p>
      </dsp:txBody>
      <dsp:txXfrm>
        <a:off x="765743" y="1755204"/>
        <a:ext cx="925167" cy="404421"/>
      </dsp:txXfrm>
    </dsp:sp>
    <dsp:sp modelId="{7B59CB2C-C82F-41EE-B3CF-ADD4878ADBA6}">
      <dsp:nvSpPr>
        <dsp:cNvPr id="0" name=""/>
        <dsp:cNvSpPr/>
      </dsp:nvSpPr>
      <dsp:spPr>
        <a:xfrm rot="10711371">
          <a:off x="1263624" y="1358503"/>
          <a:ext cx="971072" cy="14715"/>
        </a:xfrm>
        <a:custGeom>
          <a:avLst/>
          <a:gdLst/>
          <a:ahLst/>
          <a:cxnLst/>
          <a:rect l="0" t="0" r="0" b="0"/>
          <a:pathLst>
            <a:path>
              <a:moveTo>
                <a:pt x="0" y="7357"/>
              </a:moveTo>
              <a:lnTo>
                <a:pt x="971072" y="735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724884" y="1341584"/>
        <a:ext cx="48553" cy="48553"/>
      </dsp:txXfrm>
    </dsp:sp>
    <dsp:sp modelId="{402B25BB-F397-46B5-AAB7-C38C2276BF82}">
      <dsp:nvSpPr>
        <dsp:cNvPr id="0" name=""/>
        <dsp:cNvSpPr/>
      </dsp:nvSpPr>
      <dsp:spPr>
        <a:xfrm>
          <a:off x="88993" y="1085885"/>
          <a:ext cx="1175505" cy="6152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15 </a:t>
          </a:r>
        </a:p>
        <a:p>
          <a:pPr lvl="0" algn="ctr" defTabSz="400050">
            <a:lnSpc>
              <a:spcPct val="90000"/>
            </a:lnSpc>
            <a:spcBef>
              <a:spcPct val="0"/>
            </a:spcBef>
            <a:spcAft>
              <a:spcPct val="35000"/>
            </a:spcAft>
          </a:pPr>
          <a:r>
            <a:rPr lang="en-US" sz="800" kern="1200">
              <a:solidFill>
                <a:sysClr val="windowText" lastClr="000000"/>
              </a:solidFill>
              <a:latin typeface="Arial" panose="020B0604020202020204" pitchFamily="34" charset="0"/>
              <a:ea typeface="+mn-ea"/>
              <a:cs typeface="Arial" panose="020B0604020202020204" pitchFamily="34" charset="0"/>
            </a:rPr>
            <a:t>Soluciones operativas para las OPI</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1142" y="1175987"/>
        <a:ext cx="831207" cy="435054"/>
      </dsp:txXfrm>
    </dsp:sp>
    <dsp:sp modelId="{EFB9CB5A-411C-454B-96B1-9ED988829CBE}">
      <dsp:nvSpPr>
        <dsp:cNvPr id="0" name=""/>
        <dsp:cNvSpPr/>
      </dsp:nvSpPr>
      <dsp:spPr>
        <a:xfrm rot="11790448">
          <a:off x="1370044" y="1032134"/>
          <a:ext cx="1040402" cy="14715"/>
        </a:xfrm>
        <a:custGeom>
          <a:avLst/>
          <a:gdLst/>
          <a:ahLst/>
          <a:cxnLst/>
          <a:rect l="0" t="0" r="0" b="0"/>
          <a:pathLst>
            <a:path>
              <a:moveTo>
                <a:pt x="0" y="7357"/>
              </a:moveTo>
              <a:lnTo>
                <a:pt x="1040402" y="735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864235" y="1013482"/>
        <a:ext cx="52020" cy="52020"/>
      </dsp:txXfrm>
    </dsp:sp>
    <dsp:sp modelId="{5AF8D9AC-0C15-4D1B-BCD3-7FFCFF0A581D}">
      <dsp:nvSpPr>
        <dsp:cNvPr id="0" name=""/>
        <dsp:cNvSpPr/>
      </dsp:nvSpPr>
      <dsp:spPr>
        <a:xfrm>
          <a:off x="383827" y="424517"/>
          <a:ext cx="1060326" cy="65131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17 </a:t>
          </a:r>
        </a:p>
        <a:p>
          <a:pPr lvl="0" algn="ctr"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Fomentar el respeto por la P.I.  </a:t>
          </a:r>
        </a:p>
      </dsp:txBody>
      <dsp:txXfrm>
        <a:off x="539108" y="519900"/>
        <a:ext cx="749764" cy="460547"/>
      </dsp:txXfrm>
    </dsp:sp>
    <dsp:sp modelId="{EA581F84-B016-4CDB-99D6-9E3DD9F505FC}">
      <dsp:nvSpPr>
        <dsp:cNvPr id="0" name=""/>
        <dsp:cNvSpPr/>
      </dsp:nvSpPr>
      <dsp:spPr>
        <a:xfrm rot="13360492">
          <a:off x="2018029" y="863323"/>
          <a:ext cx="737830" cy="14715"/>
        </a:xfrm>
        <a:custGeom>
          <a:avLst/>
          <a:gdLst/>
          <a:ahLst/>
          <a:cxnLst/>
          <a:rect l="0" t="0" r="0" b="0"/>
          <a:pathLst>
            <a:path>
              <a:moveTo>
                <a:pt x="0" y="7357"/>
              </a:moveTo>
              <a:lnTo>
                <a:pt x="737830" y="735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68498" y="852235"/>
        <a:ext cx="36891" cy="36891"/>
      </dsp:txXfrm>
    </dsp:sp>
    <dsp:sp modelId="{0BAA02DA-E841-4BF5-8708-178825E9BEE2}">
      <dsp:nvSpPr>
        <dsp:cNvPr id="0" name=""/>
        <dsp:cNvSpPr/>
      </dsp:nvSpPr>
      <dsp:spPr>
        <a:xfrm>
          <a:off x="1269896" y="0"/>
          <a:ext cx="1082403" cy="67954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18</a:t>
          </a:r>
        </a:p>
        <a:p>
          <a:pPr lvl="0" algn="ctr"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P.I. y desafíos mundiales</a:t>
          </a:r>
        </a:p>
      </dsp:txBody>
      <dsp:txXfrm>
        <a:off x="1428410" y="99517"/>
        <a:ext cx="765375" cy="48051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419622" y="708011"/>
          <a:ext cx="1208221" cy="407228"/>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a:t>
          </a:r>
        </a:p>
      </dsp:txBody>
      <dsp:txXfrm>
        <a:off x="2596562" y="767648"/>
        <a:ext cx="854341" cy="287954"/>
      </dsp:txXfrm>
    </dsp:sp>
    <dsp:sp modelId="{5337AE63-3722-42CC-AF72-36670EB7C5E1}">
      <dsp:nvSpPr>
        <dsp:cNvPr id="0" name=""/>
        <dsp:cNvSpPr/>
      </dsp:nvSpPr>
      <dsp:spPr>
        <a:xfrm rot="16231713">
          <a:off x="2907298" y="582433"/>
          <a:ext cx="238829" cy="12339"/>
        </a:xfrm>
        <a:custGeom>
          <a:avLst/>
          <a:gdLst/>
          <a:ahLst/>
          <a:cxnLst/>
          <a:rect l="0" t="0" r="0" b="0"/>
          <a:pathLst>
            <a:path>
              <a:moveTo>
                <a:pt x="0" y="6169"/>
              </a:moveTo>
              <a:lnTo>
                <a:pt x="238957"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20741" y="582632"/>
        <a:ext cx="11941" cy="11941"/>
      </dsp:txXfrm>
    </dsp:sp>
    <dsp:sp modelId="{CED9197C-8322-406B-917C-172FA36E7B76}">
      <dsp:nvSpPr>
        <dsp:cNvPr id="0" name=""/>
        <dsp:cNvSpPr/>
      </dsp:nvSpPr>
      <dsp:spPr>
        <a:xfrm>
          <a:off x="2505127" y="23736"/>
          <a:ext cx="1049483" cy="4454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8</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C.A.D.</a:t>
          </a:r>
        </a:p>
      </dsp:txBody>
      <dsp:txXfrm>
        <a:off x="2658820" y="88972"/>
        <a:ext cx="742097" cy="314986"/>
      </dsp:txXfrm>
    </dsp:sp>
    <dsp:sp modelId="{4AC11394-3179-4EC5-A97F-D1A1B521CE2F}">
      <dsp:nvSpPr>
        <dsp:cNvPr id="0" name=""/>
        <dsp:cNvSpPr/>
      </dsp:nvSpPr>
      <dsp:spPr>
        <a:xfrm rot="20243593">
          <a:off x="3382883" y="642482"/>
          <a:ext cx="544782" cy="12339"/>
        </a:xfrm>
        <a:custGeom>
          <a:avLst/>
          <a:gdLst/>
          <a:ahLst/>
          <a:cxnLst/>
          <a:rect l="0" t="0" r="0" b="0"/>
          <a:pathLst>
            <a:path>
              <a:moveTo>
                <a:pt x="0" y="6169"/>
              </a:moveTo>
              <a:lnTo>
                <a:pt x="566821"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41655" y="635032"/>
        <a:ext cx="27239" cy="27239"/>
      </dsp:txXfrm>
    </dsp:sp>
    <dsp:sp modelId="{035B4C9A-0916-4FCC-A1CF-85DB358A289A}">
      <dsp:nvSpPr>
        <dsp:cNvPr id="0" name=""/>
        <dsp:cNvSpPr/>
      </dsp:nvSpPr>
      <dsp:spPr>
        <a:xfrm>
          <a:off x="3645584" y="122250"/>
          <a:ext cx="1408145" cy="47452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sp:txBody>
      <dsp:txXfrm>
        <a:off x="3851802" y="191742"/>
        <a:ext cx="995709" cy="335538"/>
      </dsp:txXfrm>
    </dsp:sp>
    <dsp:sp modelId="{ADF94B70-0D7F-4A27-8DF9-17BCD27F4A7A}">
      <dsp:nvSpPr>
        <dsp:cNvPr id="0" name=""/>
        <dsp:cNvSpPr/>
      </dsp:nvSpPr>
      <dsp:spPr>
        <a:xfrm rot="551">
          <a:off x="3627843" y="905644"/>
          <a:ext cx="1148357" cy="12339"/>
        </a:xfrm>
        <a:custGeom>
          <a:avLst/>
          <a:gdLst/>
          <a:ahLst/>
          <a:cxnLst/>
          <a:rect l="0" t="0" r="0" b="0"/>
          <a:pathLst>
            <a:path>
              <a:moveTo>
                <a:pt x="0" y="6169"/>
              </a:moveTo>
              <a:lnTo>
                <a:pt x="1149022"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173313" y="883105"/>
        <a:ext cx="57417" cy="57417"/>
      </dsp:txXfrm>
    </dsp:sp>
    <dsp:sp modelId="{0FAF3FA1-8E6C-455E-B189-A468B3F4D8BC}">
      <dsp:nvSpPr>
        <dsp:cNvPr id="0" name=""/>
        <dsp:cNvSpPr/>
      </dsp:nvSpPr>
      <dsp:spPr>
        <a:xfrm>
          <a:off x="4776200" y="660499"/>
          <a:ext cx="1164224" cy="50300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a:t>
          </a:r>
        </a:p>
      </dsp:txBody>
      <dsp:txXfrm>
        <a:off x="4946697" y="734162"/>
        <a:ext cx="823230" cy="355674"/>
      </dsp:txXfrm>
    </dsp:sp>
    <dsp:sp modelId="{447FEE0B-EFE1-4BAD-80EF-66C3DD36014A}">
      <dsp:nvSpPr>
        <dsp:cNvPr id="0" name=""/>
        <dsp:cNvSpPr/>
      </dsp:nvSpPr>
      <dsp:spPr>
        <a:xfrm rot="1168161">
          <a:off x="3435416" y="1083022"/>
          <a:ext cx="181206" cy="12339"/>
        </a:xfrm>
        <a:custGeom>
          <a:avLst/>
          <a:gdLst/>
          <a:ahLst/>
          <a:cxnLst/>
          <a:rect l="0" t="0" r="0" b="0"/>
          <a:pathLst>
            <a:path>
              <a:moveTo>
                <a:pt x="0" y="6169"/>
              </a:moveTo>
              <a:lnTo>
                <a:pt x="229885"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21489" y="1084662"/>
        <a:ext cx="9060" cy="9060"/>
      </dsp:txXfrm>
    </dsp:sp>
    <dsp:sp modelId="{3F1A2A14-E080-4448-96C3-A8E6002E7EE2}">
      <dsp:nvSpPr>
        <dsp:cNvPr id="0" name=""/>
        <dsp:cNvSpPr/>
      </dsp:nvSpPr>
      <dsp:spPr>
        <a:xfrm>
          <a:off x="3446571" y="1028412"/>
          <a:ext cx="1327319" cy="53461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Academia de la OMPI</a:t>
          </a:r>
        </a:p>
      </dsp:txBody>
      <dsp:txXfrm>
        <a:off x="3640952" y="1106705"/>
        <a:ext cx="938557" cy="378031"/>
      </dsp:txXfrm>
    </dsp:sp>
    <dsp:sp modelId="{E64AB50F-BCCF-45E7-A4E4-85ABC4F0C76B}">
      <dsp:nvSpPr>
        <dsp:cNvPr id="0" name=""/>
        <dsp:cNvSpPr/>
      </dsp:nvSpPr>
      <dsp:spPr>
        <a:xfrm rot="9567707">
          <a:off x="2440037" y="1089376"/>
          <a:ext cx="185551" cy="12339"/>
        </a:xfrm>
        <a:custGeom>
          <a:avLst/>
          <a:gdLst/>
          <a:ahLst/>
          <a:cxnLst/>
          <a:rect l="0" t="0" r="0" b="0"/>
          <a:pathLst>
            <a:path>
              <a:moveTo>
                <a:pt x="0" y="6169"/>
              </a:moveTo>
              <a:lnTo>
                <a:pt x="215118"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528174" y="1090907"/>
        <a:ext cx="9277" cy="9277"/>
      </dsp:txXfrm>
    </dsp:sp>
    <dsp:sp modelId="{97004BB0-64D3-4A92-A1C1-813788F5650F}">
      <dsp:nvSpPr>
        <dsp:cNvPr id="0" name=""/>
        <dsp:cNvSpPr/>
      </dsp:nvSpPr>
      <dsp:spPr>
        <a:xfrm>
          <a:off x="1215105" y="1018965"/>
          <a:ext cx="1396340" cy="61737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15</a:t>
          </a:r>
        </a:p>
        <a:p>
          <a:pPr lvl="0" algn="ctr" defTabSz="444500">
            <a:lnSpc>
              <a:spcPct val="90000"/>
            </a:lnSpc>
            <a:spcBef>
              <a:spcPct val="0"/>
            </a:spcBef>
            <a:spcAft>
              <a:spcPct val="35000"/>
            </a:spcAft>
          </a:pPr>
          <a:r>
            <a:rPr lang="en-US" sz="900" kern="1200" baseline="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Soluciones operativas para las oficinas de P.I. </a:t>
          </a:r>
        </a:p>
      </dsp:txBody>
      <dsp:txXfrm>
        <a:off x="1419594" y="1109377"/>
        <a:ext cx="987362" cy="436550"/>
      </dsp:txXfrm>
    </dsp:sp>
    <dsp:sp modelId="{D74286FF-AAFA-441A-87F1-98384D680093}">
      <dsp:nvSpPr>
        <dsp:cNvPr id="0" name=""/>
        <dsp:cNvSpPr/>
      </dsp:nvSpPr>
      <dsp:spPr>
        <a:xfrm rot="10797497">
          <a:off x="1389803" y="906270"/>
          <a:ext cx="1029819" cy="12339"/>
        </a:xfrm>
        <a:custGeom>
          <a:avLst/>
          <a:gdLst/>
          <a:ahLst/>
          <a:cxnLst/>
          <a:rect l="0" t="0" r="0" b="0"/>
          <a:pathLst>
            <a:path>
              <a:moveTo>
                <a:pt x="0" y="6169"/>
              </a:moveTo>
              <a:lnTo>
                <a:pt x="1030370"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78968" y="886694"/>
        <a:ext cx="51490" cy="51490"/>
      </dsp:txXfrm>
    </dsp:sp>
    <dsp:sp modelId="{755CFD49-3313-42A9-A1A9-D99CF689F3D7}">
      <dsp:nvSpPr>
        <dsp:cNvPr id="0" name=""/>
        <dsp:cNvSpPr/>
      </dsp:nvSpPr>
      <dsp:spPr>
        <a:xfrm>
          <a:off x="3433" y="634912"/>
          <a:ext cx="1386371" cy="55681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Relaciones exteriores</a:t>
          </a:r>
          <a:endParaRPr lang="en-US" sz="900" kern="1200">
            <a:solidFill>
              <a:srgbClr val="C00000"/>
            </a:solidFill>
            <a:latin typeface="Arial" panose="020B0604020202020204" pitchFamily="34" charset="0"/>
            <a:ea typeface="+mn-ea"/>
            <a:cs typeface="Arial" panose="020B0604020202020204" pitchFamily="34" charset="0"/>
          </a:endParaRPr>
        </a:p>
      </dsp:txBody>
      <dsp:txXfrm>
        <a:off x="206462" y="716456"/>
        <a:ext cx="980313" cy="393727"/>
      </dsp:txXfrm>
    </dsp:sp>
    <dsp:sp modelId="{6674A0B6-35AA-4763-B890-1E2177289BCF}">
      <dsp:nvSpPr>
        <dsp:cNvPr id="0" name=""/>
        <dsp:cNvSpPr/>
      </dsp:nvSpPr>
      <dsp:spPr>
        <a:xfrm rot="12231066">
          <a:off x="2224226" y="652026"/>
          <a:ext cx="452579" cy="12339"/>
        </a:xfrm>
        <a:custGeom>
          <a:avLst/>
          <a:gdLst/>
          <a:ahLst/>
          <a:cxnLst/>
          <a:rect l="0" t="0" r="0" b="0"/>
          <a:pathLst>
            <a:path>
              <a:moveTo>
                <a:pt x="0" y="6169"/>
              </a:moveTo>
              <a:lnTo>
                <a:pt x="452821"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39202" y="646881"/>
        <a:ext cx="22628" cy="22628"/>
      </dsp:txXfrm>
    </dsp:sp>
    <dsp:sp modelId="{16FD236C-1C35-46D3-A6E9-C486F23997B9}">
      <dsp:nvSpPr>
        <dsp:cNvPr id="0" name=""/>
        <dsp:cNvSpPr/>
      </dsp:nvSpPr>
      <dsp:spPr>
        <a:xfrm>
          <a:off x="1150782" y="125497"/>
          <a:ext cx="1324081" cy="50152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21</a:t>
          </a:r>
        </a:p>
        <a:p>
          <a:pPr lvl="0" algn="ctr" defTabSz="444500">
            <a:lnSpc>
              <a:spcPct val="90000"/>
            </a:lnSpc>
            <a:spcBef>
              <a:spcPct val="0"/>
            </a:spcBef>
            <a:spcAft>
              <a:spcPct val="35000"/>
            </a:spcAft>
          </a:pPr>
          <a:r>
            <a:rPr lang="en-US" sz="900" kern="1200">
              <a:solidFill>
                <a:sysClr val="windowText" lastClr="000000"/>
              </a:solidFill>
              <a:latin typeface="Arial" panose="020B0604020202020204" pitchFamily="34" charset="0"/>
              <a:ea typeface="+mn-ea"/>
              <a:cs typeface="Arial" panose="020B0604020202020204" pitchFamily="34" charset="0"/>
            </a:rPr>
            <a:t>Gestion ejecutiva </a:t>
          </a:r>
        </a:p>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344689" y="198944"/>
        <a:ext cx="936267" cy="3546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410331" y="788849"/>
          <a:ext cx="1186152" cy="520411"/>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4</a:t>
          </a:r>
        </a:p>
      </dsp:txBody>
      <dsp:txXfrm>
        <a:off x="2584039" y="865061"/>
        <a:ext cx="838736" cy="367987"/>
      </dsp:txXfrm>
    </dsp:sp>
    <dsp:sp modelId="{27C08CD6-CB73-4E0E-BA37-473C15E9C926}">
      <dsp:nvSpPr>
        <dsp:cNvPr id="0" name=""/>
        <dsp:cNvSpPr/>
      </dsp:nvSpPr>
      <dsp:spPr>
        <a:xfrm rot="16200000">
          <a:off x="2891796" y="669585"/>
          <a:ext cx="223223" cy="15304"/>
        </a:xfrm>
        <a:custGeom>
          <a:avLst/>
          <a:gdLst/>
          <a:ahLst/>
          <a:cxnLst/>
          <a:rect l="0" t="0" r="0" b="0"/>
          <a:pathLst>
            <a:path>
              <a:moveTo>
                <a:pt x="0" y="14194"/>
              </a:moveTo>
              <a:lnTo>
                <a:pt x="487996" y="141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97827" y="671657"/>
        <a:ext cx="11161" cy="11161"/>
      </dsp:txXfrm>
    </dsp:sp>
    <dsp:sp modelId="{8441BECF-C9FE-4C31-BFA4-B45EB6B3D1F0}">
      <dsp:nvSpPr>
        <dsp:cNvPr id="0" name=""/>
        <dsp:cNvSpPr/>
      </dsp:nvSpPr>
      <dsp:spPr>
        <a:xfrm>
          <a:off x="2410698" y="-29339"/>
          <a:ext cx="1185418" cy="59496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Derecho de patentes</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84298" y="57792"/>
        <a:ext cx="838218" cy="420703"/>
      </dsp:txXfrm>
    </dsp:sp>
    <dsp:sp modelId="{27678B34-738D-4B59-81F4-6EB54DA6F256}">
      <dsp:nvSpPr>
        <dsp:cNvPr id="0" name=""/>
        <dsp:cNvSpPr/>
      </dsp:nvSpPr>
      <dsp:spPr>
        <a:xfrm rot="20143389">
          <a:off x="3401400" y="782624"/>
          <a:ext cx="351510" cy="15304"/>
        </a:xfrm>
        <a:custGeom>
          <a:avLst/>
          <a:gdLst/>
          <a:ahLst/>
          <a:cxnLst/>
          <a:rect l="0" t="0" r="0" b="0"/>
          <a:pathLst>
            <a:path>
              <a:moveTo>
                <a:pt x="0" y="7652"/>
              </a:moveTo>
              <a:lnTo>
                <a:pt x="351510" y="76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68368" y="781489"/>
        <a:ext cx="17575" cy="17575"/>
      </dsp:txXfrm>
    </dsp:sp>
    <dsp:sp modelId="{77E0AE60-7058-4D43-911F-C57FA8C6CA9F}">
      <dsp:nvSpPr>
        <dsp:cNvPr id="0" name=""/>
        <dsp:cNvSpPr/>
      </dsp:nvSpPr>
      <dsp:spPr>
        <a:xfrm>
          <a:off x="3527020" y="264759"/>
          <a:ext cx="1276740" cy="52041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D.A.D.C.</a:t>
          </a:r>
        </a:p>
      </dsp:txBody>
      <dsp:txXfrm>
        <a:off x="3713994" y="340971"/>
        <a:ext cx="902792" cy="367987"/>
      </dsp:txXfrm>
    </dsp:sp>
    <dsp:sp modelId="{EED79A7F-2696-484A-8083-D28DF0387AD5}">
      <dsp:nvSpPr>
        <dsp:cNvPr id="0" name=""/>
        <dsp:cNvSpPr/>
      </dsp:nvSpPr>
      <dsp:spPr>
        <a:xfrm rot="21587580">
          <a:off x="3596461" y="1037909"/>
          <a:ext cx="747713" cy="15304"/>
        </a:xfrm>
        <a:custGeom>
          <a:avLst/>
          <a:gdLst/>
          <a:ahLst/>
          <a:cxnLst/>
          <a:rect l="0" t="0" r="0" b="0"/>
          <a:pathLst>
            <a:path>
              <a:moveTo>
                <a:pt x="0" y="7652"/>
              </a:moveTo>
              <a:lnTo>
                <a:pt x="747713" y="76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51625" y="1026869"/>
        <a:ext cx="37385" cy="37385"/>
      </dsp:txXfrm>
    </dsp:sp>
    <dsp:sp modelId="{05994623-F04A-4AAC-82E3-2D63726DAA8A}">
      <dsp:nvSpPr>
        <dsp:cNvPr id="0" name=""/>
        <dsp:cNvSpPr/>
      </dsp:nvSpPr>
      <dsp:spPr>
        <a:xfrm>
          <a:off x="4344156" y="701151"/>
          <a:ext cx="1326210" cy="68132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7</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Centro de Arbitraje y Mediación</a:t>
          </a:r>
        </a:p>
      </dsp:txBody>
      <dsp:txXfrm>
        <a:off x="4538375" y="800929"/>
        <a:ext cx="937772" cy="481771"/>
      </dsp:txXfrm>
    </dsp:sp>
    <dsp:sp modelId="{B654B038-4242-46EF-A10B-FF9B1A085532}">
      <dsp:nvSpPr>
        <dsp:cNvPr id="0" name=""/>
        <dsp:cNvSpPr/>
      </dsp:nvSpPr>
      <dsp:spPr>
        <a:xfrm rot="1837435">
          <a:off x="3336001" y="1325512"/>
          <a:ext cx="294702" cy="15304"/>
        </a:xfrm>
        <a:custGeom>
          <a:avLst/>
          <a:gdLst/>
          <a:ahLst/>
          <a:cxnLst/>
          <a:rect l="0" t="0" r="0" b="0"/>
          <a:pathLst>
            <a:path>
              <a:moveTo>
                <a:pt x="0" y="14194"/>
              </a:moveTo>
              <a:lnTo>
                <a:pt x="476437" y="141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75985" y="1325796"/>
        <a:ext cx="14735" cy="14735"/>
      </dsp:txXfrm>
    </dsp:sp>
    <dsp:sp modelId="{3DB28723-07CF-4EFC-8E24-18E41E76D4AF}">
      <dsp:nvSpPr>
        <dsp:cNvPr id="0" name=""/>
        <dsp:cNvSpPr/>
      </dsp:nvSpPr>
      <dsp:spPr>
        <a:xfrm>
          <a:off x="3433782" y="1344965"/>
          <a:ext cx="1018142" cy="52041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0005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8</a:t>
          </a: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C.A.D.</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582885" y="1421177"/>
        <a:ext cx="719936" cy="367987"/>
      </dsp:txXfrm>
    </dsp:sp>
    <dsp:sp modelId="{AD2F0D4B-AECA-4B10-81AC-261AA8BE8E98}">
      <dsp:nvSpPr>
        <dsp:cNvPr id="0" name=""/>
        <dsp:cNvSpPr/>
      </dsp:nvSpPr>
      <dsp:spPr>
        <a:xfrm rot="9033691">
          <a:off x="2485701" y="1287210"/>
          <a:ext cx="164306" cy="15304"/>
        </a:xfrm>
        <a:custGeom>
          <a:avLst/>
          <a:gdLst/>
          <a:ahLst/>
          <a:cxnLst/>
          <a:rect l="0" t="0" r="0" b="0"/>
          <a:pathLst>
            <a:path>
              <a:moveTo>
                <a:pt x="0" y="7652"/>
              </a:moveTo>
              <a:lnTo>
                <a:pt x="164306" y="76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563746" y="1290754"/>
        <a:ext cx="8215" cy="8215"/>
      </dsp:txXfrm>
    </dsp:sp>
    <dsp:sp modelId="{2BEED572-A282-4C32-95EB-3B1996D142B1}">
      <dsp:nvSpPr>
        <dsp:cNvPr id="0" name=""/>
        <dsp:cNvSpPr/>
      </dsp:nvSpPr>
      <dsp:spPr>
        <a:xfrm>
          <a:off x="1335517" y="1278650"/>
          <a:ext cx="1463999" cy="59716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 </a:t>
          </a:r>
        </a:p>
      </dsp:txBody>
      <dsp:txXfrm>
        <a:off x="1549915" y="1366102"/>
        <a:ext cx="1035203" cy="422257"/>
      </dsp:txXfrm>
    </dsp:sp>
    <dsp:sp modelId="{C58C2EC9-2FE7-4521-9408-887873CF9CD6}">
      <dsp:nvSpPr>
        <dsp:cNvPr id="0" name=""/>
        <dsp:cNvSpPr/>
      </dsp:nvSpPr>
      <dsp:spPr>
        <a:xfrm rot="10801435">
          <a:off x="1536499" y="1040973"/>
          <a:ext cx="873832" cy="15304"/>
        </a:xfrm>
        <a:custGeom>
          <a:avLst/>
          <a:gdLst/>
          <a:ahLst/>
          <a:cxnLst/>
          <a:rect l="0" t="0" r="0" b="0"/>
          <a:pathLst>
            <a:path>
              <a:moveTo>
                <a:pt x="0" y="7652"/>
              </a:moveTo>
              <a:lnTo>
                <a:pt x="873832" y="76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951569" y="1026779"/>
        <a:ext cx="43691" cy="43691"/>
      </dsp:txXfrm>
    </dsp:sp>
    <dsp:sp modelId="{53F278CD-DAFE-4670-A5E7-7708D74F671E}">
      <dsp:nvSpPr>
        <dsp:cNvPr id="0" name=""/>
        <dsp:cNvSpPr/>
      </dsp:nvSpPr>
      <dsp:spPr>
        <a:xfrm>
          <a:off x="438187" y="732217"/>
          <a:ext cx="1098312" cy="63199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Países T/D</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599031" y="824770"/>
        <a:ext cx="776624" cy="446886"/>
      </dsp:txXfrm>
    </dsp:sp>
    <dsp:sp modelId="{9D7A60DE-15BF-4701-8167-A6BE55521FB0}">
      <dsp:nvSpPr>
        <dsp:cNvPr id="0" name=""/>
        <dsp:cNvSpPr/>
      </dsp:nvSpPr>
      <dsp:spPr>
        <a:xfrm rot="12168915">
          <a:off x="2294102" y="804574"/>
          <a:ext cx="292666" cy="15304"/>
        </a:xfrm>
        <a:custGeom>
          <a:avLst/>
          <a:gdLst/>
          <a:ahLst/>
          <a:cxnLst/>
          <a:rect l="0" t="0" r="0" b="0"/>
          <a:pathLst>
            <a:path>
              <a:moveTo>
                <a:pt x="0" y="7652"/>
              </a:moveTo>
              <a:lnTo>
                <a:pt x="292666" y="76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33118" y="804910"/>
        <a:ext cx="14633" cy="14633"/>
      </dsp:txXfrm>
    </dsp:sp>
    <dsp:sp modelId="{0FDECDAE-6064-4D03-98A4-386BBAAFB761}">
      <dsp:nvSpPr>
        <dsp:cNvPr id="0" name=""/>
        <dsp:cNvSpPr/>
      </dsp:nvSpPr>
      <dsp:spPr>
        <a:xfrm>
          <a:off x="1247549" y="223601"/>
          <a:ext cx="1172986" cy="66706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14</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Acceso a la Info. y los conocimientos</a:t>
          </a:r>
        </a:p>
      </dsp:txBody>
      <dsp:txXfrm>
        <a:off x="1419329" y="321290"/>
        <a:ext cx="829426" cy="47168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345551" y="773802"/>
          <a:ext cx="1195573" cy="427841"/>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5</a:t>
          </a:r>
        </a:p>
      </dsp:txBody>
      <dsp:txXfrm>
        <a:off x="2520639" y="836458"/>
        <a:ext cx="845397" cy="302529"/>
      </dsp:txXfrm>
    </dsp:sp>
    <dsp:sp modelId="{DDE83488-D0AF-4A61-9C32-0D1EF5D54320}">
      <dsp:nvSpPr>
        <dsp:cNvPr id="0" name=""/>
        <dsp:cNvSpPr/>
      </dsp:nvSpPr>
      <dsp:spPr>
        <a:xfrm rot="16200000">
          <a:off x="2829598" y="652432"/>
          <a:ext cx="227479" cy="15260"/>
        </a:xfrm>
        <a:custGeom>
          <a:avLst/>
          <a:gdLst/>
          <a:ahLst/>
          <a:cxnLst/>
          <a:rect l="0" t="0" r="0" b="0"/>
          <a:pathLst>
            <a:path>
              <a:moveTo>
                <a:pt x="0" y="7630"/>
              </a:moveTo>
              <a:lnTo>
                <a:pt x="227479" y="7630"/>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37651" y="654375"/>
        <a:ext cx="11373" cy="11373"/>
      </dsp:txXfrm>
    </dsp:sp>
    <dsp:sp modelId="{5A264607-8295-4AD5-8D4E-5E0F0A25C928}">
      <dsp:nvSpPr>
        <dsp:cNvPr id="0" name=""/>
        <dsp:cNvSpPr/>
      </dsp:nvSpPr>
      <dsp:spPr>
        <a:xfrm>
          <a:off x="2439188" y="-82153"/>
          <a:ext cx="1008300" cy="62847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Derecho de patentes</a:t>
          </a:r>
        </a:p>
      </dsp:txBody>
      <dsp:txXfrm>
        <a:off x="2586850" y="9885"/>
        <a:ext cx="712976" cy="444400"/>
      </dsp:txXfrm>
    </dsp:sp>
    <dsp:sp modelId="{64B847BA-C336-4F4D-BCB1-E9F8B02329EB}">
      <dsp:nvSpPr>
        <dsp:cNvPr id="0" name=""/>
        <dsp:cNvSpPr/>
      </dsp:nvSpPr>
      <dsp:spPr>
        <a:xfrm rot="20188286">
          <a:off x="3306430" y="735728"/>
          <a:ext cx="396281" cy="15260"/>
        </a:xfrm>
        <a:custGeom>
          <a:avLst/>
          <a:gdLst/>
          <a:ahLst/>
          <a:cxnLst/>
          <a:rect l="0" t="0" r="0" b="0"/>
          <a:pathLst>
            <a:path>
              <a:moveTo>
                <a:pt x="0" y="7630"/>
              </a:moveTo>
              <a:lnTo>
                <a:pt x="396281" y="7630"/>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94664" y="733451"/>
        <a:ext cx="19814" cy="19814"/>
      </dsp:txXfrm>
    </dsp:sp>
    <dsp:sp modelId="{1AB73DFF-B172-4EE5-8B1D-E235635E7315}">
      <dsp:nvSpPr>
        <dsp:cNvPr id="0" name=""/>
        <dsp:cNvSpPr/>
      </dsp:nvSpPr>
      <dsp:spPr>
        <a:xfrm>
          <a:off x="3477666" y="159510"/>
          <a:ext cx="1384146" cy="58846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7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Centro de Arbitraje y Mediación</a:t>
          </a:r>
        </a:p>
      </dsp:txBody>
      <dsp:txXfrm>
        <a:off x="3680369" y="245688"/>
        <a:ext cx="978740" cy="416105"/>
      </dsp:txXfrm>
    </dsp:sp>
    <dsp:sp modelId="{27C08CD6-CB73-4E0E-BA37-473C15E9C926}">
      <dsp:nvSpPr>
        <dsp:cNvPr id="0" name=""/>
        <dsp:cNvSpPr/>
      </dsp:nvSpPr>
      <dsp:spPr>
        <a:xfrm rot="21594430">
          <a:off x="3541118" y="978507"/>
          <a:ext cx="761599" cy="15260"/>
        </a:xfrm>
        <a:custGeom>
          <a:avLst/>
          <a:gdLst/>
          <a:ahLst/>
          <a:cxnLst/>
          <a:rect l="0" t="0" r="0" b="0"/>
          <a:pathLst>
            <a:path>
              <a:moveTo>
                <a:pt x="0" y="7630"/>
              </a:moveTo>
              <a:lnTo>
                <a:pt x="761599" y="7630"/>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02878" y="967097"/>
        <a:ext cx="38079" cy="38079"/>
      </dsp:txXfrm>
    </dsp:sp>
    <dsp:sp modelId="{8441BECF-C9FE-4C31-BFA4-B45EB6B3D1F0}">
      <dsp:nvSpPr>
        <dsp:cNvPr id="0" name=""/>
        <dsp:cNvSpPr/>
      </dsp:nvSpPr>
      <dsp:spPr>
        <a:xfrm>
          <a:off x="4302710" y="713874"/>
          <a:ext cx="1452358" cy="54093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sp:txBody>
      <dsp:txXfrm>
        <a:off x="4515403" y="793093"/>
        <a:ext cx="1026972" cy="382500"/>
      </dsp:txXfrm>
    </dsp:sp>
    <dsp:sp modelId="{27678B34-738D-4B59-81F4-6EB54DA6F256}">
      <dsp:nvSpPr>
        <dsp:cNvPr id="0" name=""/>
        <dsp:cNvSpPr/>
      </dsp:nvSpPr>
      <dsp:spPr>
        <a:xfrm rot="1795886">
          <a:off x="3230379" y="1268476"/>
          <a:ext cx="427675" cy="15260"/>
        </a:xfrm>
        <a:custGeom>
          <a:avLst/>
          <a:gdLst/>
          <a:ahLst/>
          <a:cxnLst/>
          <a:rect l="0" t="0" r="0" b="0"/>
          <a:pathLst>
            <a:path>
              <a:moveTo>
                <a:pt x="0" y="7630"/>
              </a:moveTo>
              <a:lnTo>
                <a:pt x="427675" y="7630"/>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33524" y="1265414"/>
        <a:ext cx="21383" cy="21383"/>
      </dsp:txXfrm>
    </dsp:sp>
    <dsp:sp modelId="{77E0AE60-7058-4D43-911F-C57FA8C6CA9F}">
      <dsp:nvSpPr>
        <dsp:cNvPr id="0" name=""/>
        <dsp:cNvSpPr/>
      </dsp:nvSpPr>
      <dsp:spPr>
        <a:xfrm>
          <a:off x="3413518" y="1328137"/>
          <a:ext cx="1130614" cy="51154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a:t>
          </a:r>
        </a:p>
      </dsp:txBody>
      <dsp:txXfrm>
        <a:off x="3579093" y="1403051"/>
        <a:ext cx="799464" cy="361718"/>
      </dsp:txXfrm>
    </dsp:sp>
    <dsp:sp modelId="{EED79A7F-2696-484A-8083-D28DF0387AD5}">
      <dsp:nvSpPr>
        <dsp:cNvPr id="0" name=""/>
        <dsp:cNvSpPr/>
      </dsp:nvSpPr>
      <dsp:spPr>
        <a:xfrm rot="9153725">
          <a:off x="2415129" y="1202357"/>
          <a:ext cx="200220" cy="15260"/>
        </a:xfrm>
        <a:custGeom>
          <a:avLst/>
          <a:gdLst/>
          <a:ahLst/>
          <a:cxnLst/>
          <a:rect l="0" t="0" r="0" b="0"/>
          <a:pathLst>
            <a:path>
              <a:moveTo>
                <a:pt x="0" y="7630"/>
              </a:moveTo>
              <a:lnTo>
                <a:pt x="200220" y="7630"/>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510234" y="1204982"/>
        <a:ext cx="10011" cy="10011"/>
      </dsp:txXfrm>
    </dsp:sp>
    <dsp:sp modelId="{05994623-F04A-4AAC-82E3-2D63726DAA8A}">
      <dsp:nvSpPr>
        <dsp:cNvPr id="0" name=""/>
        <dsp:cNvSpPr/>
      </dsp:nvSpPr>
      <dsp:spPr>
        <a:xfrm>
          <a:off x="1245892" y="1142539"/>
          <a:ext cx="1372129" cy="74056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12</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Clasif. intern. y normas técnicas</a:t>
          </a:r>
        </a:p>
      </dsp:txBody>
      <dsp:txXfrm>
        <a:off x="1446836" y="1250992"/>
        <a:ext cx="970241" cy="523659"/>
      </dsp:txXfrm>
    </dsp:sp>
    <dsp:sp modelId="{B654B038-4242-46EF-A10B-FF9B1A085532}">
      <dsp:nvSpPr>
        <dsp:cNvPr id="0" name=""/>
        <dsp:cNvSpPr/>
      </dsp:nvSpPr>
      <dsp:spPr>
        <a:xfrm rot="10726884">
          <a:off x="1419144" y="1002649"/>
          <a:ext cx="927564" cy="15260"/>
        </a:xfrm>
        <a:custGeom>
          <a:avLst/>
          <a:gdLst/>
          <a:ahLst/>
          <a:cxnLst/>
          <a:rect l="0" t="0" r="0" b="0"/>
          <a:pathLst>
            <a:path>
              <a:moveTo>
                <a:pt x="0" y="7630"/>
              </a:moveTo>
              <a:lnTo>
                <a:pt x="927564" y="7630"/>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859738" y="987090"/>
        <a:ext cx="46378" cy="46378"/>
      </dsp:txXfrm>
    </dsp:sp>
    <dsp:sp modelId="{3DB28723-07CF-4EFC-8E24-18E41E76D4AF}">
      <dsp:nvSpPr>
        <dsp:cNvPr id="0" name=""/>
        <dsp:cNvSpPr/>
      </dsp:nvSpPr>
      <dsp:spPr>
        <a:xfrm>
          <a:off x="75201" y="744021"/>
          <a:ext cx="1344862" cy="58081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13</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Bases mundiales de datos</a:t>
          </a:r>
        </a:p>
      </dsp:txBody>
      <dsp:txXfrm>
        <a:off x="272151" y="829080"/>
        <a:ext cx="950962" cy="410698"/>
      </dsp:txXfrm>
    </dsp:sp>
    <dsp:sp modelId="{AD2F0D4B-AECA-4B10-81AC-261AA8BE8E98}">
      <dsp:nvSpPr>
        <dsp:cNvPr id="0" name=""/>
        <dsp:cNvSpPr/>
      </dsp:nvSpPr>
      <dsp:spPr>
        <a:xfrm rot="12171353">
          <a:off x="2195917" y="744136"/>
          <a:ext cx="375266" cy="15260"/>
        </a:xfrm>
        <a:custGeom>
          <a:avLst/>
          <a:gdLst/>
          <a:ahLst/>
          <a:cxnLst/>
          <a:rect l="0" t="0" r="0" b="0"/>
          <a:pathLst>
            <a:path>
              <a:moveTo>
                <a:pt x="0" y="7630"/>
              </a:moveTo>
              <a:lnTo>
                <a:pt x="375266" y="7630"/>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74168" y="742385"/>
        <a:ext cx="18763" cy="18763"/>
      </dsp:txXfrm>
    </dsp:sp>
    <dsp:sp modelId="{2BEED572-A282-4C32-95EB-3B1996D142B1}">
      <dsp:nvSpPr>
        <dsp:cNvPr id="0" name=""/>
        <dsp:cNvSpPr/>
      </dsp:nvSpPr>
      <dsp:spPr>
        <a:xfrm>
          <a:off x="842169" y="112575"/>
          <a:ext cx="1613850" cy="65922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14</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Acceso a la información y a los conocimientos</a:t>
          </a:r>
        </a:p>
      </dsp:txBody>
      <dsp:txXfrm>
        <a:off x="1078512" y="209116"/>
        <a:ext cx="1141164" cy="46614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432529" y="567398"/>
          <a:ext cx="1255089" cy="380892"/>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dsp:txBody>
      <dsp:txXfrm>
        <a:off x="2616333" y="623178"/>
        <a:ext cx="887481" cy="269332"/>
      </dsp:txXfrm>
    </dsp:sp>
    <dsp:sp modelId="{5337AE63-3722-42CC-AF72-36670EB7C5E1}">
      <dsp:nvSpPr>
        <dsp:cNvPr id="0" name=""/>
        <dsp:cNvSpPr/>
      </dsp:nvSpPr>
      <dsp:spPr>
        <a:xfrm rot="16214841">
          <a:off x="3003019" y="503102"/>
          <a:ext cx="116254" cy="12339"/>
        </a:xfrm>
        <a:custGeom>
          <a:avLst/>
          <a:gdLst/>
          <a:ahLst/>
          <a:cxnLst/>
          <a:rect l="0" t="0" r="0" b="0"/>
          <a:pathLst>
            <a:path>
              <a:moveTo>
                <a:pt x="0" y="6158"/>
              </a:moveTo>
              <a:lnTo>
                <a:pt x="115978" y="615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58240" y="506365"/>
        <a:ext cx="5812" cy="5812"/>
      </dsp:txXfrm>
    </dsp:sp>
    <dsp:sp modelId="{CED9197C-8322-406B-917C-172FA36E7B76}">
      <dsp:nvSpPr>
        <dsp:cNvPr id="0" name=""/>
        <dsp:cNvSpPr/>
      </dsp:nvSpPr>
      <dsp:spPr>
        <a:xfrm>
          <a:off x="2186858" y="35321"/>
          <a:ext cx="1750873" cy="41582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sp:txBody>
      <dsp:txXfrm>
        <a:off x="2443267" y="96217"/>
        <a:ext cx="1238055" cy="294032"/>
      </dsp:txXfrm>
    </dsp:sp>
    <dsp:sp modelId="{4AC11394-3179-4EC5-A97F-D1A1B521CE2F}">
      <dsp:nvSpPr>
        <dsp:cNvPr id="0" name=""/>
        <dsp:cNvSpPr/>
      </dsp:nvSpPr>
      <dsp:spPr>
        <a:xfrm rot="1729">
          <a:off x="3687617" y="752189"/>
          <a:ext cx="788574" cy="12339"/>
        </a:xfrm>
        <a:custGeom>
          <a:avLst/>
          <a:gdLst/>
          <a:ahLst/>
          <a:cxnLst/>
          <a:rect l="0" t="0" r="0" b="0"/>
          <a:pathLst>
            <a:path>
              <a:moveTo>
                <a:pt x="0" y="6158"/>
              </a:moveTo>
              <a:lnTo>
                <a:pt x="850274" y="615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062190" y="738644"/>
        <a:ext cx="39428" cy="39428"/>
      </dsp:txXfrm>
    </dsp:sp>
    <dsp:sp modelId="{035B4C9A-0916-4FCC-A1CF-85DB358A289A}">
      <dsp:nvSpPr>
        <dsp:cNvPr id="0" name=""/>
        <dsp:cNvSpPr/>
      </dsp:nvSpPr>
      <dsp:spPr>
        <a:xfrm>
          <a:off x="4476191" y="529408"/>
          <a:ext cx="1128502" cy="45886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a:t>
          </a:r>
        </a:p>
      </dsp:txBody>
      <dsp:txXfrm>
        <a:off x="4641456" y="596607"/>
        <a:ext cx="797972" cy="324466"/>
      </dsp:txXfrm>
    </dsp:sp>
    <dsp:sp modelId="{ADF94B70-0D7F-4A27-8DF9-17BCD27F4A7A}">
      <dsp:nvSpPr>
        <dsp:cNvPr id="0" name=""/>
        <dsp:cNvSpPr/>
      </dsp:nvSpPr>
      <dsp:spPr>
        <a:xfrm rot="5449116">
          <a:off x="2997201" y="1001417"/>
          <a:ext cx="118608" cy="12339"/>
        </a:xfrm>
        <a:custGeom>
          <a:avLst/>
          <a:gdLst/>
          <a:ahLst/>
          <a:cxnLst/>
          <a:rect l="0" t="0" r="0" b="0"/>
          <a:pathLst>
            <a:path>
              <a:moveTo>
                <a:pt x="0" y="6158"/>
              </a:moveTo>
              <a:lnTo>
                <a:pt x="118504" y="615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3053540" y="1004622"/>
        <a:ext cx="5930" cy="5930"/>
      </dsp:txXfrm>
    </dsp:sp>
    <dsp:sp modelId="{0FAF3FA1-8E6C-455E-B189-A468B3F4D8BC}">
      <dsp:nvSpPr>
        <dsp:cNvPr id="0" name=""/>
        <dsp:cNvSpPr/>
      </dsp:nvSpPr>
      <dsp:spPr>
        <a:xfrm>
          <a:off x="2260087" y="1066883"/>
          <a:ext cx="1585237" cy="41314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31</a:t>
          </a:r>
        </a:p>
        <a:p>
          <a:pPr lvl="0" algn="ctr" defTabSz="44450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La Haya</a:t>
          </a:r>
        </a:p>
      </dsp:txBody>
      <dsp:txXfrm>
        <a:off x="2492240" y="1127387"/>
        <a:ext cx="1120931" cy="292137"/>
      </dsp:txXfrm>
    </dsp:sp>
    <dsp:sp modelId="{9A56F0B1-9466-40E9-8BFA-10DF1330E460}">
      <dsp:nvSpPr>
        <dsp:cNvPr id="0" name=""/>
        <dsp:cNvSpPr/>
      </dsp:nvSpPr>
      <dsp:spPr>
        <a:xfrm rot="10795050">
          <a:off x="1739163" y="753077"/>
          <a:ext cx="693372" cy="12339"/>
        </a:xfrm>
        <a:custGeom>
          <a:avLst/>
          <a:gdLst/>
          <a:ahLst/>
          <a:cxnLst/>
          <a:rect l="0" t="0" r="0" b="0"/>
          <a:pathLst>
            <a:path>
              <a:moveTo>
                <a:pt x="0" y="6158"/>
              </a:moveTo>
              <a:lnTo>
                <a:pt x="840874" y="615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68515" y="741913"/>
        <a:ext cx="34668" cy="34668"/>
      </dsp:txXfrm>
    </dsp:sp>
    <dsp:sp modelId="{1826B69E-77B8-4580-ABF8-4926B99AA206}">
      <dsp:nvSpPr>
        <dsp:cNvPr id="0" name=""/>
        <dsp:cNvSpPr/>
      </dsp:nvSpPr>
      <dsp:spPr>
        <a:xfrm>
          <a:off x="308029" y="531586"/>
          <a:ext cx="1431142" cy="45838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32</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Lisboa</a:t>
          </a:r>
        </a:p>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517615" y="598714"/>
        <a:ext cx="1011970" cy="32412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028316" y="751101"/>
          <a:ext cx="1356160" cy="556846"/>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31</a:t>
          </a:r>
        </a:p>
      </dsp:txBody>
      <dsp:txXfrm>
        <a:off x="2226921" y="832649"/>
        <a:ext cx="958950" cy="393750"/>
      </dsp:txXfrm>
    </dsp:sp>
    <dsp:sp modelId="{4AC11394-3179-4EC5-A97F-D1A1B521CE2F}">
      <dsp:nvSpPr>
        <dsp:cNvPr id="0" name=""/>
        <dsp:cNvSpPr/>
      </dsp:nvSpPr>
      <dsp:spPr>
        <a:xfrm rot="16193319">
          <a:off x="2622533" y="658806"/>
          <a:ext cx="166321" cy="18269"/>
        </a:xfrm>
        <a:custGeom>
          <a:avLst/>
          <a:gdLst/>
          <a:ahLst/>
          <a:cxnLst/>
          <a:rect l="0" t="0" r="0" b="0"/>
          <a:pathLst>
            <a:path>
              <a:moveTo>
                <a:pt x="0" y="9134"/>
              </a:moveTo>
              <a:lnTo>
                <a:pt x="163517"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701535" y="663783"/>
        <a:ext cx="8316" cy="8316"/>
      </dsp:txXfrm>
    </dsp:sp>
    <dsp:sp modelId="{035B4C9A-0916-4FCC-A1CF-85DB358A289A}">
      <dsp:nvSpPr>
        <dsp:cNvPr id="0" name=""/>
        <dsp:cNvSpPr/>
      </dsp:nvSpPr>
      <dsp:spPr>
        <a:xfrm>
          <a:off x="1948646" y="7949"/>
          <a:ext cx="1512650" cy="57683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Madrid</a:t>
          </a:r>
        </a:p>
      </dsp:txBody>
      <dsp:txXfrm>
        <a:off x="2170168" y="92424"/>
        <a:ext cx="1069606" cy="407881"/>
      </dsp:txXfrm>
    </dsp:sp>
    <dsp:sp modelId="{64248C57-3CE0-4657-BC67-6279BA0257B1}">
      <dsp:nvSpPr>
        <dsp:cNvPr id="0" name=""/>
        <dsp:cNvSpPr/>
      </dsp:nvSpPr>
      <dsp:spPr>
        <a:xfrm rot="2869">
          <a:off x="3384475" y="1021116"/>
          <a:ext cx="384187" cy="18269"/>
        </a:xfrm>
        <a:custGeom>
          <a:avLst/>
          <a:gdLst/>
          <a:ahLst/>
          <a:cxnLst/>
          <a:rect l="0" t="0" r="0" b="0"/>
          <a:pathLst>
            <a:path>
              <a:moveTo>
                <a:pt x="0" y="9134"/>
              </a:moveTo>
              <a:lnTo>
                <a:pt x="463565"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66964" y="1020646"/>
        <a:ext cx="19209" cy="19209"/>
      </dsp:txXfrm>
    </dsp:sp>
    <dsp:sp modelId="{976BA53C-17D4-4F7C-9078-1272C469C9E5}">
      <dsp:nvSpPr>
        <dsp:cNvPr id="0" name=""/>
        <dsp:cNvSpPr/>
      </dsp:nvSpPr>
      <dsp:spPr>
        <a:xfrm>
          <a:off x="3768660" y="770785"/>
          <a:ext cx="1582089" cy="52057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sp:txBody>
      <dsp:txXfrm>
        <a:off x="4000352" y="847021"/>
        <a:ext cx="1118705" cy="368101"/>
      </dsp:txXfrm>
    </dsp:sp>
    <dsp:sp modelId="{ADF94B70-0D7F-4A27-8DF9-17BCD27F4A7A}">
      <dsp:nvSpPr>
        <dsp:cNvPr id="0" name=""/>
        <dsp:cNvSpPr/>
      </dsp:nvSpPr>
      <dsp:spPr>
        <a:xfrm rot="10791658">
          <a:off x="1570464" y="1022591"/>
          <a:ext cx="457865" cy="18269"/>
        </a:xfrm>
        <a:custGeom>
          <a:avLst/>
          <a:gdLst/>
          <a:ahLst/>
          <a:cxnLst/>
          <a:rect l="0" t="0" r="0" b="0"/>
          <a:pathLst>
            <a:path>
              <a:moveTo>
                <a:pt x="0" y="9134"/>
              </a:moveTo>
              <a:lnTo>
                <a:pt x="457860"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787949" y="1020279"/>
        <a:ext cx="22893" cy="22893"/>
      </dsp:txXfrm>
    </dsp:sp>
    <dsp:sp modelId="{0FAF3FA1-8E6C-455E-B189-A468B3F4D8BC}">
      <dsp:nvSpPr>
        <dsp:cNvPr id="0" name=""/>
        <dsp:cNvSpPr/>
      </dsp:nvSpPr>
      <dsp:spPr>
        <a:xfrm>
          <a:off x="135606" y="782942"/>
          <a:ext cx="1434875" cy="5021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en T/D</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45739" y="856481"/>
        <a:ext cx="1014609" cy="35508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1977706" y="694546"/>
          <a:ext cx="1626261" cy="477191"/>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32</a:t>
          </a:r>
        </a:p>
      </dsp:txBody>
      <dsp:txXfrm>
        <a:off x="2215866" y="764429"/>
        <a:ext cx="1149941" cy="337425"/>
      </dsp:txXfrm>
    </dsp:sp>
    <dsp:sp modelId="{5337AE63-3722-42CC-AF72-36670EB7C5E1}">
      <dsp:nvSpPr>
        <dsp:cNvPr id="0" name=""/>
        <dsp:cNvSpPr/>
      </dsp:nvSpPr>
      <dsp:spPr>
        <a:xfrm rot="16251408">
          <a:off x="2722949" y="614048"/>
          <a:ext cx="145081" cy="15936"/>
        </a:xfrm>
        <a:custGeom>
          <a:avLst/>
          <a:gdLst/>
          <a:ahLst/>
          <a:cxnLst/>
          <a:rect l="0" t="0" r="0" b="0"/>
          <a:pathLst>
            <a:path>
              <a:moveTo>
                <a:pt x="0" y="6158"/>
              </a:moveTo>
              <a:lnTo>
                <a:pt x="115978" y="615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791863" y="618389"/>
        <a:ext cx="7254" cy="7254"/>
      </dsp:txXfrm>
    </dsp:sp>
    <dsp:sp modelId="{CED9197C-8322-406B-917C-172FA36E7B76}">
      <dsp:nvSpPr>
        <dsp:cNvPr id="0" name=""/>
        <dsp:cNvSpPr/>
      </dsp:nvSpPr>
      <dsp:spPr>
        <a:xfrm>
          <a:off x="1847806" y="28531"/>
          <a:ext cx="1905327" cy="52095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Sistema de Madrid</a:t>
          </a:r>
        </a:p>
      </dsp:txBody>
      <dsp:txXfrm>
        <a:off x="2126835" y="104823"/>
        <a:ext cx="1347269" cy="368371"/>
      </dsp:txXfrm>
    </dsp:sp>
    <dsp:sp modelId="{4AC11394-3179-4EC5-A97F-D1A1B521CE2F}">
      <dsp:nvSpPr>
        <dsp:cNvPr id="0" name=""/>
        <dsp:cNvSpPr/>
      </dsp:nvSpPr>
      <dsp:spPr>
        <a:xfrm rot="502489">
          <a:off x="3514423" y="1075877"/>
          <a:ext cx="600169" cy="15936"/>
        </a:xfrm>
        <a:custGeom>
          <a:avLst/>
          <a:gdLst/>
          <a:ahLst/>
          <a:cxnLst/>
          <a:rect l="0" t="0" r="0" b="0"/>
          <a:pathLst>
            <a:path>
              <a:moveTo>
                <a:pt x="0" y="6158"/>
              </a:moveTo>
              <a:lnTo>
                <a:pt x="850274" y="615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799504" y="1068841"/>
        <a:ext cx="30008" cy="30008"/>
      </dsp:txXfrm>
    </dsp:sp>
    <dsp:sp modelId="{035B4C9A-0916-4FCC-A1CF-85DB358A289A}">
      <dsp:nvSpPr>
        <dsp:cNvPr id="0" name=""/>
        <dsp:cNvSpPr/>
      </dsp:nvSpPr>
      <dsp:spPr>
        <a:xfrm>
          <a:off x="4037896" y="956236"/>
          <a:ext cx="1724548" cy="57487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Oficinas regionales en la sede</a:t>
          </a:r>
        </a:p>
      </dsp:txBody>
      <dsp:txXfrm>
        <a:off x="4290450" y="1040425"/>
        <a:ext cx="1219440" cy="406498"/>
      </dsp:txXfrm>
    </dsp:sp>
    <dsp:sp modelId="{9A56F0B1-9466-40E9-8BFA-10DF1330E460}">
      <dsp:nvSpPr>
        <dsp:cNvPr id="0" name=""/>
        <dsp:cNvSpPr/>
      </dsp:nvSpPr>
      <dsp:spPr>
        <a:xfrm rot="10305728">
          <a:off x="1255944" y="1088766"/>
          <a:ext cx="809869" cy="15936"/>
        </a:xfrm>
        <a:custGeom>
          <a:avLst/>
          <a:gdLst/>
          <a:ahLst/>
          <a:cxnLst/>
          <a:rect l="0" t="0" r="0" b="0"/>
          <a:pathLst>
            <a:path>
              <a:moveTo>
                <a:pt x="0" y="6158"/>
              </a:moveTo>
              <a:lnTo>
                <a:pt x="840874" y="615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640632" y="1076487"/>
        <a:ext cx="40493" cy="40493"/>
      </dsp:txXfrm>
    </dsp:sp>
    <dsp:sp modelId="{1826B69E-77B8-4580-ABF8-4926B99AA206}">
      <dsp:nvSpPr>
        <dsp:cNvPr id="0" name=""/>
        <dsp:cNvSpPr/>
      </dsp:nvSpPr>
      <dsp:spPr>
        <a:xfrm>
          <a:off x="0" y="956539"/>
          <a:ext cx="1291876" cy="57426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endParaRPr lang="en-US" sz="3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13335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 10</a:t>
          </a:r>
        </a:p>
        <a:p>
          <a:pPr lvl="0" algn="ctr" defTabSz="1333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Países T/D</a:t>
          </a:r>
        </a:p>
      </dsp:txBody>
      <dsp:txXfrm>
        <a:off x="189191" y="1040639"/>
        <a:ext cx="913494" cy="40606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490973" y="945719"/>
          <a:ext cx="1159126" cy="519140"/>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Programa 7 </a:t>
          </a:r>
        </a:p>
      </dsp:txBody>
      <dsp:txXfrm>
        <a:off x="2660723" y="1021745"/>
        <a:ext cx="819626" cy="367088"/>
      </dsp:txXfrm>
    </dsp:sp>
    <dsp:sp modelId="{E6ACA703-0949-41B3-BE6B-C702E5C7275F}">
      <dsp:nvSpPr>
        <dsp:cNvPr id="0" name=""/>
        <dsp:cNvSpPr/>
      </dsp:nvSpPr>
      <dsp:spPr>
        <a:xfrm rot="16166714">
          <a:off x="2876940" y="748636"/>
          <a:ext cx="378499" cy="15688"/>
        </a:xfrm>
        <a:custGeom>
          <a:avLst/>
          <a:gdLst/>
          <a:ahLst/>
          <a:cxnLst/>
          <a:rect l="0" t="0" r="0" b="0"/>
          <a:pathLst>
            <a:path>
              <a:moveTo>
                <a:pt x="0" y="7844"/>
              </a:moveTo>
              <a:lnTo>
                <a:pt x="378499"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3056727" y="747018"/>
        <a:ext cx="18924" cy="18924"/>
      </dsp:txXfrm>
    </dsp:sp>
    <dsp:sp modelId="{AFD0CC05-9AD4-4A51-8739-4FB4CA1E4ACE}">
      <dsp:nvSpPr>
        <dsp:cNvPr id="0" name=""/>
        <dsp:cNvSpPr/>
      </dsp:nvSpPr>
      <dsp:spPr>
        <a:xfrm>
          <a:off x="2490370" y="-11748"/>
          <a:ext cx="1142368" cy="578992"/>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Programa 2 </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Marcas, DD.II. e II.GG.</a:t>
          </a:r>
        </a:p>
      </dsp:txBody>
      <dsp:txXfrm>
        <a:off x="2657666" y="73043"/>
        <a:ext cx="807776" cy="409410"/>
      </dsp:txXfrm>
    </dsp:sp>
    <dsp:sp modelId="{34515D96-C834-4D67-AF5C-3B293601CBC3}">
      <dsp:nvSpPr>
        <dsp:cNvPr id="0" name=""/>
        <dsp:cNvSpPr/>
      </dsp:nvSpPr>
      <dsp:spPr>
        <a:xfrm rot="19443659">
          <a:off x="3316134" y="794641"/>
          <a:ext cx="620115" cy="15688"/>
        </a:xfrm>
        <a:custGeom>
          <a:avLst/>
          <a:gdLst/>
          <a:ahLst/>
          <a:cxnLst/>
          <a:rect l="0" t="0" r="0" b="0"/>
          <a:pathLst>
            <a:path>
              <a:moveTo>
                <a:pt x="0" y="7844"/>
              </a:moveTo>
              <a:lnTo>
                <a:pt x="620115"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610689" y="786982"/>
        <a:ext cx="31005" cy="31005"/>
      </dsp:txXfrm>
    </dsp:sp>
    <dsp:sp modelId="{D9366F31-B7D7-4B43-830C-AD5E2193A794}">
      <dsp:nvSpPr>
        <dsp:cNvPr id="0" name=""/>
        <dsp:cNvSpPr/>
      </dsp:nvSpPr>
      <dsp:spPr>
        <a:xfrm>
          <a:off x="3636925" y="144791"/>
          <a:ext cx="1076930" cy="519140"/>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6350" rIns="0" bIns="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Programa 3 </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D.A.D.C.</a:t>
          </a:r>
        </a:p>
      </dsp:txBody>
      <dsp:txXfrm>
        <a:off x="3794638" y="220817"/>
        <a:ext cx="761504" cy="367088"/>
      </dsp:txXfrm>
    </dsp:sp>
    <dsp:sp modelId="{5CF8296B-0142-429D-A71A-20799D2EB74B}">
      <dsp:nvSpPr>
        <dsp:cNvPr id="0" name=""/>
        <dsp:cNvSpPr/>
      </dsp:nvSpPr>
      <dsp:spPr>
        <a:xfrm rot="20866442">
          <a:off x="3581984" y="988556"/>
          <a:ext cx="905173" cy="15688"/>
        </a:xfrm>
        <a:custGeom>
          <a:avLst/>
          <a:gdLst/>
          <a:ahLst/>
          <a:cxnLst/>
          <a:rect l="0" t="0" r="0" b="0"/>
          <a:pathLst>
            <a:path>
              <a:moveTo>
                <a:pt x="0" y="7844"/>
              </a:moveTo>
              <a:lnTo>
                <a:pt x="905173"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011941" y="973771"/>
        <a:ext cx="45258" cy="45258"/>
      </dsp:txXfrm>
    </dsp:sp>
    <dsp:sp modelId="{7E7DDE23-6C04-407D-AAB6-669511EA704E}">
      <dsp:nvSpPr>
        <dsp:cNvPr id="0" name=""/>
        <dsp:cNvSpPr/>
      </dsp:nvSpPr>
      <dsp:spPr>
        <a:xfrm>
          <a:off x="4422755" y="530165"/>
          <a:ext cx="1131170" cy="519140"/>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6350" rIns="0" bIns="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Programa 5 </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PCT</a:t>
          </a:r>
        </a:p>
      </dsp:txBody>
      <dsp:txXfrm>
        <a:off x="4588411" y="606191"/>
        <a:ext cx="799858" cy="367088"/>
      </dsp:txXfrm>
    </dsp:sp>
    <dsp:sp modelId="{DC281168-2DBC-4CFB-B21D-C54E9628B383}">
      <dsp:nvSpPr>
        <dsp:cNvPr id="0" name=""/>
        <dsp:cNvSpPr/>
      </dsp:nvSpPr>
      <dsp:spPr>
        <a:xfrm rot="321060">
          <a:off x="3636343" y="1282313"/>
          <a:ext cx="680538" cy="15688"/>
        </a:xfrm>
        <a:custGeom>
          <a:avLst/>
          <a:gdLst/>
          <a:ahLst/>
          <a:cxnLst/>
          <a:rect l="0" t="0" r="0" b="0"/>
          <a:pathLst>
            <a:path>
              <a:moveTo>
                <a:pt x="0" y="7844"/>
              </a:moveTo>
              <a:lnTo>
                <a:pt x="680538"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59599" y="1273144"/>
        <a:ext cx="34026" cy="34026"/>
      </dsp:txXfrm>
    </dsp:sp>
    <dsp:sp modelId="{66DADE40-99AE-41BE-B997-129EED231064}">
      <dsp:nvSpPr>
        <dsp:cNvPr id="0" name=""/>
        <dsp:cNvSpPr/>
      </dsp:nvSpPr>
      <dsp:spPr>
        <a:xfrm>
          <a:off x="4295383" y="1098350"/>
          <a:ext cx="1476269" cy="581603"/>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6350" rIns="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Programa 6</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Sistema de Madrid</a:t>
          </a:r>
        </a:p>
      </dsp:txBody>
      <dsp:txXfrm>
        <a:off x="4511578" y="1183524"/>
        <a:ext cx="1043879" cy="411255"/>
      </dsp:txXfrm>
    </dsp:sp>
    <dsp:sp modelId="{4DF1B0BE-A63A-4BEA-9EE5-4168481CC99E}">
      <dsp:nvSpPr>
        <dsp:cNvPr id="0" name=""/>
        <dsp:cNvSpPr/>
      </dsp:nvSpPr>
      <dsp:spPr>
        <a:xfrm rot="1634450">
          <a:off x="3405916" y="1579041"/>
          <a:ext cx="811648" cy="15688"/>
        </a:xfrm>
        <a:custGeom>
          <a:avLst/>
          <a:gdLst/>
          <a:ahLst/>
          <a:cxnLst/>
          <a:rect l="0" t="0" r="0" b="0"/>
          <a:pathLst>
            <a:path>
              <a:moveTo>
                <a:pt x="0" y="7844"/>
              </a:moveTo>
              <a:lnTo>
                <a:pt x="811648"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91449" y="1566594"/>
        <a:ext cx="40582" cy="40582"/>
      </dsp:txXfrm>
    </dsp:sp>
    <dsp:sp modelId="{DB594876-4070-4577-942D-67F5CD4D6A19}">
      <dsp:nvSpPr>
        <dsp:cNvPr id="0" name=""/>
        <dsp:cNvSpPr/>
      </dsp:nvSpPr>
      <dsp:spPr>
        <a:xfrm>
          <a:off x="3859519" y="1727296"/>
          <a:ext cx="1447436" cy="513559"/>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Programa 9</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 Oficinas regionales en la sede</a:t>
          </a:r>
        </a:p>
      </dsp:txBody>
      <dsp:txXfrm>
        <a:off x="4071491" y="1802505"/>
        <a:ext cx="1023492" cy="363141"/>
      </dsp:txXfrm>
    </dsp:sp>
    <dsp:sp modelId="{E49C447F-3477-4311-B10B-FFFA7DE7209F}">
      <dsp:nvSpPr>
        <dsp:cNvPr id="0" name=""/>
        <dsp:cNvSpPr/>
      </dsp:nvSpPr>
      <dsp:spPr>
        <a:xfrm rot="4599128">
          <a:off x="2973974" y="1655192"/>
          <a:ext cx="410345" cy="15688"/>
        </a:xfrm>
        <a:custGeom>
          <a:avLst/>
          <a:gdLst/>
          <a:ahLst/>
          <a:cxnLst/>
          <a:rect l="0" t="0" r="0" b="0"/>
          <a:pathLst>
            <a:path>
              <a:moveTo>
                <a:pt x="0" y="7844"/>
              </a:moveTo>
              <a:lnTo>
                <a:pt x="410345"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168888" y="1652778"/>
        <a:ext cx="20517" cy="20517"/>
      </dsp:txXfrm>
    </dsp:sp>
    <dsp:sp modelId="{69F18085-0AC3-4BAE-9B16-F8478FFBD61E}">
      <dsp:nvSpPr>
        <dsp:cNvPr id="0" name=""/>
        <dsp:cNvSpPr/>
      </dsp:nvSpPr>
      <dsp:spPr>
        <a:xfrm>
          <a:off x="2693768" y="1861283"/>
          <a:ext cx="1188011" cy="519140"/>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Programa 10 </a:t>
          </a:r>
        </a:p>
        <a:p>
          <a:pPr lvl="0" algn="ctr" defTabSz="444500">
            <a:lnSpc>
              <a:spcPct val="90000"/>
            </a:lnSpc>
            <a:spcBef>
              <a:spcPct val="0"/>
            </a:spcBef>
            <a:spcAft>
              <a:spcPct val="35000"/>
            </a:spcAft>
          </a:pPr>
          <a:r>
            <a:rPr lang="es-ES_tradnl" sz="900" kern="1200">
              <a:latin typeface="Arial" panose="020B0604020202020204" pitchFamily="34" charset="0"/>
              <a:cs typeface="Arial" panose="020B0604020202020204" pitchFamily="34" charset="0"/>
            </a:rPr>
            <a:t>Países T/D</a:t>
          </a:r>
          <a:endParaRPr lang="en-US" sz="900" kern="1200">
            <a:latin typeface="Arial" panose="020B0604020202020204" pitchFamily="34" charset="0"/>
            <a:cs typeface="Arial" panose="020B0604020202020204" pitchFamily="34" charset="0"/>
          </a:endParaRPr>
        </a:p>
      </dsp:txBody>
      <dsp:txXfrm>
        <a:off x="2867748" y="1937309"/>
        <a:ext cx="840051" cy="367088"/>
      </dsp:txXfrm>
    </dsp:sp>
    <dsp:sp modelId="{FCC14444-D5E7-4E9C-B980-A27CD799E442}">
      <dsp:nvSpPr>
        <dsp:cNvPr id="0" name=""/>
        <dsp:cNvSpPr/>
      </dsp:nvSpPr>
      <dsp:spPr>
        <a:xfrm rot="8635570">
          <a:off x="2246241" y="1588148"/>
          <a:ext cx="575985" cy="15688"/>
        </a:xfrm>
        <a:custGeom>
          <a:avLst/>
          <a:gdLst/>
          <a:ahLst/>
          <a:cxnLst/>
          <a:rect l="0" t="0" r="0" b="0"/>
          <a:pathLst>
            <a:path>
              <a:moveTo>
                <a:pt x="0" y="7844"/>
              </a:moveTo>
              <a:lnTo>
                <a:pt x="575985"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519834" y="1581593"/>
        <a:ext cx="28799" cy="28799"/>
      </dsp:txXfrm>
    </dsp:sp>
    <dsp:sp modelId="{49C45DFA-0A15-4DAA-80DC-CAE4ABCC6B43}">
      <dsp:nvSpPr>
        <dsp:cNvPr id="0" name=""/>
        <dsp:cNvSpPr/>
      </dsp:nvSpPr>
      <dsp:spPr>
        <a:xfrm>
          <a:off x="1307036" y="1726203"/>
          <a:ext cx="1318559" cy="567051"/>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Programa 17 </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Fomentar el respeto por la P.I.</a:t>
          </a:r>
        </a:p>
      </dsp:txBody>
      <dsp:txXfrm>
        <a:off x="1500134" y="1809246"/>
        <a:ext cx="932363" cy="400965"/>
      </dsp:txXfrm>
    </dsp:sp>
    <dsp:sp modelId="{7B59CB2C-C82F-41EE-B3CF-ADD4878ADBA6}">
      <dsp:nvSpPr>
        <dsp:cNvPr id="0" name=""/>
        <dsp:cNvSpPr/>
      </dsp:nvSpPr>
      <dsp:spPr>
        <a:xfrm rot="10226795">
          <a:off x="1678733" y="1359721"/>
          <a:ext cx="855210" cy="15688"/>
        </a:xfrm>
        <a:custGeom>
          <a:avLst/>
          <a:gdLst/>
          <a:ahLst/>
          <a:cxnLst/>
          <a:rect l="0" t="0" r="0" b="0"/>
          <a:pathLst>
            <a:path>
              <a:moveTo>
                <a:pt x="0" y="7844"/>
              </a:moveTo>
              <a:lnTo>
                <a:pt x="855210"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84958" y="1346185"/>
        <a:ext cx="42760" cy="42760"/>
      </dsp:txXfrm>
    </dsp:sp>
    <dsp:sp modelId="{402B25BB-F397-46B5-AAB7-C38C2276BF82}">
      <dsp:nvSpPr>
        <dsp:cNvPr id="0" name=""/>
        <dsp:cNvSpPr/>
      </dsp:nvSpPr>
      <dsp:spPr>
        <a:xfrm>
          <a:off x="271044" y="1277798"/>
          <a:ext cx="1479882" cy="548233"/>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Programa 18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La P.I. y los desafíos mundiales</a:t>
          </a:r>
          <a:endParaRPr lang="en-US" sz="900" kern="1200">
            <a:latin typeface="Arial" panose="020B0604020202020204" pitchFamily="34" charset="0"/>
            <a:cs typeface="Arial" panose="020B0604020202020204" pitchFamily="34" charset="0"/>
          </a:endParaRPr>
        </a:p>
      </dsp:txBody>
      <dsp:txXfrm>
        <a:off x="487768" y="1358085"/>
        <a:ext cx="1046434" cy="387659"/>
      </dsp:txXfrm>
    </dsp:sp>
    <dsp:sp modelId="{EFB9CB5A-411C-454B-96B1-9ED988829CBE}">
      <dsp:nvSpPr>
        <dsp:cNvPr id="0" name=""/>
        <dsp:cNvSpPr/>
      </dsp:nvSpPr>
      <dsp:spPr>
        <a:xfrm rot="11307274">
          <a:off x="1686620" y="1054050"/>
          <a:ext cx="838410" cy="15688"/>
        </a:xfrm>
        <a:custGeom>
          <a:avLst/>
          <a:gdLst/>
          <a:ahLst/>
          <a:cxnLst/>
          <a:rect l="0" t="0" r="0" b="0"/>
          <a:pathLst>
            <a:path>
              <a:moveTo>
                <a:pt x="0" y="7844"/>
              </a:moveTo>
              <a:lnTo>
                <a:pt x="838410"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84865" y="1040934"/>
        <a:ext cx="41920" cy="41920"/>
      </dsp:txXfrm>
    </dsp:sp>
    <dsp:sp modelId="{5AF8D9AC-0C15-4D1B-BCD3-7FFCFF0A581D}">
      <dsp:nvSpPr>
        <dsp:cNvPr id="0" name=""/>
        <dsp:cNvSpPr/>
      </dsp:nvSpPr>
      <dsp:spPr>
        <a:xfrm>
          <a:off x="550188" y="612244"/>
          <a:ext cx="1163040" cy="609714"/>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Programa 20 </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Relaciones exteriores</a:t>
          </a:r>
        </a:p>
      </dsp:txBody>
      <dsp:txXfrm>
        <a:off x="720511" y="701535"/>
        <a:ext cx="822394" cy="431132"/>
      </dsp:txXfrm>
    </dsp:sp>
    <dsp:sp modelId="{5DC5D51E-945B-4CCC-B580-737CA66D42E3}">
      <dsp:nvSpPr>
        <dsp:cNvPr id="0" name=""/>
        <dsp:cNvSpPr/>
      </dsp:nvSpPr>
      <dsp:spPr>
        <a:xfrm rot="12711204">
          <a:off x="2139365" y="817869"/>
          <a:ext cx="640497" cy="15688"/>
        </a:xfrm>
        <a:custGeom>
          <a:avLst/>
          <a:gdLst/>
          <a:ahLst/>
          <a:cxnLst/>
          <a:rect l="0" t="0" r="0" b="0"/>
          <a:pathLst>
            <a:path>
              <a:moveTo>
                <a:pt x="0" y="7844"/>
              </a:moveTo>
              <a:lnTo>
                <a:pt x="640497"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43601" y="809700"/>
        <a:ext cx="32024" cy="32024"/>
      </dsp:txXfrm>
    </dsp:sp>
    <dsp:sp modelId="{26661F75-1D9F-48E2-8FB0-82462D91AB89}">
      <dsp:nvSpPr>
        <dsp:cNvPr id="0" name=""/>
        <dsp:cNvSpPr/>
      </dsp:nvSpPr>
      <dsp:spPr>
        <a:xfrm>
          <a:off x="1202515" y="212491"/>
          <a:ext cx="1308026" cy="477027"/>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Programa 31 </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Sistema de La Haya</a:t>
          </a:r>
        </a:p>
      </dsp:txBody>
      <dsp:txXfrm>
        <a:off x="1394071" y="282350"/>
        <a:ext cx="924914" cy="33730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A55 (S).dotm</Template>
  <TotalTime>80</TotalTime>
  <Pages>286</Pages>
  <Words>87924</Words>
  <Characters>484105</Characters>
  <Application>Microsoft Office Word</Application>
  <DocSecurity>0</DocSecurity>
  <Lines>4034</Lines>
  <Paragraphs>1141</Paragraphs>
  <ScaleCrop>false</ScaleCrop>
  <HeadingPairs>
    <vt:vector size="2" baseType="variant">
      <vt:variant>
        <vt:lpstr>Title</vt:lpstr>
      </vt:variant>
      <vt:variant>
        <vt:i4>1</vt:i4>
      </vt:variant>
    </vt:vector>
  </HeadingPairs>
  <TitlesOfParts>
    <vt:vector size="1" baseType="lpstr">
      <vt:lpstr>A/55/5</vt:lpstr>
    </vt:vector>
  </TitlesOfParts>
  <Company>WIPO</Company>
  <LinksUpToDate>false</LinksUpToDate>
  <CharactersWithSpaces>570888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A/55/5</dc:title>
  <dc:creator>BOU LLORET Amparo</dc:creator>
  <dc:description>KP - 17/8/2015</dc:description>
  <cp:lastModifiedBy>CEVALLOS DUQUE Nilo</cp:lastModifiedBy>
  <cp:revision>11</cp:revision>
  <cp:lastPrinted>2015-10-02T16:54:00Z</cp:lastPrinted>
  <dcterms:created xsi:type="dcterms:W3CDTF">2015-08-17T08:07:00Z</dcterms:created>
  <dcterms:modified xsi:type="dcterms:W3CDTF">2015-10-02T16:55:00Z</dcterms:modified>
</cp:coreProperties>
</file>